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江苏建湖农村商业银行股份有限公司</w:t>
      </w:r>
    </w:p>
    <w:p>
      <w:pPr>
        <w:spacing w:line="7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w:t>
      </w:r>
      <w:r>
        <w:rPr>
          <w:rFonts w:hint="eastAsia" w:ascii="宋体" w:hAnsi="宋体" w:cs="宋体"/>
          <w:b/>
          <w:bCs/>
          <w:sz w:val="44"/>
          <w:szCs w:val="44"/>
          <w:lang w:val="en-US" w:eastAsia="zh-CN"/>
        </w:rPr>
        <w:t>6</w:t>
      </w:r>
      <w:r>
        <w:rPr>
          <w:rFonts w:hint="eastAsia" w:ascii="宋体" w:hAnsi="宋体" w:eastAsia="宋体" w:cs="宋体"/>
          <w:b/>
          <w:bCs/>
          <w:sz w:val="44"/>
          <w:szCs w:val="44"/>
          <w:lang w:val="en-US" w:eastAsia="zh-CN"/>
        </w:rPr>
        <w:t>年</w:t>
      </w:r>
      <w:r>
        <w:rPr>
          <w:rFonts w:hint="eastAsia" w:ascii="宋体" w:hAnsi="宋体" w:cs="宋体"/>
          <w:b/>
          <w:bCs/>
          <w:sz w:val="44"/>
          <w:szCs w:val="44"/>
          <w:lang w:val="en-US" w:eastAsia="zh-CN"/>
        </w:rPr>
        <w:t>一季度</w:t>
      </w:r>
      <w:r>
        <w:rPr>
          <w:rFonts w:hint="eastAsia" w:ascii="宋体" w:hAnsi="宋体" w:eastAsia="宋体" w:cs="宋体"/>
          <w:b/>
          <w:bCs/>
          <w:sz w:val="44"/>
          <w:szCs w:val="44"/>
          <w:lang w:val="en-US" w:eastAsia="zh-CN"/>
        </w:rPr>
        <w:t>第三支柱信息披露报告</w:t>
      </w:r>
    </w:p>
    <w:p>
      <w:pPr>
        <w:jc w:val="both"/>
        <w:rPr>
          <w:rFonts w:hint="eastAsia"/>
          <w:sz w:val="18"/>
          <w:szCs w:val="18"/>
          <w:lang w:val="en-US" w:eastAsia="zh-CN"/>
        </w:rPr>
      </w:pPr>
    </w:p>
    <w:p>
      <w:pPr>
        <w:jc w:val="both"/>
        <w:rPr>
          <w:rFonts w:hint="eastAsia"/>
          <w:sz w:val="18"/>
          <w:szCs w:val="18"/>
          <w:lang w:val="en-US" w:eastAsia="zh-CN"/>
        </w:rPr>
      </w:pPr>
      <w:r>
        <w:rPr>
          <w:rFonts w:hint="eastAsia"/>
          <w:sz w:val="18"/>
          <w:szCs w:val="18"/>
          <w:lang w:val="en-US" w:eastAsia="zh-CN"/>
        </w:rPr>
        <w:t>表格KM1：监管并表关键审慎监管指标</w:t>
      </w:r>
    </w:p>
    <w:tbl>
      <w:tblPr>
        <w:tblStyle w:val="4"/>
        <w:tblW w:w="8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2"/>
        <w:gridCol w:w="3560"/>
        <w:gridCol w:w="1979"/>
        <w:gridCol w:w="2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109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5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7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47"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单位：人民币万元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4652"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a</w:t>
            </w:r>
          </w:p>
        </w:tc>
        <w:tc>
          <w:tcPr>
            <w:tcW w:w="20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4652" w:type="dxa"/>
            <w:gridSpan w:val="2"/>
            <w:tcBorders>
              <w:top w:val="nil"/>
              <w:left w:val="single" w:color="000000" w:sz="8" w:space="0"/>
              <w:bottom w:val="single" w:color="000000" w:sz="8" w:space="0"/>
              <w:right w:val="single" w:color="000000" w:sz="8"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2026年3月31日</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2025年12月31日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8678" w:type="dxa"/>
            <w:gridSpan w:val="4"/>
            <w:tcBorders>
              <w:top w:val="nil"/>
              <w:left w:val="single" w:color="000000" w:sz="8" w:space="0"/>
              <w:bottom w:val="single" w:color="000000" w:sz="8" w:space="0"/>
              <w:right w:val="single" w:color="000000" w:sz="8" w:space="0"/>
            </w:tcBorders>
            <w:shd w:val="clear" w:color="auto" w:fill="D9D9D9"/>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可用资本（数额）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3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核心一级资本净额</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259311.74 </w:t>
            </w:r>
          </w:p>
        </w:tc>
        <w:tc>
          <w:tcPr>
            <w:tcW w:w="20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251551.83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一级资本净额</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259311.74 </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251551.83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资本净额</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284117.19 </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275111.21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8678" w:type="dxa"/>
            <w:gridSpan w:val="4"/>
            <w:tcBorders>
              <w:top w:val="nil"/>
              <w:left w:val="single" w:color="000000" w:sz="8" w:space="0"/>
              <w:bottom w:val="single" w:color="000000" w:sz="8" w:space="0"/>
              <w:right w:val="single" w:color="000000" w:sz="8" w:space="0"/>
            </w:tcBorders>
            <w:shd w:val="clear" w:color="auto" w:fill="D9D9D9"/>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风险加权资产（数额）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p>
        </w:tc>
        <w:tc>
          <w:tcPr>
            <w:tcW w:w="3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风险加权资产合计</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2132521.77 </w:t>
            </w:r>
          </w:p>
        </w:tc>
        <w:tc>
          <w:tcPr>
            <w:tcW w:w="20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2073261.02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8678" w:type="dxa"/>
            <w:gridSpan w:val="4"/>
            <w:tcBorders>
              <w:top w:val="nil"/>
              <w:left w:val="single" w:color="000000" w:sz="8" w:space="0"/>
              <w:bottom w:val="single" w:color="000000" w:sz="8" w:space="0"/>
              <w:right w:val="single" w:color="000000" w:sz="8" w:space="0"/>
            </w:tcBorders>
            <w:shd w:val="clear" w:color="auto" w:fill="D9D9D9"/>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资本充足率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核心一级资本充足率（%）</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12.16 </w:t>
            </w:r>
          </w:p>
        </w:tc>
        <w:tc>
          <w:tcPr>
            <w:tcW w:w="20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一级资本充足率（%）</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12.16 </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7</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资本充足率（%）</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13.32 </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8678" w:type="dxa"/>
            <w:gridSpan w:val="4"/>
            <w:tcBorders>
              <w:top w:val="nil"/>
              <w:left w:val="single" w:color="000000" w:sz="8" w:space="0"/>
              <w:bottom w:val="single" w:color="000000" w:sz="8" w:space="0"/>
              <w:right w:val="single" w:color="000000" w:sz="8" w:space="0"/>
            </w:tcBorders>
            <w:shd w:val="clear" w:color="auto" w:fill="D9D9D9"/>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8</w:t>
            </w:r>
          </w:p>
        </w:tc>
        <w:tc>
          <w:tcPr>
            <w:tcW w:w="3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储备资本要求（%）</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2.5</w:t>
            </w:r>
          </w:p>
        </w:tc>
        <w:tc>
          <w:tcPr>
            <w:tcW w:w="20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逆周期资本要求（%）</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全球系统重要性银行或国内系统重要性银行附加资本要求（%）</w:t>
            </w:r>
          </w:p>
        </w:tc>
        <w:tc>
          <w:tcPr>
            <w:tcW w:w="1979" w:type="dxa"/>
            <w:tcBorders>
              <w:top w:val="nil"/>
              <w:left w:val="nil"/>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c>
          <w:tcPr>
            <w:tcW w:w="2047" w:type="dxa"/>
            <w:tcBorders>
              <w:top w:val="nil"/>
              <w:left w:val="nil"/>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11</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其他各级资本要求（%）（8+9+10）</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12</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满足最低资本要求后的可用核心一级资本净额占风险加权资产的比例（%）</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12.10 </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8678" w:type="dxa"/>
            <w:gridSpan w:val="4"/>
            <w:tcBorders>
              <w:top w:val="nil"/>
              <w:left w:val="single" w:color="000000" w:sz="8" w:space="0"/>
              <w:bottom w:val="single" w:color="000000" w:sz="8" w:space="0"/>
              <w:right w:val="single" w:color="000000" w:sz="8" w:space="0"/>
            </w:tcBorders>
            <w:shd w:val="clear" w:color="auto" w:fill="D9D9D9"/>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杠杆率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13</w:t>
            </w:r>
          </w:p>
        </w:tc>
        <w:tc>
          <w:tcPr>
            <w:tcW w:w="3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调整后表内外资产余额</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4032098.27 </w:t>
            </w:r>
          </w:p>
        </w:tc>
        <w:tc>
          <w:tcPr>
            <w:tcW w:w="20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3855517.01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14</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杠杆率（%）</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6.34 </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14a</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杠杆率a（%）</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6.34 </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8678" w:type="dxa"/>
            <w:gridSpan w:val="4"/>
            <w:tcBorders>
              <w:top w:val="nil"/>
              <w:left w:val="single" w:color="000000" w:sz="8" w:space="0"/>
              <w:bottom w:val="single" w:color="000000" w:sz="8" w:space="0"/>
              <w:right w:val="single" w:color="000000" w:sz="8" w:space="0"/>
            </w:tcBorders>
            <w:shd w:val="clear" w:color="auto" w:fill="D9D9D9"/>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流动性覆盖率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15</w:t>
            </w:r>
          </w:p>
        </w:tc>
        <w:tc>
          <w:tcPr>
            <w:tcW w:w="3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合格优质流动性资产</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719659.05 </w:t>
            </w:r>
          </w:p>
        </w:tc>
        <w:tc>
          <w:tcPr>
            <w:tcW w:w="20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581518.34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16</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现金净流出量</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216879.26 </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81552.59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17</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流动性覆盖率（%）</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8678" w:type="dxa"/>
            <w:gridSpan w:val="4"/>
            <w:tcBorders>
              <w:top w:val="nil"/>
              <w:left w:val="single" w:color="000000" w:sz="8" w:space="0"/>
              <w:bottom w:val="single" w:color="000000" w:sz="8" w:space="0"/>
              <w:right w:val="single" w:color="000000" w:sz="8" w:space="0"/>
            </w:tcBorders>
            <w:shd w:val="clear" w:color="auto" w:fill="D9D9D9"/>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净稳定资金比例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3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可用稳定资金合计</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p>
        </w:tc>
        <w:tc>
          <w:tcPr>
            <w:tcW w:w="20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19</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所需稳定资金合计</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w:t>
            </w:r>
          </w:p>
        </w:tc>
        <w:tc>
          <w:tcPr>
            <w:tcW w:w="3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净稳定资金比例（%）</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8678" w:type="dxa"/>
            <w:gridSpan w:val="4"/>
            <w:tcBorders>
              <w:top w:val="nil"/>
              <w:left w:val="single" w:color="000000" w:sz="8" w:space="0"/>
              <w:bottom w:val="single" w:color="000000" w:sz="8" w:space="0"/>
              <w:right w:val="single" w:color="000000" w:sz="8" w:space="0"/>
            </w:tcBorders>
            <w:shd w:val="clear" w:color="auto" w:fill="D9D9D9"/>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流动性比例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jc w:val="center"/>
        </w:trPr>
        <w:tc>
          <w:tcPr>
            <w:tcW w:w="10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21</w:t>
            </w:r>
          </w:p>
        </w:tc>
        <w:tc>
          <w:tcPr>
            <w:tcW w:w="3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流动性比例（%）</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118.27 </w:t>
            </w:r>
          </w:p>
        </w:tc>
        <w:tc>
          <w:tcPr>
            <w:tcW w:w="20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107.72 </w:t>
            </w:r>
          </w:p>
        </w:tc>
      </w:tr>
    </w:tbl>
    <w:p>
      <w:pPr>
        <w:rPr>
          <w:rFonts w:hint="eastAsia"/>
          <w:sz w:val="18"/>
          <w:szCs w:val="18"/>
        </w:rPr>
      </w:pPr>
    </w:p>
    <w:p>
      <w:pPr>
        <w:rPr>
          <w:rFonts w:hint="eastAsia"/>
          <w:sz w:val="18"/>
          <w:szCs w:val="18"/>
        </w:rPr>
      </w:pPr>
      <w:r>
        <w:rPr>
          <w:rFonts w:hint="eastAsia"/>
          <w:sz w:val="18"/>
          <w:szCs w:val="18"/>
        </w:rPr>
        <w:t>表格CC1：资本构成</w:t>
      </w:r>
    </w:p>
    <w:tbl>
      <w:tblPr>
        <w:tblStyle w:val="4"/>
        <w:tblW w:w="8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6130"/>
        <w:gridCol w:w="2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49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bookmarkStart w:id="0" w:name="_GoBack" w:colFirst="0" w:colLast="2"/>
          </w:p>
        </w:tc>
        <w:tc>
          <w:tcPr>
            <w:tcW w:w="61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98"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662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2026年3月31日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6621" w:type="dxa"/>
            <w:gridSpan w:val="2"/>
            <w:tcBorders>
              <w:top w:val="nil"/>
              <w:left w:val="single" w:color="000000" w:sz="8" w:space="0"/>
              <w:bottom w:val="single" w:color="000000" w:sz="8" w:space="0"/>
              <w:right w:val="single" w:color="000000" w:sz="8"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8719" w:type="dxa"/>
            <w:gridSpan w:val="3"/>
            <w:tcBorders>
              <w:top w:val="nil"/>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核心一级资本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61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实收资本和资本公积可计入部分</w:t>
            </w:r>
          </w:p>
        </w:tc>
        <w:tc>
          <w:tcPr>
            <w:tcW w:w="20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146772.57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留存收益</w:t>
            </w:r>
          </w:p>
        </w:tc>
        <w:tc>
          <w:tcPr>
            <w:tcW w:w="2098" w:type="dxa"/>
            <w:tcBorders>
              <w:top w:val="nil"/>
              <w:left w:val="nil"/>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2a</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盈余公积</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26910.29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2b</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一般风险准备</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 xml:space="preserve">58801.01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2c</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未分配利润</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37193.93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累计其他综合收益</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-2375.82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少数股东资本可计入部分</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扣除前的核心一级资本</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267301.98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8719" w:type="dxa"/>
            <w:gridSpan w:val="3"/>
            <w:tcBorders>
              <w:top w:val="nil"/>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核心一级资本：扣除项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61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审慎估值调整</w:t>
            </w:r>
          </w:p>
        </w:tc>
        <w:tc>
          <w:tcPr>
            <w:tcW w:w="20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7</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商誉（扣除递延税负债）</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8</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其他无形资产（土地使用权除外）（扣除递延税负债）</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616.85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依赖未来盈利的由经营亏损引起的净递延税资产</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34041.91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对未按公允价值计量的项目进行套期形成的现金流储备</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11</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损失准备缺口</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12</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资产证券化销售利得</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13</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自身信用风险变化导致其负债公允价值变化带来的未实现损益</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14</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确定受益类的养老金资产净额（扣除递延税项负债）</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15</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直接或间接持有本银行的股票</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16</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银行间或银行与其他金融机构间通过协议相互持有的核心一级资本</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17</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对未并表金融机构小额少数资本投资中的核心一级资本中应扣除金额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对未并表金融机构大额少数资本投资中的核心一级资本中应扣除金额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19</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其他依赖于银行未来盈利的净递延税资产中应扣除金额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7373.39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对未并表金融机构大额少数资本投资中的核心一级资本和其他依赖于银行未来盈利的净递延税资产的未扣除部分超过核心一级资本15%的应扣除金额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21</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    其中：应在对金融机构大额少数资本投资中扣除的金额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22</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    其中：应在其他依赖于银行未来盈利的净递延税资产中扣除的金额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23</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其他应在核心一级资本中扣除的项目合计</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24</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应从其他一级资本和二级资本中扣除的未扣缺口</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25</w:t>
            </w:r>
          </w:p>
        </w:tc>
        <w:tc>
          <w:tcPr>
            <w:tcW w:w="613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核心一级资本扣除项总和</w:t>
            </w:r>
          </w:p>
        </w:tc>
        <w:tc>
          <w:tcPr>
            <w:tcW w:w="2098"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7990.24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26</w:t>
            </w:r>
          </w:p>
        </w:tc>
        <w:tc>
          <w:tcPr>
            <w:tcW w:w="6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核心一级资本净额</w:t>
            </w:r>
          </w:p>
        </w:tc>
        <w:tc>
          <w:tcPr>
            <w:tcW w:w="2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259311.74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719" w:type="dxa"/>
            <w:gridSpan w:val="3"/>
            <w:tcBorders>
              <w:top w:val="single" w:color="auto" w:sz="4" w:space="0"/>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其他一级资本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27</w:t>
            </w:r>
          </w:p>
        </w:tc>
        <w:tc>
          <w:tcPr>
            <w:tcW w:w="6130"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其他一级资本工具及其溢价</w:t>
            </w:r>
          </w:p>
        </w:tc>
        <w:tc>
          <w:tcPr>
            <w:tcW w:w="2098"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28</w:t>
            </w:r>
          </w:p>
        </w:tc>
        <w:tc>
          <w:tcPr>
            <w:tcW w:w="6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    其中：权益部分</w:t>
            </w:r>
          </w:p>
        </w:tc>
        <w:tc>
          <w:tcPr>
            <w:tcW w:w="2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29</w:t>
            </w:r>
          </w:p>
        </w:tc>
        <w:tc>
          <w:tcPr>
            <w:tcW w:w="613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    其中：负债部分</w:t>
            </w:r>
          </w:p>
        </w:tc>
        <w:tc>
          <w:tcPr>
            <w:tcW w:w="2098"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30</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少数股东资本可计入部分</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31</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扣除前的其他一级资本</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8719" w:type="dxa"/>
            <w:gridSpan w:val="3"/>
            <w:tcBorders>
              <w:top w:val="nil"/>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其他一级资本:扣除项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32</w:t>
            </w:r>
          </w:p>
        </w:tc>
        <w:tc>
          <w:tcPr>
            <w:tcW w:w="61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直接或间接持有的本银行其他一级资本</w:t>
            </w:r>
          </w:p>
        </w:tc>
        <w:tc>
          <w:tcPr>
            <w:tcW w:w="20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33</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银行间或银行与其他金融机构间通过协议相互持有的其他一级资本</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34</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对未并表金融机构小额少数资本投资中的其他一级资本中应扣除金额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35</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对未并表金融机构大额少数资本投资中的其他一级资本</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36</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其他应在其他一级资本中扣除的项目合计</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37</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应从二级资本中扣除的未扣缺口</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38</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其他一级资本扣除项总和</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39</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其他一级资本净额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40</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一级资本净额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259311.74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8719" w:type="dxa"/>
            <w:gridSpan w:val="3"/>
            <w:tcBorders>
              <w:top w:val="nil"/>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二级资本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41</w:t>
            </w:r>
          </w:p>
        </w:tc>
        <w:tc>
          <w:tcPr>
            <w:tcW w:w="61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二级资本工具及其溢价</w:t>
            </w:r>
          </w:p>
        </w:tc>
        <w:tc>
          <w:tcPr>
            <w:tcW w:w="20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42</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少数股东资本可计入部分</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43</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超额损失准备可计入部分</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24805.45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44</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扣除前的二级资本</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24805.45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8719" w:type="dxa"/>
            <w:gridSpan w:val="3"/>
            <w:tcBorders>
              <w:top w:val="nil"/>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二级资本：扣除项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45</w:t>
            </w:r>
          </w:p>
        </w:tc>
        <w:tc>
          <w:tcPr>
            <w:tcW w:w="61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直接或间接持有的本银行的二级资本</w:t>
            </w:r>
          </w:p>
        </w:tc>
        <w:tc>
          <w:tcPr>
            <w:tcW w:w="20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46</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银行间或银行与其他金融机构间通过协议相互持有的二级资本投资及TLAC非资本债务工具投资</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47</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对未并表金融机构小额少数资本投资中的二级资本应扣除金额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47a</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对未并表金融机构的小额投资中的TLAC非资本债务工具中应扣除金额（仅适用全球系统重要性银行）</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48</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对未并表金融机构大额少数资本投资中的二级资本应扣除金额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48a</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对未并表金融机构大额投资中的TLAC非资本债务工具中应扣除金额（仅适用全球系统重要性银行）</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49</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其他应在二级资本中扣除的项目合计</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二级资本扣除项总和</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51</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二级资本净额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24805.45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52</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总资本净额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 xml:space="preserve">284117.19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53</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风险加权资产</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2132521.77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8719" w:type="dxa"/>
            <w:gridSpan w:val="3"/>
            <w:tcBorders>
              <w:top w:val="nil"/>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资本充足率和其他各级资本要求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54</w:t>
            </w:r>
          </w:p>
        </w:tc>
        <w:tc>
          <w:tcPr>
            <w:tcW w:w="6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核心一级资本充足率（%）</w:t>
            </w:r>
          </w:p>
        </w:tc>
        <w:tc>
          <w:tcPr>
            <w:tcW w:w="209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55</w:t>
            </w:r>
          </w:p>
        </w:tc>
        <w:tc>
          <w:tcPr>
            <w:tcW w:w="613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一级资本充足率（%）</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56</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资本充足率（%）</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57</w:t>
            </w:r>
          </w:p>
        </w:tc>
        <w:tc>
          <w:tcPr>
            <w:tcW w:w="613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其他各级资本要求（%）</w:t>
            </w:r>
          </w:p>
        </w:tc>
        <w:tc>
          <w:tcPr>
            <w:tcW w:w="2098"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58</w:t>
            </w:r>
          </w:p>
        </w:tc>
        <w:tc>
          <w:tcPr>
            <w:tcW w:w="6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    其中：储备资本要求</w:t>
            </w:r>
          </w:p>
        </w:tc>
        <w:tc>
          <w:tcPr>
            <w:tcW w:w="2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59</w:t>
            </w:r>
          </w:p>
        </w:tc>
        <w:tc>
          <w:tcPr>
            <w:tcW w:w="613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    其中：逆周期资本要求</w:t>
            </w:r>
          </w:p>
        </w:tc>
        <w:tc>
          <w:tcPr>
            <w:tcW w:w="2098"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60</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    其中：全球系统重要性银行或国内系统重要性银行附加资本要求</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61</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满足最低资本要求后的可用核心一级资本净额占风险加权资产的比例（%）</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8719" w:type="dxa"/>
            <w:gridSpan w:val="3"/>
            <w:tcBorders>
              <w:top w:val="nil"/>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我国最低监管资本要求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62</w:t>
            </w:r>
          </w:p>
        </w:tc>
        <w:tc>
          <w:tcPr>
            <w:tcW w:w="61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核心一级资本充足率（%）</w:t>
            </w:r>
          </w:p>
        </w:tc>
        <w:tc>
          <w:tcPr>
            <w:tcW w:w="20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63</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一级资本充足率（%）</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64</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资本充足率（%）</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8719" w:type="dxa"/>
            <w:gridSpan w:val="3"/>
            <w:tcBorders>
              <w:top w:val="nil"/>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门槛扣除项中未扣除部分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65</w:t>
            </w:r>
          </w:p>
        </w:tc>
        <w:tc>
          <w:tcPr>
            <w:tcW w:w="61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对未并表金融机构的小额少数资本投资中的未扣除部分</w:t>
            </w:r>
          </w:p>
        </w:tc>
        <w:tc>
          <w:tcPr>
            <w:tcW w:w="20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65a</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对未并表金融机构的小额投资中的TLAC非资本债务工具未扣除部分（仅适用全球系统重要性银行）</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66</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对未并表金融机构的大额少数资本投资未扣除部分</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67</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其他依赖于银行未来盈利的净递延税资产（扣除递延税负债）</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8719" w:type="dxa"/>
            <w:gridSpan w:val="3"/>
            <w:tcBorders>
              <w:top w:val="nil"/>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both"/>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可计入二级资本的超额损失准备的限额</w:t>
            </w:r>
            <w:r>
              <w:rPr>
                <w:rFonts w:hint="default" w:ascii="仿宋_GB2312" w:hAnsi="宋体" w:eastAsia="仿宋_GB2312" w:cs="仿宋_GB2312"/>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68</w:t>
            </w:r>
          </w:p>
        </w:tc>
        <w:tc>
          <w:tcPr>
            <w:tcW w:w="61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权重法下，实际计提的超额损失准备金额</w:t>
            </w:r>
          </w:p>
        </w:tc>
        <w:tc>
          <w:tcPr>
            <w:tcW w:w="20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147244.90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69</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权重法下，可计入二级资本超额损失准备的数额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24805.45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70</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内部评级法下，实际计提的超额损失准备金额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4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71</w:t>
            </w:r>
          </w:p>
        </w:tc>
        <w:tc>
          <w:tcPr>
            <w:tcW w:w="61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内部评级法下，可计入二级资本超额损失准备的数额</w:t>
            </w:r>
          </w:p>
        </w:tc>
        <w:tc>
          <w:tcPr>
            <w:tcW w:w="20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r>
      <w:bookmarkEnd w:id="0"/>
    </w:tbl>
    <w:p>
      <w:pPr>
        <w:rPr>
          <w:rFonts w:hint="eastAsia"/>
          <w:sz w:val="18"/>
          <w:szCs w:val="18"/>
        </w:rPr>
      </w:pPr>
    </w:p>
    <w:p>
      <w:pPr>
        <w:jc w:val="both"/>
        <w:rPr>
          <w:rFonts w:hint="eastAsia"/>
          <w:sz w:val="18"/>
          <w:szCs w:val="18"/>
        </w:rPr>
      </w:pPr>
    </w:p>
    <w:p>
      <w:pPr>
        <w:rPr>
          <w:rFonts w:hint="eastAsia"/>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61E9A"/>
    <w:rsid w:val="077A1F3E"/>
    <w:rsid w:val="09B53407"/>
    <w:rsid w:val="12A97760"/>
    <w:rsid w:val="1AED613D"/>
    <w:rsid w:val="1EBB5BAB"/>
    <w:rsid w:val="257F10F3"/>
    <w:rsid w:val="2BE01DEE"/>
    <w:rsid w:val="2C9A3B3C"/>
    <w:rsid w:val="33E22B2C"/>
    <w:rsid w:val="3EF26089"/>
    <w:rsid w:val="3F3136A7"/>
    <w:rsid w:val="3FC823FE"/>
    <w:rsid w:val="447D115D"/>
    <w:rsid w:val="4A314D53"/>
    <w:rsid w:val="4C9B7E0C"/>
    <w:rsid w:val="56C81DBB"/>
    <w:rsid w:val="57A8449C"/>
    <w:rsid w:val="5B1B3D90"/>
    <w:rsid w:val="5C752E5F"/>
    <w:rsid w:val="5C7575C5"/>
    <w:rsid w:val="631C49B9"/>
    <w:rsid w:val="6AE66C0D"/>
    <w:rsid w:val="6B8625B8"/>
    <w:rsid w:val="6BC9262E"/>
    <w:rsid w:val="6BDB059F"/>
    <w:rsid w:val="71F80D38"/>
    <w:rsid w:val="721B45F4"/>
    <w:rsid w:val="7455676B"/>
    <w:rsid w:val="79233540"/>
    <w:rsid w:val="7DC97F5A"/>
    <w:rsid w:val="7FE40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mbria" w:hAnsi="Cambria" w:cs="Calibri"/>
      <w:b/>
      <w:bCs/>
      <w:sz w:val="32"/>
      <w:szCs w:val="32"/>
    </w:rPr>
  </w:style>
  <w:style w:type="paragraph" w:customStyle="1" w:styleId="3">
    <w:name w:val="正文文本缩进1"/>
    <w:basedOn w:val="1"/>
    <w:qFormat/>
    <w:uiPriority w:val="0"/>
    <w:pPr>
      <w:spacing w:after="120"/>
      <w:ind w:left="420" w:leftChars="200"/>
    </w:pPr>
    <w:rPr>
      <w:rFonts w:ascii="Calibri" w:hAnsi="Calibri" w:cs="黑体"/>
    </w:rPr>
  </w:style>
  <w:style w:type="character" w:customStyle="1" w:styleId="6">
    <w:name w:val="font11"/>
    <w:basedOn w:val="5"/>
    <w:qFormat/>
    <w:uiPriority w:val="0"/>
    <w:rPr>
      <w:rFonts w:hint="eastAsia" w:ascii="仿宋_GB2312" w:eastAsia="仿宋_GB2312" w:cs="仿宋_GB2312"/>
      <w:color w:val="000000"/>
      <w:sz w:val="28"/>
      <w:szCs w:val="28"/>
      <w:u w:val="none"/>
    </w:rPr>
  </w:style>
  <w:style w:type="character" w:customStyle="1" w:styleId="7">
    <w:name w:val="font21"/>
    <w:basedOn w:val="5"/>
    <w:qFormat/>
    <w:uiPriority w:val="0"/>
    <w:rPr>
      <w:rFonts w:hint="eastAsia" w:ascii="仿宋_GB2312" w:eastAsia="仿宋_GB2312" w:cs="仿宋_GB2312"/>
      <w:b/>
      <w:bCs/>
      <w:color w:val="000000"/>
      <w:sz w:val="28"/>
      <w:szCs w:val="28"/>
      <w:u w:val="none"/>
    </w:rPr>
  </w:style>
  <w:style w:type="character" w:customStyle="1" w:styleId="8">
    <w:name w:val="font01"/>
    <w:basedOn w:val="5"/>
    <w:qFormat/>
    <w:uiPriority w:val="0"/>
    <w:rPr>
      <w:rFonts w:hint="default" w:ascii="仿宋_GB2312" w:eastAsia="仿宋_GB2312" w:cs="仿宋_GB2312"/>
      <w:color w:val="000000"/>
      <w:sz w:val="18"/>
      <w:szCs w:val="18"/>
      <w:u w:val="none"/>
    </w:rPr>
  </w:style>
  <w:style w:type="character" w:customStyle="1" w:styleId="9">
    <w:name w:val="font31"/>
    <w:basedOn w:val="5"/>
    <w:qFormat/>
    <w:uiPriority w:val="0"/>
    <w:rPr>
      <w:rFonts w:hint="default"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2024-07-20T02:52:00Z</dcterms:created>
  <dc:creator>Administrator</dc:creator>
  <cp:lastModifiedBy>肖薇</cp:lastModifiedBy>
  <cp:lastPrinted>2024-08-05T11:00:00Z</cp:lastPrinted>
  <dcterms:modified xsi:type="dcterms:W3CDTF">2026-04-13T10:01:43Z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9E46FDD71C374B5EAD29318750CBC19E</vt:lpwstr>
  </property>
</Properties>
</file>