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32"/>
          <w:highlight w:val="none"/>
        </w:rPr>
      </w:pPr>
      <w:r>
        <w:rPr>
          <w:rFonts w:hint="eastAsia" w:ascii="仿宋" w:hAnsi="仿宋" w:eastAsia="仿宋" w:cs="仿宋"/>
          <w:b/>
          <w:bCs/>
          <w:sz w:val="32"/>
          <w:szCs w:val="32"/>
          <w:lang w:val="en-US" w:eastAsia="zh-CN"/>
        </w:rPr>
        <w:t>江苏建湖</w:t>
      </w:r>
      <w:r>
        <w:rPr>
          <w:rFonts w:hint="eastAsia" w:ascii="仿宋" w:hAnsi="仿宋" w:eastAsia="仿宋" w:cs="仿宋"/>
          <w:b/>
          <w:bCs/>
          <w:sz w:val="32"/>
          <w:szCs w:val="32"/>
          <w:highlight w:val="none"/>
        </w:rPr>
        <w:t>农村商业银行股份有限公司</w:t>
      </w:r>
      <w:r>
        <w:rPr>
          <w:rFonts w:hint="eastAsia" w:ascii="仿宋" w:hAnsi="仿宋" w:eastAsia="仿宋" w:cs="仿宋"/>
          <w:b/>
          <w:bCs/>
          <w:sz w:val="32"/>
          <w:szCs w:val="32"/>
          <w:highlight w:val="none"/>
          <w:lang w:val="en-US" w:eastAsia="zh-CN"/>
        </w:rPr>
        <w:t>关于与</w:t>
      </w:r>
      <w:r>
        <w:rPr>
          <w:rFonts w:hint="eastAsia" w:ascii="仿宋" w:hAnsi="仿宋" w:eastAsia="仿宋" w:cs="仿宋"/>
          <w:b/>
          <w:bCs/>
          <w:sz w:val="32"/>
          <w:szCs w:val="32"/>
          <w:lang w:val="en-US" w:eastAsia="zh-CN"/>
        </w:rPr>
        <w:t>建湖邦泰农业科技有限公司</w:t>
      </w:r>
      <w:r>
        <w:rPr>
          <w:rFonts w:hint="eastAsia" w:ascii="仿宋" w:hAnsi="仿宋" w:eastAsia="仿宋" w:cs="仿宋"/>
          <w:b/>
          <w:bCs/>
          <w:sz w:val="32"/>
          <w:szCs w:val="32"/>
          <w:highlight w:val="none"/>
        </w:rPr>
        <w:t>重大关联交易</w:t>
      </w:r>
      <w:r>
        <w:rPr>
          <w:rFonts w:hint="eastAsia" w:ascii="仿宋" w:hAnsi="仿宋" w:eastAsia="仿宋" w:cs="仿宋"/>
          <w:b/>
          <w:bCs/>
          <w:sz w:val="32"/>
          <w:szCs w:val="32"/>
          <w:highlight w:val="none"/>
          <w:lang w:val="en-US" w:eastAsia="zh-CN"/>
        </w:rPr>
        <w:t>的公告</w:t>
      </w:r>
    </w:p>
    <w:p>
      <w:pPr>
        <w:ind w:firstLine="560" w:firstLineChars="200"/>
        <w:rPr>
          <w:rFonts w:hint="eastAsia" w:ascii="仿宋" w:hAnsi="仿宋" w:eastAsia="仿宋" w:cs="仿宋"/>
          <w:sz w:val="28"/>
          <w:szCs w:val="28"/>
          <w:highlight w:val="none"/>
        </w:rPr>
      </w:pP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本行及董事会全体成员保证公告内容的真实、准确和完整，没有虚假记载、误导性陈述或者重大遗漏。</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一、关联交易概述及交易标的情况</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因日常经营管理需要，本行拟对建湖邦泰农业科技有限公司（以下简称“邦泰农业”）新增授信1700万元。邦泰农业系本行主要法人股东</w:t>
      </w:r>
      <w:r>
        <w:rPr>
          <w:rFonts w:hint="eastAsia" w:ascii="仿宋" w:hAnsi="仿宋" w:eastAsia="仿宋" w:cs="仿宋"/>
          <w:sz w:val="28"/>
          <w:szCs w:val="28"/>
        </w:rPr>
        <w:t>建湖县城市资产经营公司</w:t>
      </w:r>
      <w:r>
        <w:rPr>
          <w:rFonts w:hint="eastAsia" w:ascii="仿宋" w:hAnsi="仿宋" w:eastAsia="仿宋" w:cs="仿宋"/>
          <w:sz w:val="28"/>
          <w:szCs w:val="28"/>
          <w:lang w:val="en-US" w:eastAsia="zh-CN"/>
        </w:rPr>
        <w:t>子公司，根据相关规定，本次授信构成重大关联交易。</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本次新增邦泰农业授信总额1700万元，品种为快易贷，担保方式为保证，保证人为建湖县旅游发展有限公司，期限96个月。</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二、交易对手情况</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公司名称：建湖邦泰农业科技有限公司</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企业类型：有限责任公司</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经营范围：建设工程施工；水产养殖；食品销售；发电业务、输电业务、供（配）电业务。技术服务、技术开发、技术咨询、技术交流、技术转让、技术推广；谷物种植；谷物销售；花卉种植；礼品花卉销售；蔬菜种植；新鲜蔬菜批发；新鲜蔬菜零售；水产品批发；水产品零售；农副产品销售；水果种植；林业产品销售；饲料添加剂销售；食用农产品批发；食用农产品零售；农业专业及辅助性活动；园林绿化工程施工；树木种植经营；土石方工程施工；金属材料销售；建筑工程机械与设备租赁；建筑材料销售；水泥制品销售；润滑油销售；五金产品批发；五金产品零售；电子元器件与机电组件设备销售；光伏发电设备租赁；光伏设备及元器件销售；机械设备销售；通讯设备销售；橡胶制品销售；金属矿石销售；电子产品销售；消毒剂销售（不含危险化学品）；日用品销售；电线、电缆经营；货物进出口；进出口代理（除依法须经批准的项目外，凭营业执照依法自主开展经营活动）。</w:t>
      </w:r>
    </w:p>
    <w:p>
      <w:p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法定代表人：秦以琛</w:t>
      </w:r>
    </w:p>
    <w:p>
      <w:p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注册地：建湖县县城金融和政务服务中心</w:t>
      </w:r>
      <w:bookmarkStart w:id="0" w:name="_GoBack"/>
      <w:bookmarkEnd w:id="0"/>
      <w:r>
        <w:rPr>
          <w:rFonts w:hint="eastAsia" w:ascii="仿宋" w:hAnsi="仿宋" w:eastAsia="仿宋" w:cs="仿宋"/>
          <w:sz w:val="28"/>
          <w:szCs w:val="28"/>
          <w:highlight w:val="none"/>
          <w:lang w:val="en-US" w:eastAsia="zh-CN"/>
        </w:rPr>
        <w:t>18层南楼</w:t>
      </w:r>
    </w:p>
    <w:p>
      <w:p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注册资本：1000万元</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与本行的关联关系：本行主要法人股东</w:t>
      </w:r>
      <w:r>
        <w:rPr>
          <w:rFonts w:hint="eastAsia" w:ascii="仿宋" w:hAnsi="仿宋" w:eastAsia="仿宋" w:cs="仿宋"/>
          <w:sz w:val="28"/>
          <w:szCs w:val="28"/>
        </w:rPr>
        <w:t>建湖县城市资产经营公司</w:t>
      </w:r>
      <w:r>
        <w:rPr>
          <w:rFonts w:hint="eastAsia" w:ascii="仿宋" w:hAnsi="仿宋" w:eastAsia="仿宋" w:cs="仿宋"/>
          <w:sz w:val="28"/>
          <w:szCs w:val="28"/>
          <w:lang w:val="en-US" w:eastAsia="zh-CN"/>
        </w:rPr>
        <w:t>子公司。</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三、定价政策</w:t>
      </w:r>
    </w:p>
    <w:p>
      <w:pPr>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上述关联交易事项为本行日常经营业务发展的需要，关联交易遵循自愿、平等、公平、公允的原则，交易定价根据市场价格进行，不存在损害本行及本行股东利益的情形。</w:t>
      </w:r>
    </w:p>
    <w:p>
      <w:pPr>
        <w:ind w:firstLine="560" w:firstLineChars="200"/>
        <w:rPr>
          <w:rFonts w:hint="eastAsia" w:ascii="仿宋" w:hAnsi="仿宋" w:eastAsia="仿宋" w:cs="仿宋"/>
          <w:sz w:val="28"/>
          <w:szCs w:val="28"/>
        </w:rPr>
      </w:pP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lang w:val="en-US" w:eastAsia="zh-CN"/>
        </w:rPr>
        <w:t>关联交易委员会及</w:t>
      </w:r>
      <w:r>
        <w:rPr>
          <w:rFonts w:hint="eastAsia" w:ascii="仿宋" w:hAnsi="仿宋" w:eastAsia="仿宋" w:cs="仿宋"/>
          <w:sz w:val="28"/>
          <w:szCs w:val="28"/>
        </w:rPr>
        <w:t>董事会</w:t>
      </w:r>
      <w:r>
        <w:rPr>
          <w:rFonts w:hint="eastAsia" w:ascii="仿宋" w:hAnsi="仿宋" w:eastAsia="仿宋" w:cs="仿宋"/>
          <w:sz w:val="28"/>
          <w:szCs w:val="28"/>
          <w:lang w:val="en-US" w:eastAsia="zh-CN"/>
        </w:rPr>
        <w:t>审议</w:t>
      </w:r>
      <w:r>
        <w:rPr>
          <w:rFonts w:hint="eastAsia" w:ascii="仿宋" w:hAnsi="仿宋" w:eastAsia="仿宋" w:cs="仿宋"/>
          <w:sz w:val="28"/>
          <w:szCs w:val="28"/>
        </w:rPr>
        <w:t>情况</w:t>
      </w:r>
    </w:p>
    <w:p>
      <w:pPr>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经本行董事会合规风险与关联交易控制委员会审查后，报</w:t>
      </w:r>
      <w:r>
        <w:rPr>
          <w:rFonts w:hint="eastAsia" w:ascii="仿宋" w:hAnsi="仿宋" w:eastAsia="仿宋" w:cs="仿宋"/>
          <w:sz w:val="28"/>
          <w:szCs w:val="28"/>
        </w:rPr>
        <w:t>第五届董事会</w:t>
      </w:r>
      <w:r>
        <w:rPr>
          <w:rFonts w:hint="eastAsia" w:ascii="仿宋" w:hAnsi="仿宋" w:eastAsia="仿宋" w:cs="仿宋"/>
          <w:sz w:val="28"/>
          <w:szCs w:val="28"/>
          <w:lang w:val="en-US" w:eastAsia="zh-CN"/>
        </w:rPr>
        <w:t>第十</w:t>
      </w:r>
      <w:r>
        <w:rPr>
          <w:rFonts w:hint="eastAsia" w:ascii="仿宋" w:hAnsi="仿宋" w:eastAsia="仿宋" w:cs="仿宋"/>
          <w:sz w:val="28"/>
          <w:szCs w:val="28"/>
        </w:rPr>
        <w:t>次临时会议审议通过</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五、</w:t>
      </w:r>
      <w:r>
        <w:rPr>
          <w:rFonts w:hint="eastAsia" w:ascii="仿宋" w:hAnsi="仿宋" w:eastAsia="仿宋" w:cs="仿宋"/>
          <w:sz w:val="28"/>
          <w:szCs w:val="28"/>
          <w:highlight w:val="none"/>
        </w:rPr>
        <w:t>独立董事发表意见情况</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rPr>
        <w:t>该笔重大关联交易业务授信调整属于银行正常经营范围内发生的常规业务；根据监管要求、本行公司章程及关联交易制度规定，履行了相应的内部审批程序；关联交易按照商业原则，以不优于对非关联方同类交易的条件进行，没有损害公司和股东的利益，符合关联交易管理要求的公允性原则，不影响本行独立性，不会对全行的持续经营能力、盈利能力及资产状况构成不利影响</w:t>
      </w:r>
      <w:r>
        <w:rPr>
          <w:rFonts w:hint="eastAsia" w:ascii="仿宋" w:hAnsi="仿宋" w:eastAsia="仿宋" w:cs="仿宋"/>
          <w:sz w:val="28"/>
          <w:szCs w:val="28"/>
          <w:highlight w:val="none"/>
          <w:lang w:eastAsia="zh-CN"/>
        </w:rPr>
        <w:t>。</w:t>
      </w:r>
    </w:p>
    <w:p>
      <w:pPr>
        <w:jc w:val="right"/>
        <w:rPr>
          <w:rFonts w:hint="eastAsia" w:ascii="仿宋" w:hAnsi="仿宋" w:eastAsia="仿宋" w:cs="仿宋"/>
          <w:sz w:val="28"/>
          <w:szCs w:val="28"/>
          <w:lang w:val="en-US" w:eastAsia="zh-CN"/>
        </w:rPr>
      </w:pPr>
    </w:p>
    <w:p>
      <w:pPr>
        <w:jc w:val="right"/>
        <w:rPr>
          <w:rFonts w:hint="eastAsia" w:ascii="仿宋" w:hAnsi="仿宋" w:eastAsia="仿宋" w:cs="仿宋"/>
          <w:sz w:val="28"/>
          <w:szCs w:val="28"/>
        </w:rPr>
      </w:pPr>
      <w:r>
        <w:rPr>
          <w:rFonts w:hint="eastAsia" w:ascii="仿宋" w:hAnsi="仿宋" w:eastAsia="仿宋" w:cs="仿宋"/>
          <w:sz w:val="28"/>
          <w:szCs w:val="28"/>
          <w:lang w:val="en-US" w:eastAsia="zh-CN"/>
        </w:rPr>
        <w:t>江苏建湖</w:t>
      </w:r>
      <w:r>
        <w:rPr>
          <w:rFonts w:hint="eastAsia" w:ascii="仿宋" w:hAnsi="仿宋" w:eastAsia="仿宋" w:cs="仿宋"/>
          <w:sz w:val="28"/>
          <w:szCs w:val="28"/>
        </w:rPr>
        <w:t>农村商业银行股份有限公司</w:t>
      </w:r>
    </w:p>
    <w:p>
      <w:pPr>
        <w:wordWrap w:val="0"/>
        <w:jc w:val="righ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2026年2月26日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935D8"/>
    <w:rsid w:val="003551B7"/>
    <w:rsid w:val="014E5DBC"/>
    <w:rsid w:val="050A7B79"/>
    <w:rsid w:val="05BA4388"/>
    <w:rsid w:val="05E935D8"/>
    <w:rsid w:val="086369DB"/>
    <w:rsid w:val="0E1C78AB"/>
    <w:rsid w:val="10AE3B69"/>
    <w:rsid w:val="12687729"/>
    <w:rsid w:val="162B33C4"/>
    <w:rsid w:val="17426B8D"/>
    <w:rsid w:val="1AE25CC7"/>
    <w:rsid w:val="1B0D4AAF"/>
    <w:rsid w:val="1FAF670B"/>
    <w:rsid w:val="228C5B0C"/>
    <w:rsid w:val="23427BCD"/>
    <w:rsid w:val="23A63D8D"/>
    <w:rsid w:val="25B64A48"/>
    <w:rsid w:val="29F33086"/>
    <w:rsid w:val="2A7861EC"/>
    <w:rsid w:val="2DA21DDC"/>
    <w:rsid w:val="2F33497E"/>
    <w:rsid w:val="2F9B4741"/>
    <w:rsid w:val="322B7FAE"/>
    <w:rsid w:val="33142A9E"/>
    <w:rsid w:val="35370209"/>
    <w:rsid w:val="35B22185"/>
    <w:rsid w:val="3667500A"/>
    <w:rsid w:val="3C5763DF"/>
    <w:rsid w:val="3E7A2A19"/>
    <w:rsid w:val="3FCC4F7F"/>
    <w:rsid w:val="40FC332F"/>
    <w:rsid w:val="412D433F"/>
    <w:rsid w:val="41BA25EF"/>
    <w:rsid w:val="42B61BB4"/>
    <w:rsid w:val="43D24287"/>
    <w:rsid w:val="44FD18D2"/>
    <w:rsid w:val="476C5DDD"/>
    <w:rsid w:val="47DE4152"/>
    <w:rsid w:val="4B73225D"/>
    <w:rsid w:val="50925430"/>
    <w:rsid w:val="5306355A"/>
    <w:rsid w:val="5935645A"/>
    <w:rsid w:val="5C2426D0"/>
    <w:rsid w:val="62191F17"/>
    <w:rsid w:val="63105496"/>
    <w:rsid w:val="65D01292"/>
    <w:rsid w:val="65E76E3D"/>
    <w:rsid w:val="67F81964"/>
    <w:rsid w:val="6A7E45FB"/>
    <w:rsid w:val="6BD61E79"/>
    <w:rsid w:val="6D632886"/>
    <w:rsid w:val="6EFA09F9"/>
    <w:rsid w:val="712E2AFC"/>
    <w:rsid w:val="715E396F"/>
    <w:rsid w:val="734E6846"/>
    <w:rsid w:val="73AD6124"/>
    <w:rsid w:val="74037F53"/>
    <w:rsid w:val="74EE685B"/>
    <w:rsid w:val="773076C4"/>
    <w:rsid w:val="783655E8"/>
    <w:rsid w:val="78C75A59"/>
    <w:rsid w:val="79D95BF8"/>
    <w:rsid w:val="7F550725"/>
    <w:rsid w:val="7FD30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8">
    <w:name w:val="heading 1"/>
    <w:basedOn w:val="1"/>
    <w:next w:val="1"/>
    <w:qFormat/>
    <w:uiPriority w:val="0"/>
    <w:pPr>
      <w:keepNext/>
      <w:keepLines/>
      <w:spacing w:line="480" w:lineRule="exact"/>
      <w:jc w:val="center"/>
      <w:outlineLvl w:val="0"/>
    </w:pPr>
    <w:rPr>
      <w:rFonts w:ascii="仿宋_GB2312" w:hAnsi="宋体" w:eastAsia="仿宋_GB2312"/>
      <w:b/>
      <w:bCs/>
      <w:kern w:val="44"/>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 段落4级"/>
    <w:qFormat/>
    <w:uiPriority w:val="0"/>
    <w:pPr>
      <w:spacing w:line="500" w:lineRule="exact"/>
      <w:outlineLvl w:val="3"/>
    </w:pPr>
    <w:rPr>
      <w:rFonts w:ascii="Times New Roman" w:hAnsi="Times New Roman" w:eastAsia="仿宋_GB2312" w:cs="Calibri"/>
      <w:b/>
      <w:kern w:val="2"/>
      <w:sz w:val="28"/>
      <w:szCs w:val="24"/>
      <w:lang w:val="en-US" w:eastAsia="zh-CN" w:bidi="ar-SA"/>
    </w:rPr>
  </w:style>
  <w:style w:type="paragraph" w:styleId="4">
    <w:name w:val="Body Text First Indent 2"/>
    <w:basedOn w:val="5"/>
    <w:next w:val="6"/>
    <w:qFormat/>
    <w:uiPriority w:val="0"/>
    <w:pPr>
      <w:ind w:left="420" w:leftChars="200" w:firstLine="420" w:firstLineChars="200"/>
    </w:pPr>
    <w:rPr>
      <w:rFonts w:cs="宋体"/>
      <w:szCs w:val="24"/>
      <w:lang w:eastAsia="en-US"/>
    </w:rPr>
  </w:style>
  <w:style w:type="paragraph" w:styleId="5">
    <w:name w:val="Body Text Indent"/>
    <w:basedOn w:val="1"/>
    <w:qFormat/>
    <w:uiPriority w:val="0"/>
    <w:pPr>
      <w:ind w:firstLine="600" w:firstLineChars="200"/>
    </w:pPr>
    <w:rPr>
      <w:rFonts w:ascii="Times New Roman" w:hAnsi="Times New Roman"/>
      <w:sz w:val="30"/>
      <w:szCs w:val="24"/>
    </w:rPr>
  </w:style>
  <w:style w:type="paragraph" w:styleId="6">
    <w:name w:val="Body Text First Indent"/>
    <w:basedOn w:val="7"/>
    <w:qFormat/>
    <w:uiPriority w:val="0"/>
    <w:pPr>
      <w:ind w:firstLine="420" w:firstLineChars="100"/>
    </w:pPr>
  </w:style>
  <w:style w:type="paragraph" w:styleId="7">
    <w:name w:val="Body Text"/>
    <w:basedOn w:val="1"/>
    <w:next w:val="1"/>
    <w:qFormat/>
    <w:uiPriority w:val="0"/>
    <w:pPr>
      <w:spacing w:after="120"/>
    </w:pPr>
    <w:rPr>
      <w:rFonts w:ascii="Calibri" w:hAnsi="Calibri" w:eastAsia="宋体" w:cs="Times New Roman"/>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Table Text"/>
    <w:basedOn w:val="1"/>
    <w:qFormat/>
    <w:uiPriority w:val="0"/>
    <w:rPr>
      <w:rFonts w:ascii="宋体" w:hAnsi="宋体" w:eastAsia="宋体" w:cs="宋体"/>
      <w:sz w:val="12"/>
      <w:szCs w:val="12"/>
      <w:lang w:val="en-US" w:eastAsia="en-US" w:bidi="ar-SA"/>
    </w:rPr>
  </w:style>
  <w:style w:type="table" w:customStyle="1" w:styleId="13">
    <w:name w:val="Table Normal"/>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2025-09-30T08:51:00Z</dcterms:created>
  <dc:creator>肖炜</dc:creator>
  <cp:lastModifiedBy>肖炜</cp:lastModifiedBy>
  <cp:lastPrinted>2026-02-26T08:00:58Z</cp:lastPrinted>
  <dcterms:modified xsi:type="dcterms:W3CDTF">2026-02-26T08:07:50Z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4E8E1E4E1A144078987D3269C2EF2AE1</vt:lpwstr>
  </property>
</Properties>
</file>