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江苏建湖农村商业银行股份有限公司2025年四季度一般关联交易信息披露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发布时间：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2026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15日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《</w:t>
      </w:r>
      <w:r>
        <w:rPr>
          <w:rFonts w:hint="eastAsia" w:ascii="仿宋" w:hAnsi="仿宋" w:eastAsia="仿宋" w:cs="仿宋"/>
          <w:sz w:val="32"/>
          <w:szCs w:val="32"/>
        </w:rPr>
        <w:t>银行保险机构关联交易管理办法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》相关</w:t>
      </w:r>
      <w:r>
        <w:rPr>
          <w:rFonts w:hint="eastAsia" w:ascii="仿宋" w:hAnsi="仿宋" w:eastAsia="仿宋" w:cs="仿宋"/>
          <w:sz w:val="32"/>
          <w:szCs w:val="32"/>
        </w:rPr>
        <w:t>规定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就本行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2025年四季度一般关联交易情况披露如下：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授信类关联交易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本行三季度与关联方发生一般关联交易授信业务，涉及46户，金额合计2329.38万元，具体为：向关联法人授信2户，金额1500万元；向关联自然人授信44户，金额829.38万元。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上述一般关联交易符合监管比例要求。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资产转移类关联交易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本行四季度无符合披露要求的资产转移类一般关联交易。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服务类关联交易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本行四季度无符合披露要求的服务类一般关联交易。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存款和其他类关联交易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本行四季度新发生定期存款关联交易，金额共计25.1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万元。</w:t>
      </w:r>
    </w:p>
    <w:p>
      <w:pPr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江苏建湖</w:t>
      </w:r>
      <w:r>
        <w:rPr>
          <w:rFonts w:hint="eastAsia" w:ascii="仿宋" w:hAnsi="仿宋" w:eastAsia="仿宋" w:cs="仿宋"/>
          <w:sz w:val="32"/>
          <w:szCs w:val="32"/>
        </w:rPr>
        <w:t>农村商业银行股份有限公司</w:t>
      </w:r>
    </w:p>
    <w:p>
      <w:pPr>
        <w:wordWrap w:val="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2026年1月15日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E935D8"/>
    <w:rsid w:val="003551B7"/>
    <w:rsid w:val="04312391"/>
    <w:rsid w:val="05E935D8"/>
    <w:rsid w:val="10AE3B69"/>
    <w:rsid w:val="214A76CA"/>
    <w:rsid w:val="22E75036"/>
    <w:rsid w:val="23427BCD"/>
    <w:rsid w:val="24D41FA9"/>
    <w:rsid w:val="25B64A48"/>
    <w:rsid w:val="28E650B6"/>
    <w:rsid w:val="29F33086"/>
    <w:rsid w:val="33075200"/>
    <w:rsid w:val="33142A9E"/>
    <w:rsid w:val="3667500A"/>
    <w:rsid w:val="41BA25EF"/>
    <w:rsid w:val="476C5DDD"/>
    <w:rsid w:val="47DE4152"/>
    <w:rsid w:val="5306355A"/>
    <w:rsid w:val="542B01F8"/>
    <w:rsid w:val="598C7161"/>
    <w:rsid w:val="5C2426D0"/>
    <w:rsid w:val="62191F17"/>
    <w:rsid w:val="65D01292"/>
    <w:rsid w:val="65D7214A"/>
    <w:rsid w:val="6D632886"/>
    <w:rsid w:val="6EFA09F9"/>
    <w:rsid w:val="74EE685B"/>
    <w:rsid w:val="774E169E"/>
    <w:rsid w:val="79D95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480" w:lineRule="exact"/>
      <w:jc w:val="center"/>
      <w:outlineLvl w:val="0"/>
    </w:pPr>
    <w:rPr>
      <w:rFonts w:ascii="仿宋_GB2312" w:hAnsi="宋体" w:eastAsia="仿宋_GB2312"/>
      <w:b/>
      <w:bCs/>
      <w:kern w:val="44"/>
      <w:sz w:val="28"/>
      <w:szCs w:val="28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Text"/>
    <w:basedOn w:val="1"/>
    <w:qFormat/>
    <w:uiPriority w:val="0"/>
    <w:rPr>
      <w:rFonts w:ascii="宋体" w:hAnsi="宋体" w:eastAsia="宋体" w:cs="宋体"/>
      <w:sz w:val="12"/>
      <w:szCs w:val="12"/>
      <w:lang w:val="en-US" w:eastAsia="en-US" w:bidi="ar-SA"/>
    </w:rPr>
  </w:style>
  <w:style w:type="table" w:customStyle="1" w:styleId="7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2025-09-30T08:51:00Z</dcterms:created>
  <dc:creator>肖炜</dc:creator>
  <cp:lastModifiedBy>李迎峰</cp:lastModifiedBy>
  <dcterms:modified xsi:type="dcterms:W3CDTF">2026-01-15T08:02:47Z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4E8E1E4E1A144078987D3269C2EF2AE1</vt:lpwstr>
  </property>
</Properties>
</file>