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sz w:val="28"/>
          <w:szCs w:val="28"/>
          <w:highlight w:val="none"/>
        </w:rPr>
      </w:pPr>
      <w:r>
        <w:rPr>
          <w:rFonts w:hint="eastAsia" w:ascii="仿宋" w:hAnsi="仿宋" w:eastAsia="仿宋" w:cs="仿宋"/>
          <w:sz w:val="28"/>
          <w:szCs w:val="28"/>
          <w:lang w:val="en-US" w:eastAsia="zh-CN"/>
        </w:rPr>
        <w:t>江苏建湖</w:t>
      </w:r>
      <w:r>
        <w:rPr>
          <w:rFonts w:hint="eastAsia" w:ascii="仿宋" w:hAnsi="仿宋" w:eastAsia="仿宋" w:cs="仿宋"/>
          <w:sz w:val="28"/>
          <w:szCs w:val="28"/>
          <w:highlight w:val="none"/>
        </w:rPr>
        <w:t>农村商业银行股份有限公司重大关联交易信息披露</w:t>
      </w:r>
    </w:p>
    <w:p>
      <w:pPr>
        <w:jc w:val="center"/>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发布时间：</w:t>
      </w:r>
      <w:r>
        <w:rPr>
          <w:rFonts w:hint="eastAsia" w:ascii="仿宋" w:hAnsi="仿宋" w:eastAsia="仿宋" w:cs="仿宋"/>
          <w:sz w:val="28"/>
          <w:szCs w:val="28"/>
          <w:highlight w:val="none"/>
          <w:lang w:val="en-US" w:eastAsia="zh-CN"/>
        </w:rPr>
        <w:t>2026</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5日</w:t>
      </w:r>
    </w:p>
    <w:p>
      <w:pPr>
        <w:ind w:firstLine="560" w:firstLineChars="200"/>
        <w:rPr>
          <w:rFonts w:hint="eastAsia" w:ascii="仿宋" w:hAnsi="仿宋" w:eastAsia="仿宋" w:cs="仿宋"/>
          <w:sz w:val="28"/>
          <w:szCs w:val="28"/>
          <w:highlight w:val="none"/>
        </w:rPr>
      </w:pPr>
    </w:p>
    <w:p>
      <w:pPr>
        <w:ind w:firstLine="560" w:firstLineChars="200"/>
        <w:rPr>
          <w:rFonts w:hint="eastAsia" w:ascii="仿宋" w:hAnsi="仿宋" w:eastAsia="仿宋" w:cs="仿宋"/>
          <w:sz w:val="28"/>
          <w:szCs w:val="28"/>
        </w:rPr>
      </w:pPr>
      <w:r>
        <w:rPr>
          <w:rFonts w:hint="eastAsia" w:ascii="仿宋" w:hAnsi="仿宋" w:eastAsia="仿宋" w:cs="仿宋"/>
          <w:sz w:val="28"/>
          <w:szCs w:val="28"/>
          <w:highlight w:val="none"/>
        </w:rPr>
        <w:t>根据</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银行保险机构关联交易管理办法</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的监管规定</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现将</w:t>
      </w:r>
      <w:r>
        <w:rPr>
          <w:rFonts w:hint="eastAsia" w:ascii="仿宋" w:hAnsi="仿宋" w:eastAsia="仿宋" w:cs="仿宋"/>
          <w:sz w:val="28"/>
          <w:szCs w:val="28"/>
          <w:highlight w:val="none"/>
          <w:lang w:val="en-US" w:eastAsia="zh-CN"/>
        </w:rPr>
        <w:t>江苏建湖</w:t>
      </w:r>
      <w:r>
        <w:rPr>
          <w:rFonts w:hint="eastAsia" w:ascii="仿宋" w:hAnsi="仿宋" w:eastAsia="仿宋" w:cs="仿宋"/>
          <w:sz w:val="28"/>
          <w:szCs w:val="28"/>
          <w:highlight w:val="none"/>
        </w:rPr>
        <w:t>农村商业银行股份有限公</w:t>
      </w:r>
      <w:r>
        <w:rPr>
          <w:rFonts w:hint="eastAsia" w:ascii="仿宋" w:hAnsi="仿宋" w:eastAsia="仿宋" w:cs="仿宋"/>
          <w:sz w:val="28"/>
          <w:szCs w:val="28"/>
        </w:rPr>
        <w:t>司</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以下简称</w:t>
      </w:r>
      <w:r>
        <w:rPr>
          <w:rFonts w:hint="eastAsia" w:ascii="仿宋" w:hAnsi="仿宋" w:eastAsia="仿宋" w:cs="仿宋"/>
          <w:sz w:val="28"/>
          <w:szCs w:val="28"/>
        </w:rPr>
        <w:t>“本行”</w:t>
      </w:r>
      <w:r>
        <w:rPr>
          <w:rFonts w:hint="eastAsia" w:ascii="仿宋" w:hAnsi="仿宋" w:eastAsia="仿宋" w:cs="仿宋"/>
          <w:sz w:val="28"/>
          <w:szCs w:val="28"/>
          <w:lang w:eastAsia="zh-CN"/>
        </w:rPr>
        <w:t>）</w:t>
      </w:r>
      <w:r>
        <w:rPr>
          <w:rFonts w:hint="eastAsia" w:ascii="仿宋" w:hAnsi="仿宋" w:eastAsia="仿宋" w:cs="仿宋"/>
          <w:sz w:val="28"/>
          <w:szCs w:val="28"/>
        </w:rPr>
        <w:t>与建湖县城市资产经营公司发生的重大关联交易信息披露如下</w:t>
      </w:r>
      <w:r>
        <w:rPr>
          <w:rFonts w:hint="eastAsia" w:ascii="仿宋" w:hAnsi="仿宋" w:eastAsia="仿宋" w:cs="仿宋"/>
          <w:sz w:val="28"/>
          <w:szCs w:val="28"/>
          <w:lang w:eastAsia="zh-CN"/>
        </w:rPr>
        <w:t>：</w:t>
      </w:r>
    </w:p>
    <w:p>
      <w:pPr>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一</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关联交易概述及交易标的情况</w:t>
      </w:r>
    </w:p>
    <w:p>
      <w:pPr>
        <w:ind w:firstLine="560" w:firstLineChars="200"/>
        <w:rPr>
          <w:rFonts w:hint="eastAsia" w:ascii="仿宋" w:hAnsi="仿宋" w:eastAsia="仿宋" w:cs="仿宋"/>
          <w:sz w:val="28"/>
          <w:szCs w:val="28"/>
          <w:vertAlign w:val="baseline"/>
        </w:rPr>
      </w:pPr>
      <w:r>
        <w:rPr>
          <w:rFonts w:hint="eastAsia" w:ascii="仿宋" w:hAnsi="仿宋" w:eastAsia="仿宋" w:cs="仿宋"/>
          <w:sz w:val="28"/>
          <w:szCs w:val="28"/>
        </w:rPr>
        <w:t>建湖县城市资产经营公司</w:t>
      </w:r>
      <w:r>
        <w:rPr>
          <w:rFonts w:hint="eastAsia" w:ascii="仿宋" w:hAnsi="仿宋" w:eastAsia="仿宋" w:cs="仿宋"/>
          <w:sz w:val="28"/>
          <w:szCs w:val="28"/>
          <w:lang w:val="en-US" w:eastAsia="zh-CN"/>
        </w:rPr>
        <w:t>集团子公司建湖县智农农业科技发展有限公司</w:t>
      </w:r>
      <w:r>
        <w:rPr>
          <w:rFonts w:hint="eastAsia" w:ascii="仿宋" w:hAnsi="仿宋" w:eastAsia="仿宋" w:cs="仿宋"/>
          <w:sz w:val="28"/>
          <w:szCs w:val="28"/>
        </w:rPr>
        <w:t>持有本行9450</w:t>
      </w:r>
      <w:r>
        <w:rPr>
          <w:rFonts w:hint="eastAsia" w:ascii="仿宋" w:hAnsi="仿宋" w:eastAsia="仿宋" w:cs="仿宋"/>
          <w:sz w:val="28"/>
          <w:szCs w:val="28"/>
          <w:lang w:val="en-US" w:eastAsia="zh-CN"/>
        </w:rPr>
        <w:t>.</w:t>
      </w:r>
      <w:r>
        <w:rPr>
          <w:rFonts w:hint="eastAsia" w:ascii="仿宋" w:hAnsi="仿宋" w:eastAsia="仿宋" w:cs="仿宋"/>
          <w:sz w:val="28"/>
          <w:szCs w:val="28"/>
        </w:rPr>
        <w:t>114</w:t>
      </w:r>
      <w:r>
        <w:rPr>
          <w:rFonts w:hint="eastAsia" w:ascii="仿宋" w:hAnsi="仿宋" w:eastAsia="仿宋" w:cs="仿宋"/>
          <w:sz w:val="28"/>
          <w:szCs w:val="28"/>
          <w:lang w:val="en-US" w:eastAsia="zh-CN"/>
        </w:rPr>
        <w:t>万</w:t>
      </w:r>
      <w:r>
        <w:rPr>
          <w:rFonts w:hint="eastAsia" w:ascii="仿宋" w:hAnsi="仿宋" w:eastAsia="仿宋" w:cs="仿宋"/>
          <w:sz w:val="28"/>
          <w:szCs w:val="28"/>
        </w:rPr>
        <w:t>股，占比9.9</w:t>
      </w:r>
      <w:r>
        <w:rPr>
          <w:rFonts w:hint="eastAsia" w:ascii="仿宋" w:hAnsi="仿宋" w:eastAsia="仿宋" w:cs="仿宋"/>
          <w:sz w:val="28"/>
          <w:szCs w:val="28"/>
          <w:lang w:val="en-US" w:eastAsia="zh-CN"/>
        </w:rPr>
        <w:t>0</w:t>
      </w:r>
      <w:r>
        <w:rPr>
          <w:rFonts w:hint="eastAsia" w:ascii="仿宋" w:hAnsi="仿宋" w:eastAsia="仿宋" w:cs="仿宋"/>
          <w:sz w:val="28"/>
          <w:szCs w:val="28"/>
        </w:rPr>
        <w:t>%</w:t>
      </w:r>
      <w:r>
        <w:rPr>
          <w:rFonts w:hint="eastAsia" w:ascii="仿宋" w:hAnsi="仿宋" w:eastAsia="仿宋" w:cs="仿宋"/>
          <w:sz w:val="28"/>
          <w:szCs w:val="28"/>
          <w:lang w:eastAsia="zh-CN"/>
        </w:rPr>
        <w:t>，</w:t>
      </w:r>
      <w:r>
        <w:rPr>
          <w:rFonts w:hint="eastAsia" w:ascii="仿宋" w:hAnsi="仿宋" w:eastAsia="仿宋" w:cs="仿宋"/>
          <w:sz w:val="28"/>
          <w:szCs w:val="28"/>
        </w:rPr>
        <w:t>为本行主要股东</w:t>
      </w:r>
      <w:r>
        <w:rPr>
          <w:rFonts w:hint="eastAsia" w:ascii="仿宋" w:hAnsi="仿宋" w:eastAsia="仿宋" w:cs="仿宋"/>
          <w:sz w:val="28"/>
          <w:szCs w:val="28"/>
          <w:lang w:eastAsia="zh-CN"/>
        </w:rPr>
        <w:t>。</w:t>
      </w:r>
      <w:r>
        <w:rPr>
          <w:rFonts w:hint="eastAsia" w:ascii="仿宋" w:hAnsi="仿宋" w:eastAsia="仿宋" w:cs="仿宋"/>
          <w:sz w:val="28"/>
          <w:szCs w:val="28"/>
        </w:rPr>
        <w:t>本次对建湖县城市资产经营公司</w:t>
      </w:r>
      <w:r>
        <w:rPr>
          <w:rFonts w:hint="eastAsia" w:ascii="仿宋" w:hAnsi="仿宋" w:eastAsia="仿宋" w:cs="仿宋"/>
          <w:sz w:val="28"/>
          <w:szCs w:val="28"/>
          <w:lang w:val="en-US" w:eastAsia="zh-CN"/>
        </w:rPr>
        <w:t>集团子公司建湖县龙华园林绿化工程有限公司新增</w:t>
      </w:r>
      <w:r>
        <w:rPr>
          <w:rFonts w:hint="eastAsia" w:ascii="仿宋" w:hAnsi="仿宋" w:eastAsia="仿宋" w:cs="仿宋"/>
          <w:sz w:val="28"/>
          <w:szCs w:val="28"/>
        </w:rPr>
        <w:t>授信</w:t>
      </w:r>
      <w:r>
        <w:rPr>
          <w:rFonts w:hint="eastAsia" w:ascii="仿宋" w:hAnsi="仿宋" w:eastAsia="仿宋" w:cs="仿宋"/>
          <w:sz w:val="28"/>
          <w:szCs w:val="28"/>
          <w:lang w:val="en-US" w:eastAsia="zh-CN"/>
        </w:rPr>
        <w:t>2000</w:t>
      </w:r>
      <w:r>
        <w:rPr>
          <w:rFonts w:hint="eastAsia" w:ascii="仿宋" w:hAnsi="仿宋" w:eastAsia="仿宋" w:cs="仿宋"/>
          <w:sz w:val="28"/>
          <w:szCs w:val="28"/>
        </w:rPr>
        <w:t>万元</w:t>
      </w:r>
      <w:r>
        <w:rPr>
          <w:rFonts w:hint="eastAsia" w:ascii="仿宋" w:hAnsi="仿宋" w:eastAsia="仿宋" w:cs="仿宋"/>
          <w:sz w:val="28"/>
          <w:szCs w:val="28"/>
          <w:lang w:eastAsia="zh-CN"/>
        </w:rPr>
        <w:t>、盐城航尔建筑工程有限公司</w:t>
      </w:r>
      <w:r>
        <w:rPr>
          <w:rFonts w:hint="eastAsia" w:ascii="仿宋" w:hAnsi="仿宋" w:eastAsia="仿宋" w:cs="仿宋"/>
          <w:sz w:val="28"/>
          <w:szCs w:val="28"/>
          <w:lang w:val="en-US" w:eastAsia="zh-CN"/>
        </w:rPr>
        <w:t>新增授信995万元、盐城盛尔德实业发展有限公司新增授信995万元、建湖城东现代园艺科技示范园有限公司新增</w:t>
      </w:r>
      <w:r>
        <w:rPr>
          <w:rFonts w:hint="eastAsia" w:ascii="仿宋" w:hAnsi="仿宋" w:eastAsia="仿宋" w:cs="仿宋"/>
          <w:sz w:val="28"/>
          <w:szCs w:val="28"/>
        </w:rPr>
        <w:t>授信</w:t>
      </w:r>
      <w:r>
        <w:rPr>
          <w:rFonts w:hint="eastAsia" w:ascii="仿宋" w:hAnsi="仿宋" w:eastAsia="仿宋" w:cs="仿宋"/>
          <w:sz w:val="28"/>
          <w:szCs w:val="28"/>
          <w:lang w:val="en-US" w:eastAsia="zh-CN"/>
        </w:rPr>
        <w:t>2000</w:t>
      </w:r>
      <w:r>
        <w:rPr>
          <w:rFonts w:hint="eastAsia" w:ascii="仿宋" w:hAnsi="仿宋" w:eastAsia="仿宋" w:cs="仿宋"/>
          <w:sz w:val="28"/>
          <w:szCs w:val="28"/>
        </w:rPr>
        <w:t>万元</w:t>
      </w:r>
      <w:r>
        <w:rPr>
          <w:rFonts w:hint="eastAsia" w:ascii="仿宋" w:hAnsi="仿宋" w:eastAsia="仿宋" w:cs="仿宋"/>
          <w:sz w:val="28"/>
          <w:szCs w:val="28"/>
          <w:lang w:eastAsia="zh-CN"/>
        </w:rPr>
        <w:t>。</w:t>
      </w:r>
      <w:r>
        <w:rPr>
          <w:rFonts w:hint="eastAsia" w:ascii="仿宋" w:hAnsi="仿宋" w:eastAsia="仿宋" w:cs="仿宋"/>
          <w:sz w:val="28"/>
          <w:szCs w:val="28"/>
        </w:rPr>
        <w:t>截至披露</w:t>
      </w:r>
      <w:r>
        <w:rPr>
          <w:rFonts w:hint="eastAsia" w:ascii="仿宋" w:hAnsi="仿宋" w:eastAsia="仿宋" w:cs="仿宋"/>
          <w:sz w:val="28"/>
          <w:szCs w:val="28"/>
          <w:lang w:val="en-US" w:eastAsia="zh-CN"/>
        </w:rPr>
        <w:t>日，</w:t>
      </w:r>
      <w:r>
        <w:rPr>
          <w:rFonts w:hint="eastAsia" w:ascii="仿宋" w:hAnsi="仿宋" w:eastAsia="仿宋" w:cs="仿宋"/>
          <w:sz w:val="28"/>
          <w:szCs w:val="28"/>
        </w:rPr>
        <w:t>本行已对建湖县城市资产经营公司</w:t>
      </w:r>
      <w:r>
        <w:rPr>
          <w:rFonts w:hint="eastAsia" w:ascii="仿宋" w:hAnsi="仿宋" w:eastAsia="仿宋" w:cs="仿宋"/>
          <w:sz w:val="28"/>
          <w:szCs w:val="28"/>
          <w:lang w:val="en-US" w:eastAsia="zh-CN"/>
        </w:rPr>
        <w:t>集团</w:t>
      </w:r>
      <w:r>
        <w:rPr>
          <w:rFonts w:hint="eastAsia" w:ascii="仿宋" w:hAnsi="仿宋" w:eastAsia="仿宋" w:cs="仿宋"/>
          <w:sz w:val="28"/>
          <w:szCs w:val="28"/>
        </w:rPr>
        <w:t>授信</w:t>
      </w:r>
      <w:r>
        <w:rPr>
          <w:rFonts w:hint="eastAsia" w:ascii="仿宋" w:hAnsi="仿宋" w:eastAsia="仿宋" w:cs="仿宋"/>
          <w:sz w:val="28"/>
          <w:szCs w:val="28"/>
          <w:lang w:val="en-US" w:eastAsia="zh-CN"/>
        </w:rPr>
        <w:t>共计</w:t>
      </w:r>
      <w:r>
        <w:rPr>
          <w:rFonts w:hint="eastAsia" w:ascii="仿宋" w:hAnsi="仿宋" w:eastAsia="仿宋" w:cs="仿宋"/>
          <w:sz w:val="28"/>
          <w:szCs w:val="28"/>
          <w:lang w:eastAsia="zh-CN"/>
        </w:rPr>
        <w:t>53410</w:t>
      </w:r>
      <w:r>
        <w:rPr>
          <w:rFonts w:hint="eastAsia" w:ascii="仿宋" w:hAnsi="仿宋" w:eastAsia="仿宋" w:cs="仿宋"/>
          <w:sz w:val="28"/>
          <w:szCs w:val="28"/>
          <w:lang w:val="en-US" w:eastAsia="zh-CN"/>
        </w:rPr>
        <w:t>万元，其中贷款净授信</w:t>
      </w:r>
      <w:bookmarkStart w:id="0" w:name="_GoBack"/>
      <w:bookmarkEnd w:id="0"/>
      <w:r>
        <w:rPr>
          <w:rFonts w:hint="eastAsia" w:ascii="仿宋" w:hAnsi="仿宋" w:eastAsia="仿宋" w:cs="仿宋"/>
          <w:sz w:val="28"/>
          <w:szCs w:val="28"/>
          <w:lang w:val="en-US" w:eastAsia="zh-CN"/>
        </w:rPr>
        <w:t>37410</w:t>
      </w:r>
      <w:r>
        <w:rPr>
          <w:rFonts w:hint="eastAsia" w:ascii="仿宋" w:hAnsi="仿宋" w:eastAsia="仿宋" w:cs="仿宋"/>
          <w:sz w:val="28"/>
          <w:szCs w:val="28"/>
        </w:rPr>
        <w:t>万元</w:t>
      </w:r>
      <w:r>
        <w:rPr>
          <w:rFonts w:hint="eastAsia" w:ascii="仿宋" w:hAnsi="仿宋" w:eastAsia="仿宋" w:cs="仿宋"/>
          <w:sz w:val="28"/>
          <w:szCs w:val="28"/>
          <w:lang w:eastAsia="zh-CN"/>
        </w:rPr>
        <w:t>，</w:t>
      </w:r>
      <w:r>
        <w:rPr>
          <w:rFonts w:hint="eastAsia" w:ascii="仿宋" w:hAnsi="仿宋" w:eastAsia="仿宋" w:cs="仿宋"/>
          <w:sz w:val="28"/>
          <w:szCs w:val="28"/>
        </w:rPr>
        <w:t>已用信</w:t>
      </w:r>
      <w:r>
        <w:rPr>
          <w:rFonts w:hint="eastAsia" w:ascii="仿宋" w:hAnsi="仿宋" w:eastAsia="仿宋" w:cs="仿宋"/>
          <w:sz w:val="28"/>
          <w:szCs w:val="28"/>
          <w:lang w:val="en-US" w:eastAsia="zh-CN"/>
        </w:rPr>
        <w:t>37410</w:t>
      </w:r>
      <w:r>
        <w:rPr>
          <w:rFonts w:hint="eastAsia" w:ascii="仿宋" w:hAnsi="仿宋" w:eastAsia="仿宋" w:cs="仿宋"/>
          <w:sz w:val="28"/>
          <w:szCs w:val="28"/>
        </w:rPr>
        <w:t>万元</w:t>
      </w:r>
      <w:r>
        <w:rPr>
          <w:rFonts w:hint="eastAsia" w:ascii="仿宋" w:hAnsi="仿宋" w:eastAsia="仿宋" w:cs="仿宋"/>
          <w:sz w:val="28"/>
          <w:szCs w:val="28"/>
          <w:lang w:eastAsia="zh-CN"/>
        </w:rPr>
        <w:t>，</w:t>
      </w:r>
      <w:r>
        <w:rPr>
          <w:rFonts w:hint="eastAsia" w:ascii="仿宋" w:hAnsi="仿宋" w:eastAsia="仿宋" w:cs="仿宋"/>
          <w:sz w:val="28"/>
          <w:szCs w:val="28"/>
        </w:rPr>
        <w:t>涉及</w:t>
      </w:r>
      <w:r>
        <w:rPr>
          <w:rFonts w:hint="eastAsia" w:ascii="仿宋" w:hAnsi="仿宋" w:eastAsia="仿宋" w:cs="仿宋"/>
          <w:sz w:val="28"/>
          <w:szCs w:val="28"/>
          <w:lang w:val="en-US" w:eastAsia="zh-CN"/>
        </w:rPr>
        <w:t>十六</w:t>
      </w:r>
      <w:r>
        <w:rPr>
          <w:rFonts w:hint="eastAsia" w:ascii="仿宋" w:hAnsi="仿宋" w:eastAsia="仿宋" w:cs="仿宋"/>
          <w:sz w:val="28"/>
          <w:szCs w:val="28"/>
        </w:rPr>
        <w:t>家公司</w:t>
      </w:r>
      <w:r>
        <w:rPr>
          <w:rFonts w:hint="eastAsia" w:ascii="仿宋" w:hAnsi="仿宋" w:eastAsia="仿宋" w:cs="仿宋"/>
          <w:sz w:val="28"/>
          <w:szCs w:val="28"/>
          <w:lang w:eastAsia="zh-CN"/>
        </w:rPr>
        <w:t>，</w:t>
      </w:r>
      <w:r>
        <w:rPr>
          <w:rFonts w:hint="eastAsia" w:ascii="仿宋" w:hAnsi="仿宋" w:eastAsia="仿宋" w:cs="仿宋"/>
          <w:sz w:val="28"/>
          <w:szCs w:val="28"/>
        </w:rPr>
        <w:t>具体</w:t>
      </w:r>
      <w:r>
        <w:rPr>
          <w:rFonts w:hint="eastAsia" w:ascii="仿宋" w:hAnsi="仿宋" w:eastAsia="仿宋" w:cs="仿宋"/>
          <w:sz w:val="28"/>
          <w:szCs w:val="28"/>
          <w:lang w:val="en-US" w:eastAsia="zh-CN"/>
        </w:rPr>
        <w:t>明细</w:t>
      </w:r>
      <w:r>
        <w:rPr>
          <w:rFonts w:hint="eastAsia" w:ascii="仿宋" w:hAnsi="仿宋" w:eastAsia="仿宋" w:cs="仿宋"/>
          <w:sz w:val="28"/>
          <w:szCs w:val="28"/>
        </w:rPr>
        <w:t>如下</w:t>
      </w:r>
      <w:r>
        <w:rPr>
          <w:rFonts w:hint="eastAsia" w:ascii="仿宋" w:hAnsi="仿宋" w:eastAsia="仿宋" w:cs="仿宋"/>
          <w:sz w:val="28"/>
          <w:szCs w:val="28"/>
          <w:lang w:val="en-US" w:eastAsia="zh-CN"/>
        </w:rPr>
        <w:t>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8"/>
        <w:gridCol w:w="2310"/>
        <w:gridCol w:w="2280"/>
        <w:gridCol w:w="2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98"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310"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公司名称</w:t>
            </w:r>
          </w:p>
        </w:tc>
        <w:tc>
          <w:tcPr>
            <w:tcW w:w="228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授信额度</w:t>
            </w:r>
          </w:p>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（万元）</w:t>
            </w:r>
          </w:p>
        </w:tc>
        <w:tc>
          <w:tcPr>
            <w:tcW w:w="222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用信额度</w:t>
            </w:r>
          </w:p>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98"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31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建湖县交通建设发展有限公司</w:t>
            </w:r>
          </w:p>
        </w:tc>
        <w:tc>
          <w:tcPr>
            <w:tcW w:w="2280"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1920</w:t>
            </w:r>
          </w:p>
        </w:tc>
        <w:tc>
          <w:tcPr>
            <w:tcW w:w="2220"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98"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31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建湖县水利建设发展有限公司</w:t>
            </w:r>
          </w:p>
        </w:tc>
        <w:tc>
          <w:tcPr>
            <w:tcW w:w="228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9710</w:t>
            </w:r>
          </w:p>
        </w:tc>
        <w:tc>
          <w:tcPr>
            <w:tcW w:w="2220"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9710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98"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31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建湖县城南建设投资有限公司</w:t>
            </w:r>
          </w:p>
        </w:tc>
        <w:tc>
          <w:tcPr>
            <w:tcW w:w="228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960</w:t>
            </w:r>
          </w:p>
        </w:tc>
        <w:tc>
          <w:tcPr>
            <w:tcW w:w="2220"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98"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31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建湖县塘丰农业科技发展有限公司</w:t>
            </w:r>
          </w:p>
        </w:tc>
        <w:tc>
          <w:tcPr>
            <w:tcW w:w="228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1930</w:t>
            </w:r>
          </w:p>
        </w:tc>
        <w:tc>
          <w:tcPr>
            <w:tcW w:w="2220"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1930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98"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31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建湖县塘景置业有限公司</w:t>
            </w:r>
          </w:p>
        </w:tc>
        <w:tc>
          <w:tcPr>
            <w:tcW w:w="228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1930</w:t>
            </w:r>
          </w:p>
        </w:tc>
        <w:tc>
          <w:tcPr>
            <w:tcW w:w="2220"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1930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98"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31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建湖县智农农业科技发展有限公司</w:t>
            </w:r>
          </w:p>
        </w:tc>
        <w:tc>
          <w:tcPr>
            <w:tcW w:w="228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2240</w:t>
            </w:r>
          </w:p>
        </w:tc>
        <w:tc>
          <w:tcPr>
            <w:tcW w:w="2220"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98"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31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建湖县昌泽农业发展有限公司</w:t>
            </w:r>
          </w:p>
        </w:tc>
        <w:tc>
          <w:tcPr>
            <w:tcW w:w="228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2230</w:t>
            </w:r>
          </w:p>
        </w:tc>
        <w:tc>
          <w:tcPr>
            <w:tcW w:w="2220"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98"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31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建湖县恒资实业有限公司</w:t>
            </w:r>
          </w:p>
        </w:tc>
        <w:tc>
          <w:tcPr>
            <w:tcW w:w="228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1900</w:t>
            </w:r>
          </w:p>
        </w:tc>
        <w:tc>
          <w:tcPr>
            <w:tcW w:w="2220"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98"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31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盐城君泰文化旅游发展有限公司</w:t>
            </w:r>
          </w:p>
        </w:tc>
        <w:tc>
          <w:tcPr>
            <w:tcW w:w="228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1450</w:t>
            </w:r>
          </w:p>
        </w:tc>
        <w:tc>
          <w:tcPr>
            <w:tcW w:w="2220"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98"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10</w:t>
            </w:r>
          </w:p>
        </w:tc>
        <w:tc>
          <w:tcPr>
            <w:tcW w:w="231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盐城双湖文旅发展集团有限公司</w:t>
            </w:r>
          </w:p>
        </w:tc>
        <w:tc>
          <w:tcPr>
            <w:tcW w:w="228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2800</w:t>
            </w:r>
          </w:p>
        </w:tc>
        <w:tc>
          <w:tcPr>
            <w:tcW w:w="2220"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98"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11</w:t>
            </w:r>
          </w:p>
        </w:tc>
        <w:tc>
          <w:tcPr>
            <w:tcW w:w="231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建湖县志同创业园服务有限公司</w:t>
            </w:r>
          </w:p>
        </w:tc>
        <w:tc>
          <w:tcPr>
            <w:tcW w:w="228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1400</w:t>
            </w:r>
          </w:p>
        </w:tc>
        <w:tc>
          <w:tcPr>
            <w:tcW w:w="2220"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98"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12</w:t>
            </w:r>
          </w:p>
        </w:tc>
        <w:tc>
          <w:tcPr>
            <w:tcW w:w="231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建湖县嘉益科技发展有限公司</w:t>
            </w:r>
          </w:p>
        </w:tc>
        <w:tc>
          <w:tcPr>
            <w:tcW w:w="228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2950</w:t>
            </w:r>
          </w:p>
        </w:tc>
        <w:tc>
          <w:tcPr>
            <w:tcW w:w="2220"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98"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13</w:t>
            </w:r>
          </w:p>
        </w:tc>
        <w:tc>
          <w:tcPr>
            <w:tcW w:w="231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建湖县龙华园林绿化工程有限公司</w:t>
            </w:r>
          </w:p>
        </w:tc>
        <w:tc>
          <w:tcPr>
            <w:tcW w:w="228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2000</w:t>
            </w:r>
          </w:p>
        </w:tc>
        <w:tc>
          <w:tcPr>
            <w:tcW w:w="222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98"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14</w:t>
            </w:r>
          </w:p>
        </w:tc>
        <w:tc>
          <w:tcPr>
            <w:tcW w:w="231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盐城航尔建筑工程有限公司</w:t>
            </w:r>
          </w:p>
        </w:tc>
        <w:tc>
          <w:tcPr>
            <w:tcW w:w="228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995</w:t>
            </w:r>
          </w:p>
        </w:tc>
        <w:tc>
          <w:tcPr>
            <w:tcW w:w="222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98"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15</w:t>
            </w:r>
          </w:p>
        </w:tc>
        <w:tc>
          <w:tcPr>
            <w:tcW w:w="231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盐城盛尔德实业发展有限公司</w:t>
            </w:r>
          </w:p>
        </w:tc>
        <w:tc>
          <w:tcPr>
            <w:tcW w:w="228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995</w:t>
            </w:r>
          </w:p>
        </w:tc>
        <w:tc>
          <w:tcPr>
            <w:tcW w:w="222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98"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16</w:t>
            </w:r>
          </w:p>
        </w:tc>
        <w:tc>
          <w:tcPr>
            <w:tcW w:w="231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建湖城东现代园艺科技示范园有限公司</w:t>
            </w:r>
          </w:p>
        </w:tc>
        <w:tc>
          <w:tcPr>
            <w:tcW w:w="228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2000</w:t>
            </w:r>
          </w:p>
        </w:tc>
        <w:tc>
          <w:tcPr>
            <w:tcW w:w="222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98" w:type="dxa"/>
            <w:vAlign w:val="center"/>
          </w:tcPr>
          <w:p>
            <w:pPr>
              <w:jc w:val="center"/>
              <w:rPr>
                <w:rFonts w:hint="eastAsia" w:ascii="仿宋" w:hAnsi="仿宋" w:eastAsia="仿宋" w:cs="仿宋"/>
                <w:sz w:val="24"/>
                <w:szCs w:val="24"/>
                <w:vertAlign w:val="baseline"/>
                <w:lang w:val="en-US" w:eastAsia="zh-CN"/>
              </w:rPr>
            </w:pPr>
          </w:p>
        </w:tc>
        <w:tc>
          <w:tcPr>
            <w:tcW w:w="2310"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合计</w:t>
            </w:r>
          </w:p>
        </w:tc>
        <w:tc>
          <w:tcPr>
            <w:tcW w:w="228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37410</w:t>
            </w:r>
          </w:p>
        </w:tc>
        <w:tc>
          <w:tcPr>
            <w:tcW w:w="2220"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37410</w:t>
            </w:r>
          </w:p>
        </w:tc>
      </w:tr>
    </w:tbl>
    <w:p>
      <w:pPr>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二</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交易对手情况</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建湖县龙华园林绿化工程有限公司成立于2011年3月7日，注册地址为建湖县城汇文东路187号，经营地址为江苏省建湖县现代农业产业园，公司成立时注册资本为50000万元，现实收资本50000万元。法定代表人张宏，实际控制人为建湖县城市资产经营公司。目前职工人数13人。该公司经营范围为许可项目：水产养殖；建设工程施工；建设工程设计；林木种子生产经营；道路货物运输（不含危险货物）；水产苗种生产；粮食加工食品生产；主要农作物种子生产；农作物种子经营；发电业务、输电业务、供（配）电业务；建设工程勘察；建筑物拆除作业（爆破作业除外）；餐饮服务（不产生油烟、异味、废气）；住宿服务；农药批发；农药零售；食品销售（依法须经批准的项目，经相关部门批准后方可开展经营活动，具体经营项目以审批结果为准）一般项目：园林绿化工程施工；土石方工程施工；园艺产品种植；园艺产品销售；蔬菜、食用菌等园艺作物种植；花卉种植；礼品花卉销售；树木种植经营；草种植；水产品批发；水产品零售；中草药种植；水果种植；蔬菜种植；新鲜蔬菜批发；新鲜蔬菜零售；谷物种植；谷物销售；新鲜水果批发；新鲜水果零售；蔬菜、水果和坚果加工；花卉绿植租借与代管理；食用农产品初加工；食用农产品批发；食用农产品零售；建筑材料销售；市政设施管理；休闲观光活动；城乡市容管理；城市绿化管理；城市公园管理；工业自动控制系统装置制造；工业自动控制系统装置销售；工业机器人制造；工业机器人销售；锻件及粉末冶金制品制造；锻件及粉末冶金制品销售；钢压延加工；机械零件、零部件加工；机械零件、零部件销售（依法须经批准的项目，经相关部门批准后方可开展经营活动，具体经营项目以审批结果为准）。</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盐城航尔建筑工程有限公司成立于2020年9月28日，注册地址为建湖县明星路879号，公司注册资本为10000万元，现实收资本10000万元。法定代表人黄航，实际控制人为建湖县城市资产经营公司。该公司经营范围包括许可项目：建设工程勘察；建设工程监理；林木种子生产经营（依法须经批准的项目，经相关部门批准后方可开展经营活动，具体经营项目以审批结果为准）一般项目：土石方工程施工；金属门窗工程施工；建筑装饰材料销售；建筑用钢筋产品销售；建筑用金属配件销售；砼结构构件销售；金属材料销售；林业产品销售；建筑材料销售；城乡市容管理；树木种植经营；城市公园管理；市政设施管理（除依法须经批准的项目外，凭营业执照依法自主开展经营活动）。</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盐城盛尔德实业发展有限公司成立于2020年10月16日，注册地址为建湖县兴建东路933号，公司注册资本为10000万元，现实收资本10000万元。法定代表人顾玉航，实际控制人为建湖县城市资产经营公司。该公司经营范围为建设工程勘察；建设工程施工；道路货物运输（不含危险货物）；林木种子生产经营（依法须经批准的项目，经相关部门批准后方可开展经营活动，具体经营项目以审批结果为准）一般项目：工业自动控制系统装置制造；工业自动控制系统装置销售；工业机器人制造；工业机器人销售；锻件及粉末冶金制品制造；锻件及粉末冶金制品销售；钢压延加工；机械零件、零部件加工；机械零件、零部件销售等（除依法须经批准的项目外，凭营业执照依法自主开展经营活动）。</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4、建湖城东现代园艺科技示范园有限公司成立于2013年5月2日，注册地址为建湖县近湖镇东冯村村部，公司成立时注册资本为50000万元，现实收资本30000万元。法定代表人葛正华，实际控制人为建湖县城市资产经营公司。该公司经营范围为许可项目：水产养殖；建设工程施工；建设工程设计；林木种子生产经营；道路货物运输（不含危险货物）；水产苗种生产；粮食加工食品生产；主要农作物种子生产；农作物种子经营；发电业务、输电业务、供（配）电业务；建设工程勘察；建设工程质量检测；建筑物拆除作业（爆破作业除外）；餐饮服务（不产生油烟、异味、废气）；住宿服务；农药批发；农药零售；食品销售（依法须经批准的项目，经相关部门批准后方可开展经营活动，具体经营项目以审批结果为准）一般项目：园艺产品种植；园艺产品销售；蔬菜、食用菌等园艺作物种植；花卉种植；礼品花卉销售；树木种植经营；草种植；水产品批发；水产品零售；中草药种植；谷物种植；蔬菜种植；水果种植；谷物销售；新鲜蔬菜批发；新鲜蔬菜零售；新鲜水果批发；新鲜水果零售；蔬菜、水果和坚果加工；花卉绿植租借与代管理；食用农产品初加工；食用农产品批发；食用农产品零售；园林绿化工程施工；土石方工程施工；城市绿化管理；休闲观光活动；城乡市容管理；建筑材料销售；市政设施管理；城市公园管理；工业自动控制系统装置制造；工业自动控制系统装置销售；工业机器人制造；工业机器人销售；锻件及粉末冶金制品制造；锻件及粉末冶金制品销售；钢压延加工；机械零件、零部件加工；机械零件、零部件销售；光伏设备及元器件制造；光伏设备及元器件销售；电子元器件与机电组件设备制造；电子元器件与机电组件设备销售；再生资源销售；国内贸易代理；贸易经纪；销售代理；社会经济咨询服务；会议及展览服务；金属材料销售；金属制品销售；橡胶制品销售；五金产品批发；五金产品零售；电子元器件批发；建筑防水卷材产品销售；日用百货销售；塑料制品销售；电线、电缆经营；林业产品销售；物业管理；建筑装饰、水暖管道零件及其他建筑用金属制品制造；集贸市场管理服务；肥料销售；化肥销售；新型有机活性材料销售；非居住房地产租赁；粮油仓储服务；粮食收购；灌溉服务；水产品收购；新兴能源技术研发；发电技术服务；新能源原动设备销售；电动汽车充电基础设施运营；建筑陶瓷制品销售；柜台、摊位出租；游览景区管理；名胜风景区管理；公园、景区小型设施娱乐活动；水污染治理；土地使用权租赁；土地整治服务；固体废物治理；渔业专业及辅助性活动；集中式快速充电站；农业机械租赁（除依法须经批准的项目外，凭营业执照依法自主开展经营活动）。</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三</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定价政策</w:t>
      </w:r>
    </w:p>
    <w:p>
      <w:pPr>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根据本行贷款利率定价规则，对建湖县龙华园林绿化工程有限公司、盐城航尔建筑工程有限公司、盐城盛尔德实业发展有限公司、建湖城东现代园艺科技示范园有限公司等四户公司执行年利率6.5%。</w:t>
      </w:r>
    </w:p>
    <w:p>
      <w:pPr>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四</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关联交易金额及相应比例</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本次申请对</w:t>
      </w:r>
      <w:r>
        <w:rPr>
          <w:rFonts w:hint="eastAsia" w:ascii="仿宋" w:hAnsi="仿宋" w:eastAsia="仿宋" w:cs="仿宋"/>
          <w:sz w:val="28"/>
          <w:szCs w:val="28"/>
        </w:rPr>
        <w:t>建湖县城市资产经营公司</w:t>
      </w:r>
      <w:r>
        <w:rPr>
          <w:rFonts w:hint="eastAsia" w:ascii="仿宋" w:hAnsi="仿宋" w:eastAsia="仿宋" w:cs="仿宋"/>
          <w:sz w:val="28"/>
          <w:szCs w:val="28"/>
          <w:lang w:val="en-US" w:eastAsia="zh-CN"/>
        </w:rPr>
        <w:t>集团</w:t>
      </w:r>
      <w:r>
        <w:rPr>
          <w:rFonts w:hint="eastAsia" w:ascii="仿宋" w:hAnsi="仿宋" w:eastAsia="仿宋" w:cs="仿宋"/>
          <w:sz w:val="28"/>
          <w:szCs w:val="28"/>
          <w:lang w:eastAsia="zh-CN"/>
        </w:rPr>
        <w:t>授信53410万元，其中关联方授信净额37410万元，占2025年</w:t>
      </w:r>
      <w:r>
        <w:rPr>
          <w:rFonts w:hint="eastAsia" w:ascii="仿宋" w:hAnsi="仿宋" w:eastAsia="仿宋" w:cs="仿宋"/>
          <w:sz w:val="28"/>
          <w:szCs w:val="28"/>
          <w:lang w:val="en-US" w:eastAsia="zh-CN"/>
        </w:rPr>
        <w:t>9</w:t>
      </w:r>
      <w:r>
        <w:rPr>
          <w:rFonts w:hint="eastAsia" w:ascii="仿宋" w:hAnsi="仿宋" w:eastAsia="仿宋" w:cs="仿宋"/>
          <w:sz w:val="28"/>
          <w:szCs w:val="28"/>
          <w:lang w:eastAsia="zh-CN"/>
        </w:rPr>
        <w:t>月末资本净额13.36%，单一集团客户授信集中度符合监管规定。</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五</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关联交易委员会及</w:t>
      </w:r>
      <w:r>
        <w:rPr>
          <w:rFonts w:hint="eastAsia" w:ascii="仿宋" w:hAnsi="仿宋" w:eastAsia="仿宋" w:cs="仿宋"/>
          <w:sz w:val="28"/>
          <w:szCs w:val="28"/>
        </w:rPr>
        <w:t>董事会</w:t>
      </w:r>
      <w:r>
        <w:rPr>
          <w:rFonts w:hint="eastAsia" w:ascii="仿宋" w:hAnsi="仿宋" w:eastAsia="仿宋" w:cs="仿宋"/>
          <w:sz w:val="28"/>
          <w:szCs w:val="28"/>
          <w:lang w:val="en-US" w:eastAsia="zh-CN"/>
        </w:rPr>
        <w:t>审议</w:t>
      </w:r>
      <w:r>
        <w:rPr>
          <w:rFonts w:hint="eastAsia" w:ascii="仿宋" w:hAnsi="仿宋" w:eastAsia="仿宋" w:cs="仿宋"/>
          <w:sz w:val="28"/>
          <w:szCs w:val="28"/>
        </w:rPr>
        <w:t>情况</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经本行董事会合规风险与关联交易控制委员会审查后，报</w:t>
      </w:r>
      <w:r>
        <w:rPr>
          <w:rFonts w:hint="eastAsia" w:ascii="仿宋" w:hAnsi="仿宋" w:eastAsia="仿宋" w:cs="仿宋"/>
          <w:sz w:val="28"/>
          <w:szCs w:val="28"/>
        </w:rPr>
        <w:t>第五届董事会</w:t>
      </w:r>
      <w:r>
        <w:rPr>
          <w:rFonts w:hint="eastAsia" w:ascii="仿宋" w:hAnsi="仿宋" w:eastAsia="仿宋" w:cs="仿宋"/>
          <w:sz w:val="28"/>
          <w:szCs w:val="28"/>
          <w:lang w:val="en-US" w:eastAsia="zh-CN"/>
        </w:rPr>
        <w:t>第</w:t>
      </w:r>
      <w:r>
        <w:rPr>
          <w:rFonts w:hint="eastAsia" w:ascii="仿宋" w:hAnsi="仿宋" w:eastAsia="仿宋" w:cs="仿宋"/>
          <w:sz w:val="28"/>
          <w:szCs w:val="28"/>
        </w:rPr>
        <w:t>九次临时会议审议通过。</w:t>
      </w:r>
    </w:p>
    <w:p>
      <w:pPr>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六</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独立董事发表意见情况</w:t>
      </w:r>
    </w:p>
    <w:p>
      <w:pPr>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本行独立董事</w:t>
      </w:r>
      <w:r>
        <w:rPr>
          <w:rFonts w:hint="eastAsia" w:ascii="仿宋" w:hAnsi="仿宋" w:eastAsia="仿宋" w:cs="仿宋"/>
          <w:sz w:val="28"/>
          <w:szCs w:val="28"/>
          <w:highlight w:val="none"/>
          <w:lang w:val="en-US" w:eastAsia="zh-CN"/>
        </w:rPr>
        <w:t>陶存文、潘岩平、张昌兵、姚定俊</w:t>
      </w:r>
      <w:r>
        <w:rPr>
          <w:rFonts w:hint="eastAsia" w:ascii="仿宋" w:hAnsi="仿宋" w:eastAsia="仿宋" w:cs="仿宋"/>
          <w:sz w:val="28"/>
          <w:szCs w:val="28"/>
          <w:highlight w:val="none"/>
        </w:rPr>
        <w:t>发表如下独立意见</w:t>
      </w:r>
      <w:r>
        <w:rPr>
          <w:rFonts w:hint="eastAsia" w:ascii="仿宋" w:hAnsi="仿宋" w:eastAsia="仿宋" w:cs="仿宋"/>
          <w:sz w:val="28"/>
          <w:szCs w:val="28"/>
          <w:highlight w:val="none"/>
          <w:lang w:eastAsia="zh-CN"/>
        </w:rPr>
        <w:t>：</w:t>
      </w:r>
    </w:p>
    <w:p>
      <w:pPr>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同意本行对主要股东</w:t>
      </w:r>
      <w:r>
        <w:rPr>
          <w:rFonts w:hint="eastAsia" w:ascii="仿宋" w:hAnsi="仿宋" w:eastAsia="仿宋" w:cs="仿宋"/>
          <w:sz w:val="28"/>
          <w:szCs w:val="28"/>
          <w:highlight w:val="none"/>
          <w:lang w:val="en-US" w:eastAsia="zh-CN"/>
        </w:rPr>
        <w:t>建湖县智农农业科技发展有限公司</w:t>
      </w:r>
      <w:r>
        <w:rPr>
          <w:rFonts w:hint="eastAsia" w:ascii="仿宋" w:hAnsi="仿宋" w:eastAsia="仿宋" w:cs="仿宋"/>
          <w:sz w:val="28"/>
          <w:szCs w:val="28"/>
          <w:highlight w:val="none"/>
        </w:rPr>
        <w:t>母公司建湖县城市资产经营公司增加授信</w:t>
      </w:r>
      <w:r>
        <w:rPr>
          <w:rFonts w:hint="eastAsia" w:ascii="仿宋" w:hAnsi="仿宋" w:eastAsia="仿宋" w:cs="仿宋"/>
          <w:sz w:val="28"/>
          <w:szCs w:val="28"/>
          <w:highlight w:val="none"/>
          <w:lang w:val="en-US" w:eastAsia="zh-CN"/>
        </w:rPr>
        <w:t>5990</w:t>
      </w:r>
      <w:r>
        <w:rPr>
          <w:rFonts w:hint="eastAsia" w:ascii="仿宋" w:hAnsi="仿宋" w:eastAsia="仿宋" w:cs="仿宋"/>
          <w:sz w:val="28"/>
          <w:szCs w:val="28"/>
          <w:highlight w:val="none"/>
        </w:rPr>
        <w:t>万元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授信主体为子公司</w:t>
      </w:r>
      <w:r>
        <w:rPr>
          <w:rFonts w:hint="eastAsia" w:ascii="仿宋" w:hAnsi="仿宋" w:eastAsia="仿宋" w:cs="仿宋"/>
          <w:sz w:val="28"/>
          <w:szCs w:val="28"/>
          <w:highlight w:val="none"/>
          <w:lang w:val="en-US" w:eastAsia="zh-CN"/>
        </w:rPr>
        <w:t>建湖县龙华园林绿化工程有限公司</w:t>
      </w:r>
      <w:r>
        <w:rPr>
          <w:rFonts w:hint="eastAsia" w:ascii="仿宋" w:hAnsi="仿宋" w:eastAsia="仿宋" w:cs="仿宋"/>
          <w:sz w:val="28"/>
          <w:szCs w:val="28"/>
          <w:highlight w:val="none"/>
        </w:rPr>
        <w:t>新增授信</w:t>
      </w:r>
      <w:r>
        <w:rPr>
          <w:rFonts w:hint="eastAsia" w:ascii="仿宋" w:hAnsi="仿宋" w:eastAsia="仿宋" w:cs="仿宋"/>
          <w:sz w:val="28"/>
          <w:szCs w:val="28"/>
          <w:highlight w:val="none"/>
          <w:lang w:val="en-US" w:eastAsia="zh-CN"/>
        </w:rPr>
        <w:t>2000</w:t>
      </w:r>
      <w:r>
        <w:rPr>
          <w:rFonts w:hint="eastAsia" w:ascii="仿宋" w:hAnsi="仿宋" w:eastAsia="仿宋" w:cs="仿宋"/>
          <w:sz w:val="28"/>
          <w:szCs w:val="28"/>
          <w:highlight w:val="none"/>
        </w:rPr>
        <w:t>万元</w:t>
      </w:r>
      <w:r>
        <w:rPr>
          <w:rFonts w:hint="eastAsia" w:ascii="仿宋" w:hAnsi="仿宋" w:eastAsia="仿宋" w:cs="仿宋"/>
          <w:sz w:val="28"/>
          <w:szCs w:val="28"/>
          <w:highlight w:val="none"/>
          <w:lang w:eastAsia="zh-CN"/>
        </w:rPr>
        <w:t>、盐城航尔建筑工程有限公司</w:t>
      </w:r>
      <w:r>
        <w:rPr>
          <w:rFonts w:hint="eastAsia" w:ascii="仿宋" w:hAnsi="仿宋" w:eastAsia="仿宋" w:cs="仿宋"/>
          <w:sz w:val="28"/>
          <w:szCs w:val="28"/>
          <w:highlight w:val="none"/>
        </w:rPr>
        <w:t>新增授信</w:t>
      </w:r>
      <w:r>
        <w:rPr>
          <w:rFonts w:hint="eastAsia" w:ascii="仿宋" w:hAnsi="仿宋" w:eastAsia="仿宋" w:cs="仿宋"/>
          <w:sz w:val="28"/>
          <w:szCs w:val="28"/>
          <w:highlight w:val="none"/>
          <w:lang w:val="en-US" w:eastAsia="zh-CN"/>
        </w:rPr>
        <w:t>995</w:t>
      </w:r>
      <w:r>
        <w:rPr>
          <w:rFonts w:hint="eastAsia" w:ascii="仿宋" w:hAnsi="仿宋" w:eastAsia="仿宋" w:cs="仿宋"/>
          <w:sz w:val="28"/>
          <w:szCs w:val="28"/>
          <w:highlight w:val="none"/>
        </w:rPr>
        <w:t>万元</w:t>
      </w:r>
      <w:r>
        <w:rPr>
          <w:rFonts w:hint="eastAsia" w:ascii="仿宋" w:hAnsi="仿宋" w:eastAsia="仿宋" w:cs="仿宋"/>
          <w:sz w:val="28"/>
          <w:szCs w:val="28"/>
          <w:highlight w:val="none"/>
          <w:lang w:eastAsia="zh-CN"/>
        </w:rPr>
        <w:t>、盐城盛尔德实业发展有限公司</w:t>
      </w:r>
      <w:r>
        <w:rPr>
          <w:rFonts w:hint="eastAsia" w:ascii="仿宋" w:hAnsi="仿宋" w:eastAsia="仿宋" w:cs="仿宋"/>
          <w:sz w:val="28"/>
          <w:szCs w:val="28"/>
          <w:highlight w:val="none"/>
        </w:rPr>
        <w:t>新增授信</w:t>
      </w:r>
      <w:r>
        <w:rPr>
          <w:rFonts w:hint="eastAsia" w:ascii="仿宋" w:hAnsi="仿宋" w:eastAsia="仿宋" w:cs="仿宋"/>
          <w:sz w:val="28"/>
          <w:szCs w:val="28"/>
          <w:highlight w:val="none"/>
          <w:lang w:val="en-US" w:eastAsia="zh-CN"/>
        </w:rPr>
        <w:t>995</w:t>
      </w:r>
      <w:r>
        <w:rPr>
          <w:rFonts w:hint="eastAsia" w:ascii="仿宋" w:hAnsi="仿宋" w:eastAsia="仿宋" w:cs="仿宋"/>
          <w:sz w:val="28"/>
          <w:szCs w:val="28"/>
          <w:highlight w:val="none"/>
        </w:rPr>
        <w:t>万元</w:t>
      </w:r>
      <w:r>
        <w:rPr>
          <w:rFonts w:hint="eastAsia" w:ascii="仿宋" w:hAnsi="仿宋" w:eastAsia="仿宋" w:cs="仿宋"/>
          <w:sz w:val="28"/>
          <w:szCs w:val="28"/>
          <w:highlight w:val="none"/>
          <w:lang w:eastAsia="zh-CN"/>
        </w:rPr>
        <w:t>、建湖城东现代园艺科技示范园有限公司</w:t>
      </w:r>
      <w:r>
        <w:rPr>
          <w:rFonts w:hint="eastAsia" w:ascii="仿宋" w:hAnsi="仿宋" w:eastAsia="仿宋" w:cs="仿宋"/>
          <w:sz w:val="28"/>
          <w:szCs w:val="28"/>
          <w:highlight w:val="none"/>
        </w:rPr>
        <w:t>新增授信</w:t>
      </w:r>
      <w:r>
        <w:rPr>
          <w:rFonts w:hint="eastAsia" w:ascii="仿宋" w:hAnsi="仿宋" w:eastAsia="仿宋" w:cs="仿宋"/>
          <w:sz w:val="28"/>
          <w:szCs w:val="28"/>
          <w:highlight w:val="none"/>
          <w:lang w:val="en-US" w:eastAsia="zh-CN"/>
        </w:rPr>
        <w:t>2000</w:t>
      </w:r>
      <w:r>
        <w:rPr>
          <w:rFonts w:hint="eastAsia" w:ascii="仿宋" w:hAnsi="仿宋" w:eastAsia="仿宋" w:cs="仿宋"/>
          <w:sz w:val="28"/>
          <w:szCs w:val="28"/>
          <w:highlight w:val="none"/>
        </w:rPr>
        <w:t>万元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授信期限自董事会审议通过起至20</w:t>
      </w:r>
      <w:r>
        <w:rPr>
          <w:rFonts w:hint="eastAsia" w:ascii="仿宋" w:hAnsi="仿宋" w:eastAsia="仿宋" w:cs="仿宋"/>
          <w:sz w:val="28"/>
          <w:szCs w:val="28"/>
          <w:highlight w:val="none"/>
          <w:lang w:val="en-US" w:eastAsia="zh-CN"/>
        </w:rPr>
        <w:t>35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20</w:t>
      </w:r>
      <w:r>
        <w:rPr>
          <w:rFonts w:hint="eastAsia" w:ascii="仿宋" w:hAnsi="仿宋" w:eastAsia="仿宋" w:cs="仿宋"/>
          <w:sz w:val="28"/>
          <w:szCs w:val="28"/>
          <w:highlight w:val="none"/>
        </w:rPr>
        <w:t>日</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建湖县城市资产经营公司授信总额增加至</w:t>
      </w:r>
      <w:r>
        <w:rPr>
          <w:rFonts w:hint="eastAsia" w:ascii="仿宋" w:hAnsi="仿宋" w:eastAsia="仿宋" w:cs="仿宋"/>
          <w:sz w:val="28"/>
          <w:szCs w:val="28"/>
          <w:highlight w:val="none"/>
          <w:lang w:val="en-US" w:eastAsia="zh-CN"/>
        </w:rPr>
        <w:t>37410</w:t>
      </w:r>
      <w:r>
        <w:rPr>
          <w:rFonts w:hint="eastAsia" w:ascii="仿宋" w:hAnsi="仿宋" w:eastAsia="仿宋" w:cs="仿宋"/>
          <w:sz w:val="28"/>
          <w:szCs w:val="28"/>
          <w:highlight w:val="none"/>
        </w:rPr>
        <w:t>万元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集团授信期限自董事会审议通过起至20</w:t>
      </w:r>
      <w:r>
        <w:rPr>
          <w:rFonts w:hint="eastAsia" w:ascii="仿宋" w:hAnsi="仿宋" w:eastAsia="仿宋" w:cs="仿宋"/>
          <w:sz w:val="28"/>
          <w:szCs w:val="28"/>
          <w:highlight w:val="none"/>
          <w:lang w:val="en-US" w:eastAsia="zh-CN"/>
        </w:rPr>
        <w:t>39</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20</w:t>
      </w:r>
      <w:r>
        <w:rPr>
          <w:rFonts w:hint="eastAsia" w:ascii="仿宋" w:hAnsi="仿宋" w:eastAsia="仿宋" w:cs="仿宋"/>
          <w:sz w:val="28"/>
          <w:szCs w:val="28"/>
          <w:highlight w:val="none"/>
        </w:rPr>
        <w:t>日。本次关联交易均属于银行正常</w:t>
      </w:r>
      <w:r>
        <w:rPr>
          <w:rFonts w:hint="eastAsia" w:ascii="仿宋" w:hAnsi="仿宋" w:eastAsia="仿宋" w:cs="仿宋"/>
          <w:sz w:val="28"/>
          <w:szCs w:val="28"/>
          <w:highlight w:val="none"/>
          <w:lang w:val="en-US" w:eastAsia="zh-CN"/>
        </w:rPr>
        <w:t>经营范围内发行的常规业务，根据监管要求、本行公司章程及关联交易制度规定，履行了相应的内部审批程序。</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该笔重大关联交易业务授信调整属于银行正常经营范围内发生的常规业务；根据监管要求、本行公司章程及关联交易制度规定，履行了相应的内部审批程序；关联交易按照商业原则，以不优于对非关联方同类交易的条件进行，没有损害公司和股东的利益，符合关联交易管理要求的公允性原则，不影响本行独立性，不会对全行的持续经营能力、盈利能力及资产状况构成不利影响</w:t>
      </w:r>
      <w:r>
        <w:rPr>
          <w:rFonts w:hint="eastAsia" w:ascii="仿宋" w:hAnsi="仿宋" w:eastAsia="仿宋" w:cs="仿宋"/>
          <w:sz w:val="28"/>
          <w:szCs w:val="28"/>
          <w:highlight w:val="none"/>
          <w:lang w:eastAsia="zh-CN"/>
        </w:rPr>
        <w:t>。</w:t>
      </w:r>
    </w:p>
    <w:p>
      <w:pPr>
        <w:jc w:val="right"/>
        <w:rPr>
          <w:rFonts w:hint="eastAsia" w:ascii="仿宋" w:hAnsi="仿宋" w:eastAsia="仿宋" w:cs="仿宋"/>
          <w:sz w:val="28"/>
          <w:szCs w:val="28"/>
        </w:rPr>
      </w:pPr>
      <w:r>
        <w:rPr>
          <w:rFonts w:hint="eastAsia" w:ascii="仿宋" w:hAnsi="仿宋" w:eastAsia="仿宋" w:cs="仿宋"/>
          <w:sz w:val="28"/>
          <w:szCs w:val="28"/>
          <w:lang w:val="en-US" w:eastAsia="zh-CN"/>
        </w:rPr>
        <w:t>江苏建湖</w:t>
      </w:r>
      <w:r>
        <w:rPr>
          <w:rFonts w:hint="eastAsia" w:ascii="仿宋" w:hAnsi="仿宋" w:eastAsia="仿宋" w:cs="仿宋"/>
          <w:sz w:val="28"/>
          <w:szCs w:val="28"/>
        </w:rPr>
        <w:t>农村商业银行股份有限公司</w:t>
      </w:r>
    </w:p>
    <w:p>
      <w:pPr>
        <w:wordWrap w:val="0"/>
        <w:jc w:val="righ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2026年1月5日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E935D8"/>
    <w:rsid w:val="003551B7"/>
    <w:rsid w:val="050A7B79"/>
    <w:rsid w:val="05E935D8"/>
    <w:rsid w:val="086369DB"/>
    <w:rsid w:val="0E1C78AB"/>
    <w:rsid w:val="10AE3B69"/>
    <w:rsid w:val="17426B8D"/>
    <w:rsid w:val="1AE25CC7"/>
    <w:rsid w:val="228C5B0C"/>
    <w:rsid w:val="23427BCD"/>
    <w:rsid w:val="25B64A48"/>
    <w:rsid w:val="29F33086"/>
    <w:rsid w:val="322B7FAE"/>
    <w:rsid w:val="33142A9E"/>
    <w:rsid w:val="3667500A"/>
    <w:rsid w:val="3C5763DF"/>
    <w:rsid w:val="3E7A2A19"/>
    <w:rsid w:val="3FCC4F7F"/>
    <w:rsid w:val="41BA25EF"/>
    <w:rsid w:val="43D24287"/>
    <w:rsid w:val="44FD18D2"/>
    <w:rsid w:val="476C5DDD"/>
    <w:rsid w:val="47DE4152"/>
    <w:rsid w:val="4B73225D"/>
    <w:rsid w:val="50925430"/>
    <w:rsid w:val="5306355A"/>
    <w:rsid w:val="5C2426D0"/>
    <w:rsid w:val="62191F17"/>
    <w:rsid w:val="63105496"/>
    <w:rsid w:val="65D01292"/>
    <w:rsid w:val="6BD61E79"/>
    <w:rsid w:val="6D632886"/>
    <w:rsid w:val="6EFA09F9"/>
    <w:rsid w:val="712E2AFC"/>
    <w:rsid w:val="715E396F"/>
    <w:rsid w:val="734E6846"/>
    <w:rsid w:val="73AD6124"/>
    <w:rsid w:val="74037F53"/>
    <w:rsid w:val="74EE685B"/>
    <w:rsid w:val="783655E8"/>
    <w:rsid w:val="78C75A59"/>
    <w:rsid w:val="79D95BF8"/>
    <w:rsid w:val="7F5507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8">
    <w:name w:val="heading 1"/>
    <w:basedOn w:val="1"/>
    <w:next w:val="1"/>
    <w:qFormat/>
    <w:uiPriority w:val="0"/>
    <w:pPr>
      <w:keepNext/>
      <w:keepLines/>
      <w:spacing w:line="480" w:lineRule="exact"/>
      <w:jc w:val="center"/>
      <w:outlineLvl w:val="0"/>
    </w:pPr>
    <w:rPr>
      <w:rFonts w:ascii="仿宋_GB2312" w:hAnsi="宋体" w:eastAsia="仿宋_GB2312"/>
      <w:b/>
      <w:bCs/>
      <w:kern w:val="44"/>
      <w:sz w:val="28"/>
      <w:szCs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标题 段落4级"/>
    <w:qFormat/>
    <w:uiPriority w:val="0"/>
    <w:pPr>
      <w:spacing w:line="500" w:lineRule="exact"/>
      <w:outlineLvl w:val="3"/>
    </w:pPr>
    <w:rPr>
      <w:rFonts w:ascii="Times New Roman" w:hAnsi="Times New Roman" w:eastAsia="仿宋_GB2312" w:cs="Calibri"/>
      <w:b/>
      <w:kern w:val="2"/>
      <w:sz w:val="28"/>
      <w:szCs w:val="24"/>
      <w:lang w:val="en-US" w:eastAsia="zh-CN" w:bidi="ar-SA"/>
    </w:rPr>
  </w:style>
  <w:style w:type="paragraph" w:styleId="4">
    <w:name w:val="Body Text First Indent 2"/>
    <w:basedOn w:val="5"/>
    <w:next w:val="6"/>
    <w:qFormat/>
    <w:uiPriority w:val="0"/>
    <w:pPr>
      <w:ind w:left="420" w:leftChars="200" w:firstLine="420" w:firstLineChars="200"/>
    </w:pPr>
    <w:rPr>
      <w:rFonts w:cs="宋体"/>
      <w:szCs w:val="24"/>
      <w:lang w:eastAsia="en-US"/>
    </w:rPr>
  </w:style>
  <w:style w:type="paragraph" w:styleId="5">
    <w:name w:val="Body Text Indent"/>
    <w:basedOn w:val="1"/>
    <w:qFormat/>
    <w:uiPriority w:val="0"/>
    <w:pPr>
      <w:ind w:firstLine="600" w:firstLineChars="200"/>
    </w:pPr>
    <w:rPr>
      <w:rFonts w:ascii="Times New Roman" w:hAnsi="Times New Roman"/>
      <w:sz w:val="30"/>
      <w:szCs w:val="24"/>
    </w:rPr>
  </w:style>
  <w:style w:type="paragraph" w:styleId="6">
    <w:name w:val="Body Text First Indent"/>
    <w:basedOn w:val="7"/>
    <w:qFormat/>
    <w:uiPriority w:val="0"/>
    <w:pPr>
      <w:ind w:firstLine="420" w:firstLineChars="100"/>
    </w:pPr>
  </w:style>
  <w:style w:type="paragraph" w:styleId="7">
    <w:name w:val="Body Text"/>
    <w:basedOn w:val="1"/>
    <w:next w:val="1"/>
    <w:qFormat/>
    <w:uiPriority w:val="0"/>
    <w:pPr>
      <w:spacing w:after="120"/>
    </w:pPr>
    <w:rPr>
      <w:rFonts w:ascii="Calibri" w:hAnsi="Calibri" w:eastAsia="宋体" w:cs="Times New Roman"/>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Table Text"/>
    <w:basedOn w:val="1"/>
    <w:qFormat/>
    <w:uiPriority w:val="0"/>
    <w:rPr>
      <w:rFonts w:ascii="宋体" w:hAnsi="宋体" w:eastAsia="宋体" w:cs="宋体"/>
      <w:sz w:val="12"/>
      <w:szCs w:val="12"/>
      <w:lang w:val="en-US" w:eastAsia="en-US" w:bidi="ar-SA"/>
    </w:rPr>
  </w:style>
  <w:style w:type="table" w:customStyle="1" w:styleId="13">
    <w:name w:val="Table Normal"/>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2025-09-30T08:51:00Z</dcterms:created>
  <dc:creator>肖炜</dc:creator>
  <cp:lastModifiedBy>肖炜</cp:lastModifiedBy>
  <dcterms:modified xsi:type="dcterms:W3CDTF">2026-01-05T07:28:34Z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4E8E1E4E1A144078987D3269C2EF2AE1</vt:lpwstr>
  </property>
</Properties>
</file>