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E4B" w:rsidRDefault="009C6F3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80E4B" w:rsidRDefault="009C6F3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80E4B" w:rsidRDefault="009C6F33">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80E4B" w:rsidRDefault="009C6F33">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80E4B" w:rsidRDefault="009C6F33">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780E4B" w:rsidRDefault="009C6F3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80E4B" w:rsidRDefault="009C6F3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80E4B" w:rsidRDefault="009C6F3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80E4B" w:rsidRDefault="009C6F3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80E4B" w:rsidRDefault="009C6F3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80E4B" w:rsidRDefault="009C6F3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80E4B" w:rsidRDefault="009C6F33">
      <w:pPr>
        <w:pStyle w:val="Normald07a396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80E4B" w:rsidRDefault="009C6F33">
      <w:pPr>
        <w:spacing w:line="200" w:lineRule="exact"/>
      </w:pPr>
      <w:r>
        <w:rPr>
          <w:rFonts w:cs="宋体"/>
          <w:b/>
          <w:sz w:val="13"/>
          <w:szCs w:val="20"/>
        </w:rPr>
        <w:t xml:space="preserve">    1.债券类资产投资风险</w:t>
      </w:r>
    </w:p>
    <w:p w:rsidR="00780E4B" w:rsidRDefault="009C6F3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80E4B" w:rsidRDefault="009C6F33">
      <w:pPr>
        <w:spacing w:line="200" w:lineRule="exact"/>
      </w:pPr>
      <w:r>
        <w:rPr>
          <w:rFonts w:cs="宋体"/>
          <w:b/>
          <w:sz w:val="13"/>
          <w:szCs w:val="20"/>
        </w:rPr>
        <w:t xml:space="preserve">    2.非标准化债权类资产投资风险</w:t>
      </w:r>
    </w:p>
    <w:p w:rsidR="00780E4B" w:rsidRDefault="009C6F3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80E4B" w:rsidRDefault="009C6F33">
      <w:pPr>
        <w:spacing w:line="200" w:lineRule="exact"/>
      </w:pPr>
      <w:r>
        <w:rPr>
          <w:rFonts w:cs="宋体"/>
          <w:b/>
          <w:sz w:val="13"/>
          <w:szCs w:val="20"/>
        </w:rPr>
        <w:t xml:space="preserve">    3.资产管理产品投资风险</w:t>
      </w:r>
    </w:p>
    <w:p w:rsidR="00780E4B" w:rsidRDefault="009C6F3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80E4B" w:rsidRDefault="009C6F33">
      <w:pPr>
        <w:spacing w:line="200" w:lineRule="exact"/>
      </w:pPr>
      <w:r>
        <w:rPr>
          <w:rFonts w:cs="宋体"/>
          <w:b/>
          <w:sz w:val="13"/>
          <w:szCs w:val="20"/>
        </w:rPr>
        <w:t xml:space="preserve">    4.非标准化债权类资产无法投资的风险</w:t>
      </w:r>
    </w:p>
    <w:p w:rsidR="00780E4B" w:rsidRDefault="009C6F3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780E4B" w:rsidRDefault="009C6F33">
      <w:pPr>
        <w:pStyle w:val="Normald07a396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80E4B" w:rsidRDefault="009C6F33">
      <w:pPr>
        <w:pStyle w:val="Normald07a396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780E4B" w:rsidRDefault="009C6F3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80E4B" w:rsidRDefault="009C6F33">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80E4B" w:rsidRDefault="009C6F33">
      <w:pPr>
        <w:pStyle w:val="Normald07a396d"/>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80E4B" w:rsidRDefault="009C6F33">
      <w:pPr>
        <w:pStyle w:val="Normald07a396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80E4B" w:rsidRDefault="009C6F33">
      <w:pPr>
        <w:pStyle w:val="Normald07a396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80E4B" w:rsidRDefault="009C6F33">
      <w:pPr>
        <w:pStyle w:val="Normald07a396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80E4B" w:rsidRDefault="00780E4B">
      <w:pPr>
        <w:pStyle w:val="Normald07a396d"/>
        <w:widowControl/>
        <w:spacing w:line="200" w:lineRule="exact"/>
        <w:ind w:firstLine="260"/>
        <w:rPr>
          <w:b/>
          <w:color w:val="3D3D3D"/>
          <w:kern w:val="0"/>
          <w:sz w:val="13"/>
          <w:szCs w:val="13"/>
        </w:rPr>
      </w:pPr>
    </w:p>
    <w:p w:rsidR="00780E4B" w:rsidRDefault="009C6F33">
      <w:pPr>
        <w:pStyle w:val="Normald07a396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80E4B" w:rsidRDefault="00780E4B">
      <w:pPr>
        <w:pStyle w:val="Normald07a396d"/>
        <w:widowControl/>
        <w:spacing w:line="200" w:lineRule="exact"/>
        <w:ind w:firstLine="260"/>
        <w:jc w:val="center"/>
        <w:rPr>
          <w:b/>
          <w:color w:val="3D3D3D"/>
          <w:kern w:val="0"/>
          <w:sz w:val="15"/>
          <w:szCs w:val="15"/>
          <w:u w:val="single"/>
        </w:rPr>
      </w:pPr>
    </w:p>
    <w:p w:rsidR="00780E4B" w:rsidRDefault="009C6F33">
      <w:pPr>
        <w:pStyle w:val="Normald07a396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80E4B" w:rsidRDefault="009C6F3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w:t>
      </w:r>
      <w:r>
        <w:rPr>
          <w:rFonts w:hint="eastAsia"/>
          <w:b/>
          <w:color w:val="3D3D3D"/>
          <w:kern w:val="0"/>
          <w:sz w:val="15"/>
          <w:szCs w:val="15"/>
          <w:u w:val="single"/>
        </w:rPr>
        <w:lastRenderedPageBreak/>
        <w:t>信息披露方式及渠道、南银理财及销售机构联系方式及投诉程序等内容，充分了解履行上述文件的责任，具有识别及承担相关风险的能力，充分了解本理财产品的风险并愿意承担相关风险。</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80E4B" w:rsidRDefault="009C6F3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80E4B" w:rsidRDefault="009C6F3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80E4B" w:rsidRDefault="009C6F33">
      <w:pPr>
        <w:widowControl/>
        <w:spacing w:line="200" w:lineRule="exact"/>
        <w:ind w:firstLine="210"/>
        <w:rPr>
          <w:color w:val="3D3D3D"/>
          <w:kern w:val="0"/>
          <w:sz w:val="15"/>
          <w:szCs w:val="15"/>
        </w:rPr>
      </w:pPr>
      <w:r>
        <w:rPr>
          <w:rFonts w:hint="eastAsia"/>
          <w:color w:val="3D3D3D"/>
          <w:kern w:val="0"/>
          <w:sz w:val="15"/>
          <w:szCs w:val="15"/>
        </w:rPr>
        <w:t xml:space="preserve">         </w:t>
      </w:r>
    </w:p>
    <w:p w:rsidR="00780E4B" w:rsidRDefault="00780E4B">
      <w:pPr>
        <w:widowControl/>
        <w:spacing w:line="200" w:lineRule="exact"/>
        <w:ind w:firstLine="210"/>
        <w:rPr>
          <w:color w:val="3D3D3D"/>
          <w:kern w:val="0"/>
          <w:sz w:val="15"/>
          <w:szCs w:val="15"/>
        </w:rPr>
      </w:pPr>
    </w:p>
    <w:p w:rsidR="00780E4B" w:rsidRDefault="009C6F3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80E4B" w:rsidRDefault="00780E4B">
      <w:pPr>
        <w:widowControl/>
        <w:spacing w:line="200" w:lineRule="exact"/>
        <w:ind w:firstLine="210"/>
        <w:rPr>
          <w:color w:val="3D3D3D"/>
          <w:kern w:val="0"/>
          <w:sz w:val="13"/>
          <w:szCs w:val="13"/>
        </w:rPr>
      </w:pPr>
    </w:p>
    <w:p w:rsidR="00780E4B" w:rsidRDefault="00780E4B">
      <w:pPr>
        <w:widowControl/>
        <w:spacing w:line="200" w:lineRule="exact"/>
        <w:ind w:firstLine="210"/>
        <w:jc w:val="left"/>
        <w:rPr>
          <w:color w:val="3D3D3D"/>
          <w:kern w:val="0"/>
          <w:sz w:val="13"/>
          <w:szCs w:val="13"/>
        </w:rPr>
      </w:pPr>
    </w:p>
    <w:p w:rsidR="00780E4B" w:rsidRDefault="00780E4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780E4B">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400" w:lineRule="exact"/>
              <w:jc w:val="center"/>
              <w:rPr>
                <w:b/>
                <w:sz w:val="15"/>
                <w:szCs w:val="15"/>
              </w:rPr>
            </w:pPr>
            <w:r>
              <w:rPr>
                <w:rFonts w:hint="eastAsia"/>
                <w:b/>
                <w:sz w:val="15"/>
                <w:szCs w:val="15"/>
              </w:rPr>
              <w:t>个人投资者</w:t>
            </w:r>
          </w:p>
        </w:tc>
      </w:tr>
      <w:tr w:rsidR="00780E4B">
        <w:tc>
          <w:tcPr>
            <w:tcW w:w="9287" w:type="dxa"/>
            <w:tcBorders>
              <w:top w:val="single" w:sz="4" w:space="0" w:color="auto"/>
              <w:left w:val="single" w:sz="4" w:space="0" w:color="auto"/>
              <w:bottom w:val="single" w:sz="4" w:space="0" w:color="auto"/>
              <w:right w:val="single" w:sz="4" w:space="0" w:color="auto"/>
              <w:tl2br w:val="nil"/>
              <w:tr2bl w:val="nil"/>
            </w:tcBorders>
          </w:tcPr>
          <w:p w:rsidR="00780E4B" w:rsidRDefault="009C6F33">
            <w:pPr>
              <w:widowControl/>
              <w:spacing w:line="360" w:lineRule="auto"/>
              <w:rPr>
                <w:color w:val="3D3D3D"/>
                <w:kern w:val="0"/>
                <w:sz w:val="13"/>
                <w:szCs w:val="13"/>
              </w:rPr>
            </w:pPr>
            <w:r>
              <w:rPr>
                <w:rFonts w:hint="eastAsia"/>
                <w:sz w:val="15"/>
                <w:szCs w:val="15"/>
              </w:rPr>
              <w:t>签名：</w:t>
            </w:r>
          </w:p>
          <w:p w:rsidR="00780E4B" w:rsidRDefault="009C6F3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80E4B">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400" w:lineRule="exact"/>
              <w:jc w:val="center"/>
              <w:rPr>
                <w:sz w:val="15"/>
                <w:szCs w:val="15"/>
              </w:rPr>
            </w:pPr>
            <w:r>
              <w:rPr>
                <w:rFonts w:hint="eastAsia"/>
                <w:b/>
                <w:bCs/>
                <w:color w:val="3D3D3D"/>
                <w:kern w:val="0"/>
                <w:sz w:val="15"/>
                <w:szCs w:val="15"/>
              </w:rPr>
              <w:t>机构投资者</w:t>
            </w:r>
          </w:p>
        </w:tc>
      </w:tr>
      <w:tr w:rsidR="00780E4B">
        <w:tc>
          <w:tcPr>
            <w:tcW w:w="9287" w:type="dxa"/>
            <w:tcBorders>
              <w:top w:val="single" w:sz="4" w:space="0" w:color="auto"/>
              <w:left w:val="single" w:sz="4" w:space="0" w:color="auto"/>
              <w:bottom w:val="single" w:sz="4" w:space="0" w:color="auto"/>
              <w:right w:val="single" w:sz="4" w:space="0" w:color="auto"/>
              <w:tl2br w:val="nil"/>
              <w:tr2bl w:val="nil"/>
            </w:tcBorders>
          </w:tcPr>
          <w:p w:rsidR="00780E4B" w:rsidRDefault="00780E4B">
            <w:pPr>
              <w:widowControl/>
              <w:spacing w:line="200" w:lineRule="exact"/>
              <w:jc w:val="left"/>
              <w:rPr>
                <w:b/>
                <w:bCs/>
                <w:color w:val="3D3D3D"/>
                <w:kern w:val="0"/>
                <w:sz w:val="15"/>
                <w:szCs w:val="15"/>
              </w:rPr>
            </w:pPr>
          </w:p>
          <w:p w:rsidR="00780E4B" w:rsidRDefault="009C6F33">
            <w:pPr>
              <w:widowControl/>
              <w:spacing w:line="200" w:lineRule="exact"/>
              <w:jc w:val="left"/>
              <w:rPr>
                <w:b/>
                <w:bCs/>
                <w:color w:val="3D3D3D"/>
                <w:kern w:val="0"/>
                <w:sz w:val="15"/>
                <w:szCs w:val="15"/>
              </w:rPr>
            </w:pPr>
            <w:r>
              <w:rPr>
                <w:rFonts w:hint="eastAsia"/>
                <w:b/>
                <w:bCs/>
                <w:color w:val="3D3D3D"/>
                <w:kern w:val="0"/>
                <w:sz w:val="15"/>
                <w:szCs w:val="15"/>
              </w:rPr>
              <w:t>盖章（公章）</w:t>
            </w:r>
          </w:p>
          <w:p w:rsidR="00780E4B" w:rsidRDefault="00780E4B">
            <w:pPr>
              <w:widowControl/>
              <w:spacing w:line="200" w:lineRule="exact"/>
              <w:jc w:val="left"/>
              <w:rPr>
                <w:b/>
                <w:bCs/>
                <w:color w:val="3D3D3D"/>
                <w:kern w:val="0"/>
                <w:sz w:val="15"/>
                <w:szCs w:val="15"/>
              </w:rPr>
            </w:pPr>
          </w:p>
          <w:p w:rsidR="00780E4B" w:rsidRDefault="009C6F3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80E4B" w:rsidRDefault="00780E4B">
            <w:pPr>
              <w:widowControl/>
              <w:spacing w:line="200" w:lineRule="exact"/>
              <w:jc w:val="left"/>
              <w:rPr>
                <w:color w:val="3D3D3D"/>
                <w:kern w:val="0"/>
                <w:sz w:val="13"/>
                <w:szCs w:val="13"/>
              </w:rPr>
            </w:pPr>
          </w:p>
          <w:p w:rsidR="00780E4B" w:rsidRDefault="009C6F3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80E4B">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80E4B" w:rsidRDefault="009C6F33">
            <w:pPr>
              <w:widowControl/>
              <w:spacing w:line="400" w:lineRule="exact"/>
              <w:jc w:val="center"/>
              <w:rPr>
                <w:sz w:val="15"/>
                <w:szCs w:val="15"/>
              </w:rPr>
            </w:pPr>
            <w:r>
              <w:rPr>
                <w:rFonts w:hint="eastAsia"/>
                <w:b/>
                <w:bCs/>
                <w:sz w:val="15"/>
                <w:szCs w:val="15"/>
              </w:rPr>
              <w:t>电子渠道</w:t>
            </w:r>
          </w:p>
        </w:tc>
      </w:tr>
      <w:tr w:rsidR="00780E4B">
        <w:tc>
          <w:tcPr>
            <w:tcW w:w="9287" w:type="dxa"/>
            <w:tcBorders>
              <w:top w:val="single" w:sz="4" w:space="0" w:color="auto"/>
              <w:left w:val="single" w:sz="4" w:space="0" w:color="auto"/>
              <w:bottom w:val="single" w:sz="4" w:space="0" w:color="auto"/>
              <w:right w:val="single" w:sz="4" w:space="0" w:color="auto"/>
              <w:tl2br w:val="nil"/>
              <w:tr2bl w:val="nil"/>
            </w:tcBorders>
          </w:tcPr>
          <w:p w:rsidR="00780E4B" w:rsidRDefault="009C6F33">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80E4B" w:rsidRDefault="00780E4B" w:rsidP="007D2156"/>
    <w:sectPr w:rsidR="00780E4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C24" w:rsidRDefault="009C6F33">
      <w:r>
        <w:separator/>
      </w:r>
    </w:p>
  </w:endnote>
  <w:endnote w:type="continuationSeparator" w:id="0">
    <w:p w:rsidR="00FC2C24" w:rsidRDefault="009C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C24" w:rsidRDefault="009C6F33">
      <w:r>
        <w:separator/>
      </w:r>
    </w:p>
  </w:footnote>
  <w:footnote w:type="continuationSeparator" w:id="0">
    <w:p w:rsidR="00FC2C24" w:rsidRDefault="009C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E4B" w:rsidRDefault="009C6F3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5222E"/>
    <w:multiLevelType w:val="hybridMultilevel"/>
    <w:tmpl w:val="D3225548"/>
    <w:lvl w:ilvl="0" w:tplc="474A6EF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BAEDAC2">
      <w:start w:val="1"/>
      <w:numFmt w:val="lowerLetter"/>
      <w:lvlText w:val="%2)"/>
      <w:lvlJc w:val="left"/>
      <w:pPr>
        <w:tabs>
          <w:tab w:val="num" w:pos="0"/>
        </w:tabs>
        <w:ind w:left="1141" w:hanging="420"/>
      </w:pPr>
      <w:rPr>
        <w:rFonts w:ascii="方正黑体_GBK" w:eastAsia="方正黑体_GBK" w:hAnsi="方正黑体_GBK" w:hint="default"/>
      </w:rPr>
    </w:lvl>
    <w:lvl w:ilvl="2" w:tplc="D024B4F6">
      <w:start w:val="1"/>
      <w:numFmt w:val="decimal"/>
      <w:lvlText w:val="%3."/>
      <w:lvlJc w:val="right"/>
      <w:pPr>
        <w:tabs>
          <w:tab w:val="num" w:pos="0"/>
        </w:tabs>
        <w:ind w:left="1561" w:hanging="420"/>
      </w:pPr>
      <w:rPr>
        <w:rFonts w:ascii="方正黑体_GBK" w:eastAsia="方正黑体_GBK" w:hAnsi="方正黑体_GBK" w:hint="default"/>
      </w:rPr>
    </w:lvl>
    <w:lvl w:ilvl="3" w:tplc="BD8077C6">
      <w:start w:val="1"/>
      <w:numFmt w:val="decimal"/>
      <w:lvlText w:val="%4."/>
      <w:lvlJc w:val="left"/>
      <w:pPr>
        <w:tabs>
          <w:tab w:val="num" w:pos="0"/>
        </w:tabs>
        <w:ind w:left="1981" w:hanging="420"/>
      </w:pPr>
      <w:rPr>
        <w:rFonts w:ascii="方正黑体_GBK" w:eastAsia="方正黑体_GBK" w:hAnsi="方正黑体_GBK" w:hint="default"/>
      </w:rPr>
    </w:lvl>
    <w:lvl w:ilvl="4" w:tplc="6BD8D856">
      <w:start w:val="1"/>
      <w:numFmt w:val="lowerLetter"/>
      <w:lvlText w:val="%5)"/>
      <w:lvlJc w:val="left"/>
      <w:pPr>
        <w:tabs>
          <w:tab w:val="num" w:pos="0"/>
        </w:tabs>
        <w:ind w:left="2401" w:hanging="420"/>
      </w:pPr>
      <w:rPr>
        <w:rFonts w:ascii="方正黑体_GBK" w:eastAsia="方正黑体_GBK" w:hAnsi="方正黑体_GBK" w:hint="default"/>
      </w:rPr>
    </w:lvl>
    <w:lvl w:ilvl="5" w:tplc="D4DE01A6">
      <w:start w:val="1"/>
      <w:numFmt w:val="decimal"/>
      <w:lvlText w:val="%6."/>
      <w:lvlJc w:val="right"/>
      <w:pPr>
        <w:tabs>
          <w:tab w:val="num" w:pos="0"/>
        </w:tabs>
        <w:ind w:left="2821" w:hanging="420"/>
      </w:pPr>
      <w:rPr>
        <w:rFonts w:ascii="方正黑体_GBK" w:eastAsia="方正黑体_GBK" w:hAnsi="方正黑体_GBK" w:hint="default"/>
      </w:rPr>
    </w:lvl>
    <w:lvl w:ilvl="6" w:tplc="74A8B008">
      <w:start w:val="1"/>
      <w:numFmt w:val="decimal"/>
      <w:lvlText w:val="%7."/>
      <w:lvlJc w:val="left"/>
      <w:pPr>
        <w:tabs>
          <w:tab w:val="num" w:pos="0"/>
        </w:tabs>
        <w:ind w:left="3241" w:hanging="420"/>
      </w:pPr>
      <w:rPr>
        <w:rFonts w:ascii="方正黑体_GBK" w:eastAsia="方正黑体_GBK" w:hAnsi="方正黑体_GBK" w:hint="default"/>
      </w:rPr>
    </w:lvl>
    <w:lvl w:ilvl="7" w:tplc="B1E2A052">
      <w:start w:val="1"/>
      <w:numFmt w:val="lowerLetter"/>
      <w:lvlText w:val="%8)"/>
      <w:lvlJc w:val="left"/>
      <w:pPr>
        <w:tabs>
          <w:tab w:val="num" w:pos="0"/>
        </w:tabs>
        <w:ind w:left="3661" w:hanging="420"/>
      </w:pPr>
      <w:rPr>
        <w:rFonts w:ascii="方正黑体_GBK" w:eastAsia="方正黑体_GBK" w:hAnsi="方正黑体_GBK" w:hint="default"/>
      </w:rPr>
    </w:lvl>
    <w:lvl w:ilvl="8" w:tplc="14846C1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6246B6C"/>
    <w:multiLevelType w:val="multilevel"/>
    <w:tmpl w:val="DC08D41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D54C42"/>
    <w:multiLevelType w:val="multilevel"/>
    <w:tmpl w:val="AC82AB2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80E4B"/>
    <w:rsid w:val="00780E4B"/>
    <w:rsid w:val="007D2156"/>
    <w:rsid w:val="009C6F33"/>
    <w:rsid w:val="00FC2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d07a396d">
    <w:name w:val="Normald07a396d"/>
    <w:pPr>
      <w:widowControl w:val="0"/>
      <w:jc w:val="both"/>
    </w:pPr>
    <w:rPr>
      <w:rFonts w:ascii="方正黑体_GBK" w:eastAsia="方正黑体_GBK" w:hAnsi="方正黑体_GBK" w:cs="Times New Roman"/>
      <w:szCs w:val="21"/>
    </w:rPr>
  </w:style>
  <w:style w:type="paragraph" w:customStyle="1" w:styleId="heading16b3b050b">
    <w:name w:val="heading 16b3b050b"/>
    <w:basedOn w:val="Normald07a396d"/>
    <w:next w:val="a"/>
    <w:pPr>
      <w:keepNext/>
      <w:keepLines/>
      <w:spacing w:before="340" w:after="330" w:line="578" w:lineRule="auto"/>
      <w:outlineLvl w:val="0"/>
    </w:pPr>
    <w:rPr>
      <w:b/>
      <w:bCs/>
      <w:kern w:val="44"/>
      <w:sz w:val="44"/>
    </w:rPr>
  </w:style>
  <w:style w:type="paragraph" w:customStyle="1" w:styleId="heading2df456117">
    <w:name w:val="heading 2df456117"/>
    <w:basedOn w:val="Normald07a396d"/>
    <w:next w:val="a"/>
    <w:pPr>
      <w:keepNext/>
      <w:keepLines/>
      <w:spacing w:before="260" w:after="260" w:line="415" w:lineRule="auto"/>
      <w:outlineLvl w:val="1"/>
    </w:pPr>
    <w:rPr>
      <w:b/>
      <w:sz w:val="32"/>
    </w:rPr>
  </w:style>
  <w:style w:type="paragraph" w:customStyle="1" w:styleId="heading3139b16d3">
    <w:name w:val="heading 3139b16d3"/>
    <w:basedOn w:val="Normald07a396d"/>
    <w:next w:val="a"/>
    <w:pPr>
      <w:keepNext/>
      <w:keepLines/>
      <w:spacing w:before="260" w:after="260" w:line="415" w:lineRule="auto"/>
      <w:outlineLvl w:val="2"/>
    </w:pPr>
    <w:rPr>
      <w:b/>
      <w:sz w:val="32"/>
    </w:rPr>
  </w:style>
  <w:style w:type="character" w:customStyle="1" w:styleId="DefaultParagraphFontc3ee05ae">
    <w:name w:val="Default Paragraph Fontc3ee05ae"/>
  </w:style>
  <w:style w:type="paragraph" w:customStyle="1" w:styleId="toc156248bd0">
    <w:name w:val="toc 156248bd0"/>
    <w:basedOn w:val="Normald07a396d"/>
    <w:next w:val="a"/>
    <w:autoRedefine/>
  </w:style>
  <w:style w:type="paragraph" w:customStyle="1" w:styleId="toc21f386196">
    <w:name w:val="toc 21f386196"/>
    <w:basedOn w:val="Normald07a396d"/>
    <w:next w:val="a"/>
    <w:autoRedefine/>
    <w:pPr>
      <w:ind w:left="420"/>
    </w:pPr>
  </w:style>
  <w:style w:type="paragraph" w:customStyle="1" w:styleId="toc31fec33db">
    <w:name w:val="toc 31fec33db"/>
    <w:basedOn w:val="Normald07a396d"/>
    <w:next w:val="a"/>
    <w:autoRedefine/>
    <w:pPr>
      <w:ind w:left="840"/>
    </w:pPr>
  </w:style>
  <w:style w:type="paragraph" w:customStyle="1" w:styleId="toc450ec0643">
    <w:name w:val="toc 450ec0643"/>
    <w:basedOn w:val="Normald07a396d"/>
    <w:next w:val="a"/>
    <w:autoRedefine/>
    <w:pPr>
      <w:ind w:left="1260"/>
    </w:pPr>
  </w:style>
  <w:style w:type="paragraph" w:customStyle="1" w:styleId="toc5c54fd67d">
    <w:name w:val="toc 5c54fd67d"/>
    <w:basedOn w:val="Normald07a396d"/>
    <w:next w:val="a"/>
    <w:autoRedefine/>
    <w:pPr>
      <w:ind w:left="1680"/>
    </w:pPr>
  </w:style>
  <w:style w:type="paragraph" w:customStyle="1" w:styleId="headerf9b214cb">
    <w:name w:val="headerf9b214cb"/>
    <w:basedOn w:val="Normald07a396d"/>
    <w:pPr>
      <w:pBdr>
        <w:bottom w:val="single" w:sz="6" w:space="1" w:color="auto"/>
      </w:pBdr>
      <w:tabs>
        <w:tab w:val="center" w:pos="4153"/>
        <w:tab w:val="right" w:pos="8307"/>
      </w:tabs>
      <w:snapToGrid w:val="0"/>
      <w:jc w:val="center"/>
    </w:pPr>
    <w:rPr>
      <w:sz w:val="18"/>
    </w:rPr>
  </w:style>
  <w:style w:type="paragraph" w:customStyle="1" w:styleId="footer7b7adc44">
    <w:name w:val="footer7b7adc44"/>
    <w:basedOn w:val="Normald07a396d"/>
    <w:pPr>
      <w:tabs>
        <w:tab w:val="center" w:pos="4153"/>
        <w:tab w:val="right" w:pos="8307"/>
      </w:tabs>
      <w:snapToGrid w:val="0"/>
      <w:jc w:val="left"/>
    </w:pPr>
    <w:rPr>
      <w:sz w:val="18"/>
    </w:rPr>
  </w:style>
  <w:style w:type="character" w:customStyle="1" w:styleId="Strong1d7b6211">
    <w:name w:val="Strong1d7b621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e317718">
    <w:name w:val="Normalee317718"/>
    <w:next w:val="TOC1"/>
    <w:pPr>
      <w:widowControl w:val="0"/>
      <w:jc w:val="both"/>
    </w:pPr>
    <w:rPr>
      <w:rFonts w:ascii="方正黑体_GBK" w:eastAsia="方正黑体_GBK" w:hAnsi="方正黑体_GBK" w:cs="Times New Roman"/>
      <w:sz w:val="18"/>
      <w:szCs w:val="18"/>
    </w:rPr>
  </w:style>
  <w:style w:type="paragraph" w:customStyle="1" w:styleId="heading1bff42600">
    <w:name w:val="heading 1bff42600"/>
    <w:basedOn w:val="Normalee317718"/>
    <w:next w:val="a"/>
    <w:pPr>
      <w:keepNext/>
      <w:keepLines/>
      <w:spacing w:before="340" w:after="330" w:line="578" w:lineRule="auto"/>
      <w:outlineLvl w:val="0"/>
    </w:pPr>
    <w:rPr>
      <w:b/>
      <w:bCs/>
      <w:kern w:val="44"/>
      <w:sz w:val="44"/>
    </w:rPr>
  </w:style>
  <w:style w:type="paragraph" w:customStyle="1" w:styleId="heading29132c85d">
    <w:name w:val="heading 29132c85d"/>
    <w:basedOn w:val="Normalee317718"/>
    <w:next w:val="a"/>
    <w:pPr>
      <w:keepNext/>
      <w:keepLines/>
      <w:spacing w:before="260" w:after="260" w:line="415" w:lineRule="auto"/>
      <w:outlineLvl w:val="1"/>
    </w:pPr>
    <w:rPr>
      <w:b/>
      <w:sz w:val="32"/>
    </w:rPr>
  </w:style>
  <w:style w:type="paragraph" w:customStyle="1" w:styleId="heading39068bd20">
    <w:name w:val="heading 39068bd20"/>
    <w:basedOn w:val="Normalee317718"/>
    <w:next w:val="a"/>
    <w:pPr>
      <w:keepNext/>
      <w:keepLines/>
      <w:spacing w:before="260" w:after="260" w:line="415" w:lineRule="auto"/>
      <w:outlineLvl w:val="2"/>
    </w:pPr>
    <w:rPr>
      <w:b/>
      <w:sz w:val="32"/>
    </w:rPr>
  </w:style>
  <w:style w:type="character" w:customStyle="1" w:styleId="DefaultParagraphFont20904850">
    <w:name w:val="Default Paragraph Font20904850"/>
  </w:style>
  <w:style w:type="paragraph" w:customStyle="1" w:styleId="NormalIndent136b8349">
    <w:name w:val="Normal Indent136b8349"/>
    <w:basedOn w:val="Normalee317718"/>
    <w:pPr>
      <w:ind w:firstLineChars="200" w:firstLine="200"/>
    </w:pPr>
  </w:style>
  <w:style w:type="paragraph" w:customStyle="1" w:styleId="toc548148ab2">
    <w:name w:val="toc 548148ab2"/>
    <w:basedOn w:val="Normalee317718"/>
    <w:next w:val="a"/>
    <w:pPr>
      <w:ind w:left="1680"/>
    </w:pPr>
  </w:style>
  <w:style w:type="paragraph" w:customStyle="1" w:styleId="toc3e387f8fb">
    <w:name w:val="toc 3e387f8fb"/>
    <w:basedOn w:val="Normalee317718"/>
    <w:next w:val="a"/>
    <w:pPr>
      <w:ind w:left="840"/>
    </w:pPr>
  </w:style>
  <w:style w:type="paragraph" w:customStyle="1" w:styleId="footer0fd17676">
    <w:name w:val="footer0fd17676"/>
    <w:basedOn w:val="Normalee317718"/>
    <w:pPr>
      <w:tabs>
        <w:tab w:val="center" w:pos="4153"/>
        <w:tab w:val="right" w:pos="8307"/>
      </w:tabs>
      <w:snapToGrid w:val="0"/>
      <w:jc w:val="left"/>
    </w:pPr>
  </w:style>
  <w:style w:type="paragraph" w:customStyle="1" w:styleId="headerd9ee0fd7">
    <w:name w:val="headerd9ee0fd7"/>
    <w:basedOn w:val="Normalee317718"/>
    <w:pPr>
      <w:pBdr>
        <w:bottom w:val="single" w:sz="6" w:space="1" w:color="auto"/>
      </w:pBdr>
      <w:tabs>
        <w:tab w:val="center" w:pos="4153"/>
        <w:tab w:val="right" w:pos="8307"/>
      </w:tabs>
      <w:snapToGrid w:val="0"/>
      <w:jc w:val="center"/>
    </w:pPr>
  </w:style>
  <w:style w:type="paragraph" w:customStyle="1" w:styleId="toc1a6c92ff8">
    <w:name w:val="toc 1a6c92ff8"/>
    <w:basedOn w:val="Normalee317718"/>
    <w:next w:val="a"/>
  </w:style>
  <w:style w:type="paragraph" w:customStyle="1" w:styleId="toc4c7cacb1b">
    <w:name w:val="toc 4c7cacb1b"/>
    <w:basedOn w:val="Normalee317718"/>
    <w:next w:val="a"/>
    <w:pPr>
      <w:ind w:left="1260"/>
    </w:pPr>
  </w:style>
  <w:style w:type="paragraph" w:customStyle="1" w:styleId="toc22fb0c84c">
    <w:name w:val="toc 22fb0c84c"/>
    <w:basedOn w:val="Normalee317718"/>
    <w:next w:val="a"/>
    <w:pPr>
      <w:ind w:left="420"/>
    </w:pPr>
  </w:style>
  <w:style w:type="paragraph" w:customStyle="1" w:styleId="NormalWebaf9ed119">
    <w:name w:val="Normal (Web)af9ed11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67b39cb967b39cb">
    <w:name w:val="Normal967b39cb967b39cb"/>
    <w:next w:val="TOC1"/>
    <w:pPr>
      <w:widowControl w:val="0"/>
      <w:jc w:val="both"/>
    </w:pPr>
    <w:rPr>
      <w:rFonts w:ascii="方正黑体_GBK" w:eastAsia="方正黑体_GBK" w:hAnsi="方正黑体_GBK" w:cs="Times New Roman"/>
      <w:szCs w:val="21"/>
    </w:rPr>
  </w:style>
  <w:style w:type="paragraph" w:customStyle="1" w:styleId="heading173be128a73be128a">
    <w:name w:val="heading 173be128a73be128a"/>
    <w:basedOn w:val="Normal967b39cb967b39cb"/>
    <w:next w:val="a"/>
    <w:pPr>
      <w:keepNext/>
      <w:keepLines/>
      <w:spacing w:before="340" w:after="330" w:line="578" w:lineRule="auto"/>
      <w:outlineLvl w:val="0"/>
    </w:pPr>
    <w:rPr>
      <w:b/>
      <w:bCs/>
      <w:kern w:val="44"/>
      <w:sz w:val="44"/>
    </w:rPr>
  </w:style>
  <w:style w:type="paragraph" w:customStyle="1" w:styleId="heading224efbdc724efbdc7">
    <w:name w:val="heading 224efbdc724efbdc7"/>
    <w:basedOn w:val="Normal967b39cb967b39cb"/>
    <w:next w:val="a"/>
    <w:pPr>
      <w:keepNext/>
      <w:keepLines/>
      <w:spacing w:before="260" w:after="260" w:line="415" w:lineRule="auto"/>
      <w:outlineLvl w:val="1"/>
    </w:pPr>
    <w:rPr>
      <w:b/>
      <w:sz w:val="32"/>
    </w:rPr>
  </w:style>
  <w:style w:type="paragraph" w:customStyle="1" w:styleId="heading3f97a520df97a520d">
    <w:name w:val="heading 3f97a520df97a520d"/>
    <w:basedOn w:val="Normal967b39cb967b39cb"/>
    <w:next w:val="a"/>
    <w:pPr>
      <w:keepNext/>
      <w:keepLines/>
      <w:spacing w:before="260" w:after="260" w:line="415" w:lineRule="auto"/>
      <w:outlineLvl w:val="2"/>
    </w:pPr>
    <w:rPr>
      <w:b/>
      <w:sz w:val="32"/>
    </w:rPr>
  </w:style>
  <w:style w:type="character" w:customStyle="1" w:styleId="DefaultParagraphFonta05ecfdba05ecfdb">
    <w:name w:val="Default Paragraph Fonta05ecfdba05ecfdb"/>
  </w:style>
  <w:style w:type="paragraph" w:customStyle="1" w:styleId="1b1702bccb1702bcc">
    <w:name w:val="引文目录1b1702bccb1702bcc"/>
    <w:basedOn w:val="Normal967b39cb967b39cb"/>
    <w:next w:val="a"/>
    <w:pPr>
      <w:ind w:leftChars="200" w:left="200"/>
    </w:pPr>
  </w:style>
  <w:style w:type="paragraph" w:customStyle="1" w:styleId="toc509450bac09450bac">
    <w:name w:val="toc 509450bac09450bac"/>
    <w:basedOn w:val="Normal967b39cb967b39cb"/>
    <w:next w:val="a"/>
    <w:pPr>
      <w:ind w:left="1680"/>
    </w:pPr>
  </w:style>
  <w:style w:type="paragraph" w:customStyle="1" w:styleId="toc34f2db85b4f2db85b">
    <w:name w:val="toc 34f2db85b4f2db85b"/>
    <w:basedOn w:val="Normal967b39cb967b39cb"/>
    <w:next w:val="a"/>
    <w:pPr>
      <w:ind w:left="840"/>
    </w:pPr>
  </w:style>
  <w:style w:type="paragraph" w:customStyle="1" w:styleId="footeraa1e0656aa1e0656">
    <w:name w:val="footeraa1e0656aa1e0656"/>
    <w:basedOn w:val="Normal967b39cb967b39cb"/>
    <w:pPr>
      <w:tabs>
        <w:tab w:val="center" w:pos="4153"/>
        <w:tab w:val="right" w:pos="8307"/>
      </w:tabs>
      <w:snapToGrid w:val="0"/>
      <w:jc w:val="left"/>
    </w:pPr>
    <w:rPr>
      <w:sz w:val="18"/>
    </w:rPr>
  </w:style>
  <w:style w:type="paragraph" w:customStyle="1" w:styleId="headercf30c385cf30c385">
    <w:name w:val="headercf30c385cf30c385"/>
    <w:basedOn w:val="Normal967b39cb967b39cb"/>
    <w:pPr>
      <w:pBdr>
        <w:bottom w:val="single" w:sz="6" w:space="1" w:color="auto"/>
      </w:pBdr>
      <w:tabs>
        <w:tab w:val="center" w:pos="4153"/>
        <w:tab w:val="right" w:pos="8307"/>
      </w:tabs>
      <w:snapToGrid w:val="0"/>
      <w:jc w:val="center"/>
    </w:pPr>
    <w:rPr>
      <w:sz w:val="18"/>
    </w:rPr>
  </w:style>
  <w:style w:type="paragraph" w:customStyle="1" w:styleId="toc1e706b2a2e706b2a2">
    <w:name w:val="toc 1e706b2a2e706b2a2"/>
    <w:basedOn w:val="Normal967b39cb967b39cb"/>
    <w:next w:val="a"/>
  </w:style>
  <w:style w:type="paragraph" w:customStyle="1" w:styleId="toc407f3b5a107f3b5a1">
    <w:name w:val="toc 407f3b5a107f3b5a1"/>
    <w:basedOn w:val="Normal967b39cb967b39cb"/>
    <w:next w:val="a"/>
    <w:pPr>
      <w:ind w:left="1260"/>
    </w:pPr>
  </w:style>
  <w:style w:type="paragraph" w:customStyle="1" w:styleId="toc2ced2cb39ced2cb39">
    <w:name w:val="toc 2ced2cb39ced2cb39"/>
    <w:basedOn w:val="Normal967b39cb967b39cb"/>
    <w:next w:val="a"/>
    <w:pPr>
      <w:ind w:left="420"/>
    </w:pPr>
  </w:style>
  <w:style w:type="paragraph" w:customStyle="1" w:styleId="1e77a8acae77a8aca">
    <w:name w:val="列出段落1e77a8acae77a8ac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