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aafdb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aafdb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aafdb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aafdb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aafdb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aafdb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aafdb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aafdb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aafdb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aafdb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aafdbac0"/>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306a6433"/>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306a6433"/>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4756cbef"/>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南银理财珠联璧合鑫逸稳两年175期封闭式公募人民币理财产品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ZZ700322600195</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Z7003226000193(投资者可依据该编码在中国理财网www.chinawealth.com.cn查询理财产品相关信息）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A份额：NYXY001043</w:t>
            </w:r>
          </w:p>
          <w:p>
            <w:pPr>
              <w:pStyle w:val="null10"/>
              <w:spacing w:lineRule="exact" w:line="200"/>
            </w:pPr>
            <w:r>
              <w:rPr>
                <w:rFonts w:ascii="方正黑体_GBK" w:hAnsi="方正黑体_GBK" w:cs="宋体" w:eastAsia="方正黑体_GBK"/>
                <w:sz w:val="18"/>
                <w:szCs w:val="18"/>
              </w:rPr>
              <w:t>B份额：NYXY001044</w:t>
            </w:r>
          </w:p>
          <w:p>
            <w:pPr>
              <w:pStyle w:val="null10"/>
              <w:spacing w:lineRule="exact" w:line="200"/>
            </w:pPr>
            <w:r>
              <w:rPr>
                <w:rFonts w:ascii="方正黑体_GBK" w:hAnsi="方正黑体_GBK" w:cs="宋体" w:eastAsia="方正黑体_GBK"/>
                <w:sz w:val="18"/>
                <w:szCs w:val="18"/>
              </w:rPr>
              <w:t>C份额：NYXY001045</w:t>
            </w:r>
          </w:p>
          <w:p>
            <w:pPr>
              <w:pStyle w:val="null10"/>
              <w:spacing w:lineRule="exact" w:line="200"/>
            </w:pPr>
            <w:r>
              <w:rPr>
                <w:rFonts w:ascii="方正黑体_GBK" w:hAnsi="方正黑体_GBK" w:cs="宋体" w:eastAsia="方正黑体_GBK"/>
                <w:sz w:val="18"/>
                <w:szCs w:val="18"/>
              </w:rPr>
              <w:t>E份额：NYXY001168</w:t>
            </w:r>
          </w:p>
          <w:p>
            <w:pPr>
              <w:pStyle w:val="null10"/>
              <w:spacing w:lineRule="exact" w:line="200"/>
            </w:pPr>
            <w:r>
              <w:rPr>
                <w:rFonts w:ascii="方正黑体_GBK" w:hAnsi="方正黑体_GBK" w:cs="宋体" w:eastAsia="方正黑体_GBK"/>
                <w:sz w:val="18"/>
                <w:szCs w:val="18"/>
              </w:rPr>
              <w:t>G份额：NYXY001169</w:t>
            </w:r>
          </w:p>
          <w:p>
            <w:pPr>
              <w:pStyle w:val="null10"/>
              <w:spacing w:lineRule="exact" w:line="200"/>
            </w:pPr>
            <w:r>
              <w:rPr>
                <w:rFonts w:ascii="方正黑体_GBK" w:hAnsi="方正黑体_GBK" w:cs="宋体" w:eastAsia="方正黑体_GBK"/>
                <w:sz w:val="18"/>
                <w:szCs w:val="18"/>
              </w:rPr>
              <w:t>O份额：NYXY001170</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及代发客户外的其他客户）、青岛银行股份有限公司、江苏张家港农村商业银行股份有限公司、江苏常熟农村商业银行股份有限公司、江苏苏州农村商业银行股份有限公司、蒙商银行股份有限公司、广州农村商业银行股份有限公司、苏州银行股份有限公司、齐鲁银行股份有限公司（除白金/私行客户外的其他客户）、北京银行股份有限公司、贵阳银行股份有限公司、天津农村商业银行股份有限公司（除新客户、私钻客户和私行客户外的其他客户）、山西银行股份有限公司、云南红塔银行股份有限公司、宁夏银行股份有限公司、海南银行股份有限公司、廊坊银行股份有限公司、上海农村商业银行股份有限公司、桂林银行股份有限公司（除银龄客户、财富客户和分行高净值客户外的其他客户）、宁波通商银行股份有限公司（除老年客户外的其他客户）、石嘴山银行股份有限公司、无锡锡商银行股份有限公司、江苏丹阳农村商业银行股份有限公司、江苏宜兴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仪征农村商业银行股份有限公司、江苏沭阳农村商业银行股份有限公司、连云港东方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温州银行股份有限公司、齐商银行股份有限公司、河北银行股份有限公司、广州银行股份有限公司、长沙银行股份有限公司、秦皇岛银行股份有限公司、齐鲁银行股份有限公司(白金/私行客户)、天津农村商业银行股份有限公司(新客户)、甘肃银行股份有限公司、乌鲁木齐银行股份有限公司、东营银行股份有限公司、桂林银行股份有限公司(银龄客户)、宁波通商银行股份有限公司(老年客户)、江苏高淳农村商业银行股份有限公司、江苏新沂农村商业银行股份有限公司（1元起购）、江苏江都农村商业银行股份有限公司、江苏大丰农村商业银行股份有限公司、江苏镇江农村商业银行股份有限公司( 20万元起购)、江苏紫金农村商业银行股份有限公司、江苏沛县农村商业银行股份有限公司（除财富客户外的其他客户）、江苏泰州农村商业银行股份有限公司。</w:t>
            </w:r>
          </w:p>
          <w:p>
            <w:pPr>
              <w:pStyle w:val="null10"/>
              <w:spacing w:lineRule="exact" w:line="200"/>
            </w:pPr>
            <w:r>
              <w:rPr>
                <w:rFonts w:ascii="方正黑体_GBK" w:hAnsi="方正黑体_GBK" w:cs="宋体" w:eastAsia="方正黑体_GBK"/>
                <w:sz w:val="18"/>
                <w:szCs w:val="18"/>
              </w:rPr>
              <w:t>C份额：郑州银行股份有限公司、泰安银行股份有限公司、天津农村商业银行股份有限公司(私钻客户)、桂林银行股份有限公司(财富客户)、江苏泰兴农村商业银行股份有限公司、江苏响水农村商业银行股份有限公司、江苏靖江农村商业银行股份有限公司、江苏新沂农村商业银行股份有限公司（30万元起购）、江苏兴化农村商业银行股份有限公司、江苏镇江农村商业银行股份有限公司( 100万元起购)、江苏滨海农村商业银行有限公司、江苏射阳农村商业银行股份有限公司、江苏句容农村商业银行股份有限公司、江苏如东农村商业银行股份有限公司、江苏沛县农村商业银行股份有限公司（财富客户）。</w:t>
            </w:r>
          </w:p>
          <w:p>
            <w:pPr>
              <w:pStyle w:val="null10"/>
              <w:spacing w:lineRule="exact" w:line="200"/>
            </w:pPr>
            <w:r>
              <w:rPr>
                <w:rFonts w:ascii="方正黑体_GBK" w:hAnsi="方正黑体_GBK" w:cs="宋体" w:eastAsia="方正黑体_GBK"/>
                <w:sz w:val="18"/>
                <w:szCs w:val="18"/>
              </w:rPr>
              <w:t>E份额：天津农村商业银行股份有限公司(私行客户)。</w:t>
            </w:r>
          </w:p>
          <w:p>
            <w:pPr>
              <w:pStyle w:val="null10"/>
              <w:spacing w:lineRule="exact" w:line="200"/>
            </w:pPr>
            <w:r>
              <w:rPr>
                <w:rFonts w:ascii="方正黑体_GBK" w:hAnsi="方正黑体_GBK" w:cs="宋体" w:eastAsia="方正黑体_GBK"/>
                <w:sz w:val="18"/>
                <w:szCs w:val="18"/>
              </w:rPr>
              <w:t>G份额：桂林银行股份有限公司(分行高净值客户)。</w:t>
            </w:r>
          </w:p>
          <w:p>
            <w:pPr>
              <w:pStyle w:val="null10"/>
              <w:spacing w:lineRule="exact" w:line="200"/>
            </w:pPr>
            <w:r>
              <w:rPr>
                <w:rFonts w:ascii="方正黑体_GBK" w:hAnsi="方正黑体_GBK" w:cs="宋体" w:eastAsia="方正黑体_GBK"/>
                <w:sz w:val="18"/>
                <w:szCs w:val="18"/>
              </w:rPr>
              <w:t>O份额：吉林银行股份有限公司。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A份额/B份额/C份额/E份额/G份额/O份额：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2026年06月24日 09:00—2026年06月30日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2026年07月01日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2026年07月01日—实际到期日（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2028年07月19日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A份额：业绩比较基准为年化2.55%-2.8% 。</w:t>
            </w:r>
          </w:p>
          <w:p>
            <w:pPr>
              <w:pStyle w:val="null10"/>
              <w:spacing w:lineRule="exact" w:line="200"/>
            </w:pPr>
            <w:r>
              <w:rPr>
                <w:rFonts w:ascii="方正黑体_GBK" w:hAnsi="方正黑体_GBK" w:cs="宋体" w:eastAsia="方正黑体_GBK"/>
                <w:sz w:val="18"/>
                <w:szCs w:val="18"/>
              </w:rPr>
              <w:t>B份额：业绩比较基准为年化2.65%-2.9% 。</w:t>
            </w:r>
          </w:p>
          <w:p>
            <w:pPr>
              <w:pStyle w:val="null10"/>
              <w:spacing w:lineRule="exact" w:line="200"/>
            </w:pPr>
            <w:r>
              <w:rPr>
                <w:rFonts w:ascii="方正黑体_GBK" w:hAnsi="方正黑体_GBK" w:cs="宋体" w:eastAsia="方正黑体_GBK"/>
                <w:sz w:val="18"/>
                <w:szCs w:val="18"/>
              </w:rPr>
              <w:t>C份额：业绩比较基准为年化2.75%-3% 。</w:t>
            </w:r>
          </w:p>
          <w:p>
            <w:pPr>
              <w:pStyle w:val="null10"/>
              <w:spacing w:lineRule="exact" w:line="200"/>
            </w:pPr>
            <w:r>
              <w:rPr>
                <w:rFonts w:ascii="方正黑体_GBK" w:hAnsi="方正黑体_GBK" w:cs="宋体" w:eastAsia="方正黑体_GBK"/>
                <w:sz w:val="18"/>
                <w:szCs w:val="18"/>
              </w:rPr>
              <w:t>E份额：业绩比较基准为年化2.6%-2.85% 。</w:t>
            </w:r>
          </w:p>
          <w:p>
            <w:pPr>
              <w:pStyle w:val="null10"/>
              <w:spacing w:lineRule="exact" w:line="200"/>
            </w:pPr>
            <w:r>
              <w:rPr>
                <w:rFonts w:ascii="方正黑体_GBK" w:hAnsi="方正黑体_GBK" w:cs="宋体" w:eastAsia="方正黑体_GBK"/>
                <w:sz w:val="18"/>
                <w:szCs w:val="18"/>
              </w:rPr>
              <w:t>G份额：业绩比较基准为年化2.8%-3.05% 。</w:t>
            </w:r>
          </w:p>
          <w:p>
            <w:pPr>
              <w:pStyle w:val="null10"/>
              <w:spacing w:lineRule="exact" w:line="200"/>
            </w:pPr>
            <w:r>
              <w:rPr>
                <w:rFonts w:ascii="方正黑体_GBK" w:hAnsi="方正黑体_GBK" w:cs="宋体" w:eastAsia="方正黑体_GBK"/>
                <w:sz w:val="18"/>
                <w:szCs w:val="18"/>
              </w:rPr>
              <w:t>O份额：业绩比较基准为年化2.55%-2.8%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E份额：</w:t>
            </w:r>
          </w:p>
          <w:p>
            <w:pPr>
              <w:pStyle w:val="null10"/>
              <w:spacing w:lineRule="exact" w:line="200"/>
            </w:pPr>
            <w:r>
              <w:rPr>
                <w:rFonts w:ascii="方正黑体_GBK" w:hAnsi="方正黑体_GBK" w:cs="宋体" w:eastAsia="方正黑体_GBK"/>
                <w:sz w:val="18"/>
                <w:b/>
                <w:szCs w:val="18"/>
              </w:rPr>
              <w:t>本理财产品按前一日理财产品资产净值收取年化0.25%的销售费，按日计提。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G份额：</w:t>
            </w:r>
          </w:p>
          <w:p>
            <w:pPr>
              <w:pStyle w:val="null10"/>
              <w:spacing w:lineRule="exact" w:line="200"/>
            </w:pPr>
            <w:r>
              <w:rPr>
                <w:rFonts w:ascii="方正黑体_GBK" w:hAnsi="方正黑体_GBK" w:cs="宋体" w:eastAsia="方正黑体_GBK"/>
                <w:sz w:val="18"/>
                <w:b/>
                <w:szCs w:val="18"/>
              </w:rPr>
              <w:t>本理财产品按前一日理财产品资产净值收取年化0%的销售费，按日计提。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本理财产品一次性收取年化0.3%的销售费，按日摊销。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G份额：固定管理费年化0.15%</w:t>
            </w:r>
          </w:p>
          <w:p>
            <w:pPr>
              <w:pStyle w:val="null10"/>
              <w:spacing w:lineRule="exact" w:line="200"/>
            </w:pPr>
            <w:r>
              <w:rPr>
                <w:rFonts w:ascii="方正黑体_GBK" w:hAnsi="方正黑体_GBK" w:cs="宋体" w:eastAsia="方正黑体_GBK"/>
                <w:sz w:val="18"/>
                <w:b/>
                <w:szCs w:val="18"/>
              </w:rPr>
              <w:t>O份额：固定管理费年化0.1%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2.75%（含）（年化，即产品该份额对应的业绩报酬计提基准）至3%（不含）之间的部分，管理人将按超过2.75%部分的50%收取业绩报酬；在3%（含）（年化，即产品该份额对应的业绩报酬计提基准）以上的部分，管理人将按超过3%部分的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在2.8%（含）（年化，即产品该份额对应的业绩报酬计提基准）至3.05%（不含）之间的部分，管理人将按超过2.8%部分的50%收取业绩报酬；在3.05%（含）（年化，即产品该份额对应的业绩报酬计提基准）以上的部分，管理人将按超过3.05%部分的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广州农村商业银行股份有限公司、江苏泰州农村商业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天津信托有限责任公司、云南国际信托有限公司、中国对外经济贸易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306a6433"/>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d4c1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d4c1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d4c129a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d4c129ad"/>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d4c129a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d4c129a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d4c129a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d4c129ad"/>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南银理财珠联璧合鑫逸稳两年175期封闭式公募人民币理财产品</w:t>
      </w:r>
      <w:r>
        <w:rPr>
          <w:rFonts w:ascii="方正黑体_GBK" w:eastAsia="方正黑体_GBK" w:hint="eastAsia" w:hAnsi="方正黑体_GBK"/>
          <w:vanish w:val="0"/>
          <w:color w:val="3D3D3D"/>
          <w:kern w:val="0"/>
          <w:sz w:val="15"/>
          <w:szCs w:val="15"/>
        </w:rPr>
        <w:t>。</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d4c129ad"/>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d4c129a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d4c129a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d4c129a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67f361a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67f361a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67f361a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67f361a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67f361a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67f361a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d4c129a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d4c129a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d4c129ad"/>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306a64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306a64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67f361ad"/>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306a6433"/>
        <w:keepNext w:val="0"/>
        <w:keepLines w:val="0"/>
        <w:pageBreakBefore w:val="0"/>
        <w:widowControl/>
        <w:suppressLineNumbers w:val="0"/>
        <w:suppressAutoHyphens w:val="0"/>
        <w:spacing w:line="200" w:lineRule="exact"/>
        <w:ind w:firstLineChars="200" w:firstLine="300"/>
        <w:rPr>
          <w:rStyle w:val="67f361ad"/>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306a64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306a64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306a6433"/>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306a6433"/>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306a64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306a64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306a64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306a643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306a64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306a643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306a64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306a64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306a64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306a64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306a64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306a64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306a6433"/>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3"/>
  </w:num>
  <w:num w:numId="2">
    <w:abstractNumId w:val="1"/>
  </w:num>
  <w:num w:numId="3">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aafdbac0">
    <w:name w:val="Normalaafdbac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05ca82d">
    <w:name w:val="heading 1005ca82d"/>
    <w:basedOn w:val="aafdbac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79e41fe">
    <w:name w:val="heading 2879e41fe"/>
    <w:basedOn w:val="aafdbac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0efc7d6">
    <w:name w:val="heading 320efc7d6"/>
    <w:basedOn w:val="aafdbac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63a7245">
    <w:name w:val="Default Paragraph Fonta63a7245"/>
  </w:style>
  <w:style xmlns:r="http://schemas.openxmlformats.org/officeDocument/2006/relationships" w:type="paragraph" w:styleId="69eff144">
    <w:name w:val="toc 169eff144"/>
    <w:basedOn w:val="aafdbac0"/>
    <w:autoRedefine/>
    <w:next w:val="0"/>
  </w:style>
  <w:style xmlns:r="http://schemas.openxmlformats.org/officeDocument/2006/relationships" w:type="paragraph" w:styleId="344a4aa4">
    <w:name w:val="toc 2344a4aa4"/>
    <w:basedOn w:val="aafdbac0"/>
    <w:autoRedefine/>
    <w:next w:val="0"/>
    <w:pPr>
      <w:ind w:left="420"/>
    </w:pPr>
  </w:style>
  <w:style xmlns:r="http://schemas.openxmlformats.org/officeDocument/2006/relationships" w:type="paragraph" w:styleId="b76d768a">
    <w:name w:val="toc 3b76d768a"/>
    <w:basedOn w:val="aafdbac0"/>
    <w:autoRedefine/>
    <w:next w:val="0"/>
    <w:pPr>
      <w:ind w:left="840"/>
    </w:pPr>
  </w:style>
  <w:style xmlns:r="http://schemas.openxmlformats.org/officeDocument/2006/relationships" w:type="paragraph" w:styleId="beffdfbc">
    <w:name w:val="toc 4beffdfbc"/>
    <w:basedOn w:val="aafdbac0"/>
    <w:autoRedefine/>
    <w:next w:val="0"/>
    <w:pPr>
      <w:ind w:left="1260"/>
    </w:pPr>
  </w:style>
  <w:style xmlns:r="http://schemas.openxmlformats.org/officeDocument/2006/relationships" w:type="paragraph" w:styleId="f5442c22">
    <w:name w:val="toc 5f5442c22"/>
    <w:basedOn w:val="aafdbac0"/>
    <w:autoRedefine/>
    <w:next w:val="0"/>
    <w:pPr>
      <w:ind w:left="1680"/>
    </w:pPr>
  </w:style>
  <w:style xmlns:r="http://schemas.openxmlformats.org/officeDocument/2006/relationships" w:type="paragraph" w:styleId="e1295971">
    <w:name w:val="headere1295971"/>
    <w:basedOn w:val="aafdbac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d218571">
    <w:name w:val="footer8d218571"/>
    <w:basedOn w:val="aafdbac0"/>
    <w:pPr>
      <w:tabs>
        <w:tab w:val="center" w:pos="4153"/>
        <w:tab w:val="right" w:pos="8307"/>
      </w:tabs>
      <w:adjustRightInd/>
      <w:snapToGrid w:val="0"/>
      <w:contextualSpacing w:val="0"/>
      <w:jc w:val="left"/>
    </w:pPr>
    <w:rPr>
      <w:sz w:val="18"/>
    </w:rPr>
  </w:style>
  <w:style xmlns:r="http://schemas.openxmlformats.org/officeDocument/2006/relationships" w:type="character" w:styleId="8d2e12d4">
    <w:name w:val="Strong8d2e12d4"/>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306a6433">
    <w:name w:val="Normal306a643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2f22f569">
    <w:name w:val="heading 12f22f569"/>
    <w:basedOn w:val="306a643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e55c2e5">
    <w:name w:val="heading 28e55c2e5"/>
    <w:basedOn w:val="306a643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cd9071c">
    <w:name w:val="heading 32cd9071c"/>
    <w:basedOn w:val="306a643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b65f20e">
    <w:name w:val="Default Paragraph Font2b65f20e"/>
  </w:style>
  <w:style xmlns:r="http://schemas.openxmlformats.org/officeDocument/2006/relationships" w:type="paragraph" w:styleId="4b093cac">
    <w:name w:val="Normal Indent4b093cac"/>
    <w:basedOn w:val="306a6433"/>
    <w:pPr>
      <w:ind w:firstLineChars="200" w:firstLine="200"/>
    </w:pPr>
  </w:style>
  <w:style xmlns:r="http://schemas.openxmlformats.org/officeDocument/2006/relationships" w:type="paragraph" w:styleId="7258144c">
    <w:name w:val="toc 57258144c"/>
    <w:basedOn w:val="306a6433"/>
    <w:next w:val="0"/>
    <w:pPr>
      <w:ind w:left="1680"/>
    </w:pPr>
  </w:style>
  <w:style xmlns:r="http://schemas.openxmlformats.org/officeDocument/2006/relationships" w:type="paragraph" w:styleId="65c40c5f">
    <w:name w:val="toc 365c40c5f"/>
    <w:basedOn w:val="306a6433"/>
    <w:next w:val="0"/>
    <w:pPr>
      <w:ind w:left="840"/>
    </w:pPr>
  </w:style>
  <w:style xmlns:r="http://schemas.openxmlformats.org/officeDocument/2006/relationships" w:type="paragraph" w:styleId="7d766f8d">
    <w:name w:val="footer7d766f8d"/>
    <w:basedOn w:val="306a6433"/>
    <w:pPr>
      <w:tabs>
        <w:tab w:val="center" w:pos="4153"/>
        <w:tab w:val="right" w:pos="8307"/>
      </w:tabs>
      <w:adjustRightInd/>
      <w:snapToGrid w:val="0"/>
      <w:contextualSpacing w:val="0"/>
      <w:jc w:val="left"/>
    </w:pPr>
    <w:rPr>
      <w:sz w:val="18"/>
    </w:rPr>
  </w:style>
  <w:style xmlns:r="http://schemas.openxmlformats.org/officeDocument/2006/relationships" w:type="paragraph" w:styleId="7961ba88">
    <w:name w:val="header7961ba88"/>
    <w:basedOn w:val="306a643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e98a773">
    <w:name w:val="toc 19e98a773"/>
    <w:basedOn w:val="306a6433"/>
    <w:next w:val="0"/>
  </w:style>
  <w:style xmlns:r="http://schemas.openxmlformats.org/officeDocument/2006/relationships" w:type="paragraph" w:styleId="9115f289">
    <w:name w:val="toc 49115f289"/>
    <w:basedOn w:val="306a6433"/>
    <w:next w:val="0"/>
    <w:pPr>
      <w:ind w:left="1260"/>
    </w:pPr>
  </w:style>
  <w:style xmlns:r="http://schemas.openxmlformats.org/officeDocument/2006/relationships" w:type="paragraph" w:styleId="15812d75">
    <w:name w:val="toc 215812d75"/>
    <w:basedOn w:val="306a6433"/>
    <w:next w:val="0"/>
    <w:pPr>
      <w:ind w:left="420"/>
    </w:pPr>
  </w:style>
  <w:style xmlns:r="http://schemas.openxmlformats.org/officeDocument/2006/relationships" w:type="paragraph" w:styleId="4756cbef">
    <w:name w:val="Normal (Web)4756cbef"/>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4c129ad">
    <w:name w:val="Normald4c129add4c129a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42bfa3be">
    <w:name w:val="heading 142bfa3be42bfa3be"/>
    <w:basedOn w:val="d4c129a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f9c17c3">
    <w:name w:val="heading 29f9c17c39f9c17c3"/>
    <w:basedOn w:val="d4c129a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b01ed5b">
    <w:name w:val="heading 3eb01ed5beb01ed5b"/>
    <w:basedOn w:val="d4c129a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810f658">
    <w:name w:val="Default Paragraph Font6810f6586810f658"/>
  </w:style>
  <w:style xmlns:r="http://schemas.openxmlformats.org/officeDocument/2006/relationships" w:type="paragraph" w:customStyle="1" w:styleId="3041460e">
    <w:name w:val="引文目录13041460e3041460e"/>
    <w:basedOn w:val="d4c129ad"/>
    <w:next w:val="0"/>
    <w:pPr>
      <w:ind w:leftChars="200" w:left="200"/>
    </w:pPr>
  </w:style>
  <w:style xmlns:r="http://schemas.openxmlformats.org/officeDocument/2006/relationships" w:type="paragraph" w:styleId="9ad8afc9">
    <w:name w:val="toc 59ad8afc99ad8afc9"/>
    <w:basedOn w:val="d4c129ad"/>
    <w:next w:val="0"/>
    <w:pPr>
      <w:ind w:left="1680"/>
    </w:pPr>
  </w:style>
  <w:style xmlns:r="http://schemas.openxmlformats.org/officeDocument/2006/relationships" w:type="paragraph" w:styleId="d086d235">
    <w:name w:val="toc 3d086d235d086d235"/>
    <w:basedOn w:val="d4c129ad"/>
    <w:next w:val="0"/>
    <w:pPr>
      <w:ind w:left="840"/>
    </w:pPr>
  </w:style>
  <w:style xmlns:r="http://schemas.openxmlformats.org/officeDocument/2006/relationships" w:type="paragraph" w:styleId="81b363c2">
    <w:name w:val="footer81b363c281b363c2"/>
    <w:basedOn w:val="d4c129ad"/>
    <w:pPr>
      <w:tabs>
        <w:tab w:val="center" w:pos="4153"/>
        <w:tab w:val="right" w:pos="8307"/>
      </w:tabs>
      <w:adjustRightInd/>
      <w:snapToGrid w:val="0"/>
      <w:contextualSpacing w:val="0"/>
      <w:jc w:val="left"/>
    </w:pPr>
    <w:rPr>
      <w:sz w:val="18"/>
    </w:rPr>
  </w:style>
  <w:style xmlns:r="http://schemas.openxmlformats.org/officeDocument/2006/relationships" w:type="paragraph" w:styleId="ec8453b9">
    <w:name w:val="headerec8453b9ec8453b9"/>
    <w:basedOn w:val="d4c129a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3272eae">
    <w:name w:val="toc 1c3272eaec3272eae"/>
    <w:basedOn w:val="d4c129ad"/>
    <w:next w:val="0"/>
  </w:style>
  <w:style xmlns:r="http://schemas.openxmlformats.org/officeDocument/2006/relationships" w:type="paragraph" w:styleId="5d28e0a8">
    <w:name w:val="toc 45d28e0a85d28e0a8"/>
    <w:basedOn w:val="d4c129ad"/>
    <w:next w:val="0"/>
    <w:pPr>
      <w:ind w:left="1260"/>
    </w:pPr>
  </w:style>
  <w:style xmlns:r="http://schemas.openxmlformats.org/officeDocument/2006/relationships" w:type="paragraph" w:styleId="190e33fb">
    <w:name w:val="toc 2190e33fb190e33fb"/>
    <w:basedOn w:val="d4c129ad"/>
    <w:next w:val="0"/>
    <w:pPr>
      <w:ind w:left="420"/>
    </w:pPr>
  </w:style>
  <w:style xmlns:r="http://schemas.openxmlformats.org/officeDocument/2006/relationships" w:type="paragraph" w:customStyle="1" w:styleId="67f361ad">
    <w:name w:val="列出段落167f361ad67f361ad"/>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