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5215">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关于调整南银理财珠联璧合安稳</w:t>
      </w:r>
      <w:r>
        <w:rPr>
          <w:rFonts w:hint="eastAsia" w:ascii="方正黑体_GBK" w:hAnsi="方正黑体_GBK" w:eastAsia="方正黑体_GBK" w:cs="方正黑体_GBK"/>
          <w:b/>
          <w:bCs/>
          <w:sz w:val="32"/>
          <w:szCs w:val="32"/>
          <w:lang w:val="en-US" w:eastAsia="zh-CN"/>
        </w:rPr>
        <w:t>1904</w:t>
      </w:r>
      <w:r>
        <w:rPr>
          <w:rFonts w:hint="eastAsia" w:ascii="方正黑体_GBK" w:hAnsi="方正黑体_GBK" w:eastAsia="方正黑体_GBK" w:cs="方正黑体_GBK"/>
          <w:b/>
          <w:bCs/>
          <w:sz w:val="32"/>
          <w:szCs w:val="32"/>
        </w:rPr>
        <w:t>一年定开公募人民币理财产品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151EF224">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14:paraId="2F9A0ACF">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szCs w:val="24"/>
        </w:rPr>
        <w:t>根据产品实际投资运作及市场变化情况，并结合产品说明书的相关约定，</w:t>
      </w:r>
      <w:r>
        <w:rPr>
          <w:rFonts w:hint="eastAsia" w:ascii="方正黑体_GBK" w:hAnsi="方正黑体_GBK" w:eastAsia="方正黑体_GBK" w:cs="方正黑体_GBK"/>
          <w:sz w:val="24"/>
        </w:rPr>
        <w:t>本公司将</w:t>
      </w:r>
      <w:r>
        <w:rPr>
          <w:rFonts w:hint="eastAsia" w:ascii="方正黑体_GBK" w:hAnsi="方正黑体_GBK" w:eastAsia="方正黑体_GBK" w:cs="方正黑体_GBK"/>
          <w:sz w:val="24"/>
          <w:lang w:val="en-US" w:eastAsia="zh-CN"/>
        </w:rPr>
        <w:t>自2026年7月2日（含）起</w:t>
      </w:r>
      <w:r>
        <w:rPr>
          <w:rFonts w:hint="eastAsia" w:ascii="方正黑体_GBK" w:hAnsi="方正黑体_GBK" w:eastAsia="方正黑体_GBK" w:cs="方正黑体_GBK"/>
          <w:sz w:val="24"/>
        </w:rPr>
        <w:t>对南银理财珠联璧合安稳</w:t>
      </w:r>
      <w:r>
        <w:rPr>
          <w:rFonts w:hint="eastAsia" w:ascii="方正黑体_GBK" w:hAnsi="方正黑体_GBK" w:eastAsia="方正黑体_GBK" w:cs="方正黑体_GBK"/>
          <w:sz w:val="24"/>
          <w:lang w:val="en-US" w:eastAsia="zh-CN"/>
        </w:rPr>
        <w:t>1904</w:t>
      </w:r>
      <w:r>
        <w:rPr>
          <w:rFonts w:hint="eastAsia" w:ascii="方正黑体_GBK" w:hAnsi="方正黑体_GBK" w:eastAsia="方正黑体_GBK" w:cs="方正黑体_GBK"/>
          <w:sz w:val="24"/>
        </w:rPr>
        <w:t>一年定开公募人民币理财产品（产品登记编码：Z7003221000017）的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p>
    <w:tbl>
      <w:tblPr>
        <w:tblStyle w:val="8"/>
        <w:tblW w:w="10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943"/>
        <w:gridCol w:w="3107"/>
        <w:gridCol w:w="5533"/>
      </w:tblGrid>
      <w:tr w14:paraId="4A3D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0F92D6E3">
            <w:pPr>
              <w:jc w:val="both"/>
              <w:rPr>
                <w:rFonts w:hint="eastAsia" w:ascii="方正黑体_GBK" w:hAnsi="方正黑体_GBK" w:eastAsia="方正黑体_GBK" w:cs="方正黑体_GBK"/>
                <w:b/>
                <w:bCs/>
                <w:sz w:val="18"/>
                <w:szCs w:val="18"/>
                <w:lang w:val="en-US" w:eastAsia="zh-CN"/>
              </w:rPr>
            </w:pPr>
            <w:r>
              <w:rPr>
                <w:rFonts w:hint="eastAsia" w:ascii="方正黑体_GBK" w:hAnsi="方正黑体_GBK" w:eastAsia="方正黑体_GBK" w:cs="方正黑体_GBK"/>
                <w:b/>
                <w:bCs/>
                <w:sz w:val="18"/>
                <w:szCs w:val="18"/>
                <w:lang w:val="en-US" w:eastAsia="zh-CN"/>
              </w:rPr>
              <w:t>内部销售代码</w:t>
            </w:r>
          </w:p>
        </w:tc>
        <w:tc>
          <w:tcPr>
            <w:tcW w:w="943" w:type="dxa"/>
            <w:vAlign w:val="center"/>
          </w:tcPr>
          <w:p w14:paraId="2DF3FC85">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3107" w:type="dxa"/>
            <w:vAlign w:val="center"/>
          </w:tcPr>
          <w:p w14:paraId="59DF9CCC">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5533" w:type="dxa"/>
            <w:vAlign w:val="center"/>
          </w:tcPr>
          <w:p w14:paraId="4A5BFE39">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r>
      <w:tr w14:paraId="51B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restart"/>
            <w:vAlign w:val="center"/>
          </w:tcPr>
          <w:p w14:paraId="3191A13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A份额：Z10025</w:t>
            </w:r>
          </w:p>
          <w:p w14:paraId="671004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F份额：ZF10025</w:t>
            </w:r>
          </w:p>
          <w:p w14:paraId="66EC3B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A2份额：Z11025</w:t>
            </w:r>
          </w:p>
          <w:p w14:paraId="3F78F1B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A3份额：Z12025</w:t>
            </w:r>
          </w:p>
          <w:p w14:paraId="0B0A099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A4份额：Z13025</w:t>
            </w:r>
          </w:p>
          <w:p w14:paraId="1DBBF54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F2份额：ZF11025</w:t>
            </w:r>
          </w:p>
          <w:p w14:paraId="7663CD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F3份额：ZF12025</w:t>
            </w:r>
          </w:p>
          <w:p w14:paraId="4B880F1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G2份额：NYAW001183</w:t>
            </w:r>
          </w:p>
          <w:p w14:paraId="347A175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G3份额：NYAW001197</w:t>
            </w:r>
          </w:p>
          <w:p w14:paraId="248DEC3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F4份额：ZF13025</w:t>
            </w:r>
          </w:p>
          <w:p w14:paraId="1EFE55D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I2份额：NYAW001167</w:t>
            </w:r>
          </w:p>
          <w:p w14:paraId="49AD6A2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J2份额：NYAW001184</w:t>
            </w:r>
          </w:p>
          <w:p w14:paraId="22F1644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L2份额：NYAW001185</w:t>
            </w:r>
          </w:p>
          <w:p w14:paraId="31B0675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J3份额：NYAW001199</w:t>
            </w:r>
          </w:p>
          <w:p w14:paraId="0180BD7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L3份额：NYAW001200</w:t>
            </w:r>
          </w:p>
          <w:p w14:paraId="6BDB44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I3份额：NYAW001198</w:t>
            </w:r>
          </w:p>
          <w:p w14:paraId="3D6A90F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I4份额：NYAW001168</w:t>
            </w:r>
          </w:p>
          <w:p w14:paraId="56D96AC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M2份额：NYAW001187</w:t>
            </w:r>
          </w:p>
          <w:p w14:paraId="59497EF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M3份额：NYAW001202</w:t>
            </w:r>
          </w:p>
          <w:p w14:paraId="5082053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O2份额：NYAW001186</w:t>
            </w:r>
          </w:p>
          <w:p w14:paraId="55A751C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O3份额：NYAW001201</w:t>
            </w:r>
          </w:p>
          <w:p w14:paraId="3A194A0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Q1份额：NYAW001174</w:t>
            </w:r>
          </w:p>
          <w:p w14:paraId="399698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R1份额：NYAW001175</w:t>
            </w:r>
          </w:p>
          <w:p w14:paraId="395EBAB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Q2份额：NYAW001188</w:t>
            </w:r>
          </w:p>
          <w:p w14:paraId="7BDAA6E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R2份额：NYAW001189</w:t>
            </w:r>
          </w:p>
          <w:p w14:paraId="7E81A9A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Q3份额：NYAW001203</w:t>
            </w:r>
          </w:p>
          <w:p w14:paraId="6615340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R3份额：NYAW001204</w:t>
            </w:r>
          </w:p>
          <w:p w14:paraId="41E55F3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G1份额：NYAW001165</w:t>
            </w:r>
          </w:p>
          <w:p w14:paraId="0270053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I1份额：NYAW001166</w:t>
            </w:r>
          </w:p>
          <w:p w14:paraId="6DA5F80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J1份额：NYAW001169</w:t>
            </w:r>
          </w:p>
          <w:p w14:paraId="69606EA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L1份额：NYAW001170</w:t>
            </w:r>
          </w:p>
          <w:p w14:paraId="4E9D973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M1份额：NYAW001172</w:t>
            </w:r>
          </w:p>
          <w:p w14:paraId="201D462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N1份额：NYAW001173</w:t>
            </w:r>
          </w:p>
          <w:p w14:paraId="18CC7C2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O1份额：NYAW001171</w:t>
            </w:r>
          </w:p>
          <w:p w14:paraId="27BE078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S1份额：NYAW001176</w:t>
            </w:r>
          </w:p>
          <w:p w14:paraId="2932398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S2份额：NYAW001190</w:t>
            </w:r>
          </w:p>
          <w:p w14:paraId="3FCE1A6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S3份额：NYAW001205</w:t>
            </w:r>
          </w:p>
          <w:p w14:paraId="31C46F8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T1份额：NYAW001177</w:t>
            </w:r>
          </w:p>
          <w:p w14:paraId="19F7616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T2份额：NYAW001191</w:t>
            </w:r>
          </w:p>
          <w:p w14:paraId="3DBEE8B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T3份额：NYAW001206</w:t>
            </w:r>
          </w:p>
          <w:p w14:paraId="564BB76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V1份额：NYAW001178</w:t>
            </w:r>
          </w:p>
          <w:p w14:paraId="25362A2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V2份额：NYAW001192</w:t>
            </w:r>
          </w:p>
          <w:p w14:paraId="6E13C8D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V3份额：NYAW001207</w:t>
            </w:r>
          </w:p>
          <w:p w14:paraId="376F4D4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B5份额：NYAW001161</w:t>
            </w:r>
          </w:p>
          <w:p w14:paraId="545769A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C5份额：NYAW001162</w:t>
            </w:r>
          </w:p>
          <w:p w14:paraId="60600D6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D5份额：NYAW001163</w:t>
            </w:r>
          </w:p>
          <w:p w14:paraId="0B73970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E5份额：NYAW001164</w:t>
            </w:r>
          </w:p>
          <w:p w14:paraId="4BD24E6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B6份额：NYAW001179</w:t>
            </w:r>
          </w:p>
          <w:p w14:paraId="6BF32F6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C6份额：NYAW001180</w:t>
            </w:r>
          </w:p>
          <w:p w14:paraId="6FD8468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D6份额：NYAW001181</w:t>
            </w:r>
          </w:p>
          <w:p w14:paraId="123599A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E6份额：NYAW001182</w:t>
            </w:r>
          </w:p>
          <w:p w14:paraId="7B32382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B7份额：NYAW001193</w:t>
            </w:r>
          </w:p>
          <w:p w14:paraId="270CD6F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C7份额：NYAW001194</w:t>
            </w:r>
          </w:p>
          <w:p w14:paraId="206A2E2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D7份额：NYAW001195</w:t>
            </w:r>
          </w:p>
          <w:p w14:paraId="47F5519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E7份额：NYAW001196</w:t>
            </w:r>
          </w:p>
          <w:p w14:paraId="15AD64C8">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6A02A092">
            <w:pPr>
              <w:spacing w:line="390" w:lineRule="exact"/>
              <w:jc w:val="both"/>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3107" w:type="dxa"/>
            <w:vAlign w:val="center"/>
          </w:tcPr>
          <w:p w14:paraId="506281E2">
            <w:pPr>
              <w:spacing w:line="200" w:lineRule="exact"/>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A份额</w:t>
            </w:r>
            <w:r>
              <w:rPr>
                <w:rFonts w:hint="eastAsia" w:ascii="方正黑体_GBK" w:hAnsi="方正黑体_GBK" w:eastAsia="方正黑体_GBK" w:cs="方正黑体_GBK"/>
                <w:sz w:val="18"/>
                <w:szCs w:val="18"/>
                <w:lang w:val="en-US" w:eastAsia="zh-CN"/>
              </w:rPr>
              <w:t>/</w:t>
            </w:r>
            <w:r>
              <w:rPr>
                <w:rFonts w:hint="eastAsia" w:ascii="方正黑体_GBK" w:hAnsi="方正黑体_GBK" w:eastAsia="方正黑体_GBK" w:cs="方正黑体_GBK"/>
                <w:sz w:val="18"/>
                <w:szCs w:val="18"/>
              </w:rPr>
              <w:t>A2份额</w:t>
            </w:r>
            <w:r>
              <w:rPr>
                <w:rFonts w:hint="eastAsia" w:ascii="方正黑体_GBK" w:hAnsi="方正黑体_GBK" w:eastAsia="方正黑体_GBK" w:cs="方正黑体_GBK"/>
                <w:sz w:val="18"/>
                <w:szCs w:val="18"/>
                <w:lang w:val="en-US" w:eastAsia="zh-CN"/>
              </w:rPr>
              <w:t>/</w:t>
            </w:r>
            <w:r>
              <w:rPr>
                <w:rFonts w:hint="eastAsia" w:ascii="方正黑体_GBK" w:hAnsi="方正黑体_GBK" w:eastAsia="方正黑体_GBK" w:cs="方正黑体_GBK"/>
                <w:sz w:val="18"/>
                <w:szCs w:val="18"/>
              </w:rPr>
              <w:t>A</w:t>
            </w:r>
            <w:r>
              <w:rPr>
                <w:rFonts w:hint="eastAsia" w:ascii="方正黑体_GBK" w:hAnsi="方正黑体_GBK" w:eastAsia="方正黑体_GBK" w:cs="方正黑体_GBK"/>
                <w:sz w:val="18"/>
                <w:szCs w:val="18"/>
                <w:lang w:val="en-US" w:eastAsia="zh-CN"/>
              </w:rPr>
              <w:t>3</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w:t>
            </w:r>
            <w:r>
              <w:rPr>
                <w:rFonts w:hint="eastAsia" w:ascii="方正黑体_GBK" w:hAnsi="方正黑体_GBK" w:eastAsia="方正黑体_GBK" w:cs="方正黑体_GBK"/>
                <w:sz w:val="18"/>
                <w:szCs w:val="18"/>
              </w:rPr>
              <w:t>A</w:t>
            </w:r>
            <w:r>
              <w:rPr>
                <w:rFonts w:hint="eastAsia" w:ascii="方正黑体_GBK" w:hAnsi="方正黑体_GBK" w:eastAsia="方正黑体_GBK" w:cs="方正黑体_GBK"/>
                <w:sz w:val="18"/>
                <w:szCs w:val="18"/>
                <w:lang w:val="en-US" w:eastAsia="zh-CN"/>
              </w:rPr>
              <w:t>4</w:t>
            </w:r>
            <w:r>
              <w:rPr>
                <w:rFonts w:hint="eastAsia" w:ascii="方正黑体_GBK" w:hAnsi="方正黑体_GBK" w:eastAsia="方正黑体_GBK" w:cs="方正黑体_GBK"/>
                <w:sz w:val="18"/>
                <w:szCs w:val="18"/>
              </w:rPr>
              <w:t>份额：业绩比较基准为年化2.7%-3.</w:t>
            </w:r>
            <w:r>
              <w:rPr>
                <w:rFonts w:hint="eastAsia" w:ascii="方正黑体_GBK" w:hAnsi="方正黑体_GBK" w:eastAsia="方正黑体_GBK" w:cs="方正黑体_GBK"/>
                <w:sz w:val="18"/>
                <w:szCs w:val="18"/>
                <w:lang w:val="en-US" w:eastAsia="zh-CN"/>
              </w:rPr>
              <w:t>1</w:t>
            </w:r>
            <w:r>
              <w:rPr>
                <w:rFonts w:hint="eastAsia" w:ascii="方正黑体_GBK" w:hAnsi="方正黑体_GBK" w:eastAsia="方正黑体_GBK" w:cs="方正黑体_GBK"/>
                <w:sz w:val="18"/>
                <w:szCs w:val="18"/>
              </w:rPr>
              <w:t>% 。</w:t>
            </w:r>
          </w:p>
          <w:p w14:paraId="21E50A7A">
            <w:pPr>
              <w:spacing w:line="200" w:lineRule="exact"/>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lang w:val="en-US" w:eastAsia="zh-CN"/>
              </w:rPr>
              <w:t>B</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/B</w:t>
            </w:r>
            <w:r>
              <w:rPr>
                <w:rFonts w:hint="eastAsia" w:ascii="方正黑体_GBK" w:hAnsi="方正黑体_GBK" w:eastAsia="方正黑体_GBK" w:cs="方正黑体_GBK"/>
                <w:sz w:val="18"/>
                <w:szCs w:val="18"/>
              </w:rPr>
              <w:t>2份额</w:t>
            </w:r>
            <w:r>
              <w:rPr>
                <w:rFonts w:hint="eastAsia" w:ascii="方正黑体_GBK" w:hAnsi="方正黑体_GBK" w:eastAsia="方正黑体_GBK" w:cs="方正黑体_GBK"/>
                <w:sz w:val="18"/>
                <w:szCs w:val="18"/>
                <w:lang w:val="en-US" w:eastAsia="zh-CN"/>
              </w:rPr>
              <w:t>/B3</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/B4</w:t>
            </w:r>
            <w:r>
              <w:rPr>
                <w:rFonts w:hint="eastAsia" w:ascii="方正黑体_GBK" w:hAnsi="方正黑体_GBK" w:eastAsia="方正黑体_GBK" w:cs="方正黑体_GBK"/>
                <w:sz w:val="18"/>
                <w:szCs w:val="18"/>
              </w:rPr>
              <w:t>份额：业绩比较基准为年化2.7%-3.</w:t>
            </w:r>
            <w:r>
              <w:rPr>
                <w:rFonts w:hint="eastAsia" w:ascii="方正黑体_GBK" w:hAnsi="方正黑体_GBK" w:eastAsia="方正黑体_GBK" w:cs="方正黑体_GBK"/>
                <w:sz w:val="18"/>
                <w:szCs w:val="18"/>
                <w:lang w:val="en-US" w:eastAsia="zh-CN"/>
              </w:rPr>
              <w:t>1</w:t>
            </w:r>
            <w:r>
              <w:rPr>
                <w:rFonts w:hint="eastAsia" w:ascii="方正黑体_GBK" w:hAnsi="方正黑体_GBK" w:eastAsia="方正黑体_GBK" w:cs="方正黑体_GBK"/>
                <w:sz w:val="18"/>
                <w:szCs w:val="18"/>
              </w:rPr>
              <w:t>% 。</w:t>
            </w:r>
          </w:p>
          <w:p w14:paraId="27E86FA5">
            <w:pPr>
              <w:spacing w:line="200" w:lineRule="exact"/>
              <w:jc w:val="left"/>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C</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/C</w:t>
            </w:r>
            <w:r>
              <w:rPr>
                <w:rFonts w:hint="eastAsia" w:ascii="方正黑体_GBK" w:hAnsi="方正黑体_GBK" w:eastAsia="方正黑体_GBK" w:cs="方正黑体_GBK"/>
                <w:sz w:val="18"/>
                <w:szCs w:val="18"/>
              </w:rPr>
              <w:t>2份额</w:t>
            </w:r>
            <w:r>
              <w:rPr>
                <w:rFonts w:hint="eastAsia" w:ascii="方正黑体_GBK" w:hAnsi="方正黑体_GBK" w:eastAsia="方正黑体_GBK" w:cs="方正黑体_GBK"/>
                <w:sz w:val="18"/>
                <w:szCs w:val="18"/>
                <w:lang w:val="en-US" w:eastAsia="zh-CN"/>
              </w:rPr>
              <w:t>/C3</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/C4</w:t>
            </w:r>
            <w:r>
              <w:rPr>
                <w:rFonts w:hint="eastAsia" w:ascii="方正黑体_GBK" w:hAnsi="方正黑体_GBK" w:eastAsia="方正黑体_GBK" w:cs="方正黑体_GBK"/>
                <w:sz w:val="18"/>
                <w:szCs w:val="18"/>
              </w:rPr>
              <w:t>份额：业绩比较基准为年化2.8%-3.</w:t>
            </w:r>
            <w:r>
              <w:rPr>
                <w:rFonts w:hint="eastAsia" w:ascii="方正黑体_GBK" w:hAnsi="方正黑体_GBK" w:eastAsia="方正黑体_GBK" w:cs="方正黑体_GBK"/>
                <w:sz w:val="18"/>
                <w:szCs w:val="18"/>
                <w:lang w:val="en-US" w:eastAsia="zh-CN"/>
              </w:rPr>
              <w:t>2</w:t>
            </w:r>
            <w:r>
              <w:rPr>
                <w:rFonts w:hint="eastAsia" w:ascii="方正黑体_GBK" w:hAnsi="方正黑体_GBK" w:eastAsia="方正黑体_GBK" w:cs="方正黑体_GBK"/>
                <w:sz w:val="18"/>
                <w:szCs w:val="18"/>
              </w:rPr>
              <w:t>% 。</w:t>
            </w:r>
          </w:p>
          <w:p w14:paraId="0EFFDB80">
            <w:pPr>
              <w:spacing w:line="200" w:lineRule="exact"/>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lang w:val="en-US" w:eastAsia="zh-CN"/>
              </w:rPr>
              <w:t>D</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/D</w:t>
            </w:r>
            <w:r>
              <w:rPr>
                <w:rFonts w:hint="eastAsia" w:ascii="方正黑体_GBK" w:hAnsi="方正黑体_GBK" w:eastAsia="方正黑体_GBK" w:cs="方正黑体_GBK"/>
                <w:sz w:val="18"/>
                <w:szCs w:val="18"/>
              </w:rPr>
              <w:t>2份额</w:t>
            </w:r>
            <w:r>
              <w:rPr>
                <w:rFonts w:hint="eastAsia" w:ascii="方正黑体_GBK" w:hAnsi="方正黑体_GBK" w:eastAsia="方正黑体_GBK" w:cs="方正黑体_GBK"/>
                <w:sz w:val="18"/>
                <w:szCs w:val="18"/>
                <w:lang w:val="en-US" w:eastAsia="zh-CN"/>
              </w:rPr>
              <w:t>/D3</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/D4</w:t>
            </w:r>
            <w:r>
              <w:rPr>
                <w:rFonts w:hint="eastAsia" w:ascii="方正黑体_GBK" w:hAnsi="方正黑体_GBK" w:eastAsia="方正黑体_GBK" w:cs="方正黑体_GBK"/>
                <w:sz w:val="18"/>
                <w:szCs w:val="18"/>
              </w:rPr>
              <w:t>份额：业绩比较基准为年化2.85%-3.</w:t>
            </w:r>
            <w:r>
              <w:rPr>
                <w:rFonts w:hint="eastAsia" w:ascii="方正黑体_GBK" w:hAnsi="方正黑体_GBK" w:eastAsia="方正黑体_GBK" w:cs="方正黑体_GBK"/>
                <w:sz w:val="18"/>
                <w:szCs w:val="18"/>
                <w:lang w:val="en-US" w:eastAsia="zh-CN"/>
              </w:rPr>
              <w:t>2</w:t>
            </w:r>
            <w:r>
              <w:rPr>
                <w:rFonts w:hint="eastAsia" w:ascii="方正黑体_GBK" w:hAnsi="方正黑体_GBK" w:eastAsia="方正黑体_GBK" w:cs="方正黑体_GBK"/>
                <w:sz w:val="18"/>
                <w:szCs w:val="18"/>
              </w:rPr>
              <w:t>5% 。</w:t>
            </w:r>
          </w:p>
          <w:p w14:paraId="70585C45">
            <w:pPr>
              <w:widowControl/>
              <w:spacing w:line="200" w:lineRule="exact"/>
              <w:ind w:firstLine="0"/>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lang w:val="en-US" w:eastAsia="zh-CN"/>
              </w:rPr>
              <w:t>E</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/E</w:t>
            </w:r>
            <w:r>
              <w:rPr>
                <w:rFonts w:hint="eastAsia" w:ascii="方正黑体_GBK" w:hAnsi="方正黑体_GBK" w:eastAsia="方正黑体_GBK" w:cs="方正黑体_GBK"/>
                <w:sz w:val="18"/>
                <w:szCs w:val="18"/>
              </w:rPr>
              <w:t>2份额</w:t>
            </w:r>
            <w:r>
              <w:rPr>
                <w:rFonts w:hint="eastAsia" w:ascii="方正黑体_GBK" w:hAnsi="方正黑体_GBK" w:eastAsia="方正黑体_GBK" w:cs="方正黑体_GBK"/>
                <w:sz w:val="18"/>
                <w:szCs w:val="18"/>
                <w:lang w:val="en-US" w:eastAsia="zh-CN"/>
              </w:rPr>
              <w:t>/E3</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/E4</w:t>
            </w:r>
            <w:r>
              <w:rPr>
                <w:rFonts w:hint="eastAsia" w:ascii="方正黑体_GBK" w:hAnsi="方正黑体_GBK" w:eastAsia="方正黑体_GBK" w:cs="方正黑体_GBK"/>
                <w:sz w:val="18"/>
                <w:szCs w:val="18"/>
              </w:rPr>
              <w:t>份额：业绩比较基准为年化2.95%-3.</w:t>
            </w:r>
            <w:r>
              <w:rPr>
                <w:rFonts w:hint="eastAsia" w:ascii="方正黑体_GBK" w:hAnsi="方正黑体_GBK" w:eastAsia="方正黑体_GBK" w:cs="方正黑体_GBK"/>
                <w:sz w:val="18"/>
                <w:szCs w:val="18"/>
                <w:lang w:val="en-US" w:eastAsia="zh-CN"/>
              </w:rPr>
              <w:t>3</w:t>
            </w:r>
            <w:r>
              <w:rPr>
                <w:rFonts w:hint="eastAsia" w:ascii="方正黑体_GBK" w:hAnsi="方正黑体_GBK" w:eastAsia="方正黑体_GBK" w:cs="方正黑体_GBK"/>
                <w:sz w:val="18"/>
                <w:szCs w:val="18"/>
              </w:rPr>
              <w:t>5% 。</w:t>
            </w:r>
          </w:p>
          <w:p w14:paraId="720E2C6A">
            <w:pPr>
              <w:widowControl/>
              <w:spacing w:line="200" w:lineRule="exact"/>
              <w:ind w:firstLine="0"/>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lang w:val="en-US" w:eastAsia="zh-CN"/>
              </w:rPr>
              <w:t>F</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/F</w:t>
            </w:r>
            <w:r>
              <w:rPr>
                <w:rFonts w:hint="eastAsia" w:ascii="方正黑体_GBK" w:hAnsi="方正黑体_GBK" w:eastAsia="方正黑体_GBK" w:cs="方正黑体_GBK"/>
                <w:sz w:val="18"/>
                <w:szCs w:val="18"/>
              </w:rPr>
              <w:t>2份额</w:t>
            </w:r>
            <w:r>
              <w:rPr>
                <w:rFonts w:hint="eastAsia" w:ascii="方正黑体_GBK" w:hAnsi="方正黑体_GBK" w:eastAsia="方正黑体_GBK" w:cs="方正黑体_GBK"/>
                <w:sz w:val="18"/>
                <w:szCs w:val="18"/>
                <w:lang w:val="en-US" w:eastAsia="zh-CN"/>
              </w:rPr>
              <w:t>/F3</w:t>
            </w:r>
            <w:r>
              <w:rPr>
                <w:rFonts w:hint="eastAsia" w:ascii="方正黑体_GBK" w:hAnsi="方正黑体_GBK" w:eastAsia="方正黑体_GBK" w:cs="方正黑体_GBK"/>
                <w:sz w:val="18"/>
                <w:szCs w:val="18"/>
              </w:rPr>
              <w:t>份额</w:t>
            </w:r>
            <w:r>
              <w:rPr>
                <w:rFonts w:hint="eastAsia" w:ascii="方正黑体_GBK" w:hAnsi="方正黑体_GBK" w:eastAsia="方正黑体_GBK" w:cs="方正黑体_GBK"/>
                <w:sz w:val="18"/>
                <w:szCs w:val="18"/>
                <w:lang w:val="en-US" w:eastAsia="zh-CN"/>
              </w:rPr>
              <w:t>/F4</w:t>
            </w:r>
            <w:r>
              <w:rPr>
                <w:rFonts w:hint="eastAsia" w:ascii="方正黑体_GBK" w:hAnsi="方正黑体_GBK" w:eastAsia="方正黑体_GBK" w:cs="方正黑体_GBK"/>
                <w:sz w:val="18"/>
                <w:szCs w:val="18"/>
              </w:rPr>
              <w:t>份额：业绩比较基准为年化2.</w:t>
            </w:r>
            <w:r>
              <w:rPr>
                <w:rFonts w:hint="eastAsia" w:ascii="方正黑体_GBK" w:hAnsi="方正黑体_GBK" w:eastAsia="方正黑体_GBK" w:cs="方正黑体_GBK"/>
                <w:sz w:val="18"/>
                <w:szCs w:val="18"/>
                <w:lang w:val="en-US" w:eastAsia="zh-CN"/>
              </w:rPr>
              <w:t>8</w:t>
            </w:r>
            <w:r>
              <w:rPr>
                <w:rFonts w:hint="eastAsia" w:ascii="方正黑体_GBK" w:hAnsi="方正黑体_GBK" w:eastAsia="方正黑体_GBK" w:cs="方正黑体_GBK"/>
                <w:sz w:val="18"/>
                <w:szCs w:val="18"/>
              </w:rPr>
              <w:t>%-3.</w:t>
            </w:r>
            <w:r>
              <w:rPr>
                <w:rFonts w:hint="eastAsia" w:ascii="方正黑体_GBK" w:hAnsi="方正黑体_GBK" w:eastAsia="方正黑体_GBK" w:cs="方正黑体_GBK"/>
                <w:sz w:val="18"/>
                <w:szCs w:val="18"/>
                <w:lang w:val="en-US" w:eastAsia="zh-CN"/>
              </w:rPr>
              <w:t>2</w:t>
            </w:r>
            <w:r>
              <w:rPr>
                <w:rFonts w:hint="eastAsia" w:ascii="方正黑体_GBK" w:hAnsi="方正黑体_GBK" w:eastAsia="方正黑体_GBK" w:cs="方正黑体_GBK"/>
                <w:sz w:val="18"/>
                <w:szCs w:val="18"/>
              </w:rPr>
              <w:t>% 。</w:t>
            </w:r>
          </w:p>
          <w:p w14:paraId="1B2D2268">
            <w:pPr>
              <w:spacing w:line="200" w:lineRule="exact"/>
              <w:jc w:val="left"/>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lang w:val="en-US" w:eastAsia="zh-CN"/>
              </w:rPr>
              <w:t>H2份额：</w:t>
            </w:r>
            <w:r>
              <w:rPr>
                <w:rFonts w:hint="eastAsia" w:ascii="方正黑体_GBK" w:hAnsi="方正黑体_GBK" w:eastAsia="方正黑体_GBK" w:cs="方正黑体_GBK"/>
                <w:sz w:val="18"/>
                <w:szCs w:val="18"/>
              </w:rPr>
              <w:t>绩比较基准为年化</w:t>
            </w:r>
            <w:r>
              <w:rPr>
                <w:rFonts w:hint="eastAsia" w:ascii="方正黑体_GBK" w:hAnsi="方正黑体_GBK" w:eastAsia="方正黑体_GBK" w:cs="方正黑体_GBK"/>
                <w:sz w:val="18"/>
                <w:szCs w:val="18"/>
                <w:lang w:val="en-US" w:eastAsia="zh-CN"/>
              </w:rPr>
              <w:t>3.0</w:t>
            </w:r>
            <w:r>
              <w:rPr>
                <w:rFonts w:hint="eastAsia" w:ascii="方正黑体_GBK" w:hAnsi="方正黑体_GBK" w:eastAsia="方正黑体_GBK" w:cs="方正黑体_GBK"/>
                <w:sz w:val="18"/>
                <w:szCs w:val="18"/>
              </w:rPr>
              <w:t>%-3.4% 。</w:t>
            </w:r>
          </w:p>
          <w:p w14:paraId="4B6B7A22">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10162143">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6EA69A1A">
            <w:pPr>
              <w:widowControl/>
              <w:spacing w:line="200" w:lineRule="exact"/>
              <w:ind w:firstLine="0" w:firstLineChars="0"/>
              <w:jc w:val="both"/>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c>
          <w:tcPr>
            <w:tcW w:w="5533" w:type="dxa"/>
            <w:vAlign w:val="center"/>
          </w:tcPr>
          <w:p w14:paraId="372B73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A份额：业绩比较基准为年化2.45%-2.7% 。</w:t>
            </w:r>
          </w:p>
          <w:p w14:paraId="230296F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F份额：业绩比较基准为年化2.55%-2.8% 。</w:t>
            </w:r>
          </w:p>
          <w:p w14:paraId="35E4D87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A2份额：业绩比较基准为年化2.45%-2.7% 。</w:t>
            </w:r>
          </w:p>
          <w:p w14:paraId="1107DFE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A3份额：业绩比较基准为年化2.45%-2.7% 。</w:t>
            </w:r>
          </w:p>
          <w:p w14:paraId="46AB6CF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A4份额：业绩比较基准为年化2.45%-2.7% 。</w:t>
            </w:r>
          </w:p>
          <w:p w14:paraId="06415AB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F2份额：业绩比较基准为年化2.55%-2.8% 。</w:t>
            </w:r>
          </w:p>
          <w:p w14:paraId="03F2A78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F3份额：业绩比较基准为年化2.55%-2.8% 。</w:t>
            </w:r>
          </w:p>
          <w:p w14:paraId="6B091B1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G2份额：业绩比较基准为年化2.6%-2.85% 。</w:t>
            </w:r>
          </w:p>
          <w:p w14:paraId="625294A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G3份额：业绩比较基准为年化2.6%-2.85% 。</w:t>
            </w:r>
          </w:p>
          <w:p w14:paraId="2EB45F3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F4份额：业绩比较基准为年化2.55%-2.8% 。</w:t>
            </w:r>
          </w:p>
          <w:p w14:paraId="4C46AF0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I2份额：业绩比较基准为年化2.55%-2.8% 。</w:t>
            </w:r>
          </w:p>
          <w:p w14:paraId="3BDE908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J2份额：业绩比较基准为年化2.6%-2.85% 。</w:t>
            </w:r>
          </w:p>
          <w:p w14:paraId="16D5275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L2份额：业绩比较基准为年化2.7%-2.95% 。</w:t>
            </w:r>
          </w:p>
          <w:p w14:paraId="3D4C73F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J3份额：业绩比较基准为年化2.6%-2.85% 。</w:t>
            </w:r>
          </w:p>
          <w:p w14:paraId="7B513F1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L3份额：业绩比较基准为年化2.7%-2.95% 。</w:t>
            </w:r>
          </w:p>
          <w:p w14:paraId="438C296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I3份额：业绩比较基准为年化2.55%-2.8% 。</w:t>
            </w:r>
          </w:p>
          <w:p w14:paraId="7D33E75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I4份额：业绩比较基准为年化2.55%-2.8% 。</w:t>
            </w:r>
          </w:p>
          <w:p w14:paraId="01A5B9E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M2份额：业绩比较基准为年化2.45%-2.7% 。</w:t>
            </w:r>
          </w:p>
          <w:p w14:paraId="629726D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M3份额：业绩比较基准为年化2.45%-2.7% 。</w:t>
            </w:r>
          </w:p>
          <w:p w14:paraId="2E8AE10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O2份额：业绩比较基准为年化2.55%-2.8% 。</w:t>
            </w:r>
          </w:p>
          <w:p w14:paraId="7544AE1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O3份额：业绩比较基准为年化2.55%-2.8% 。</w:t>
            </w:r>
          </w:p>
          <w:p w14:paraId="109B6F0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Q1份额：业绩比较基准为年化2.45%-2.7% 。</w:t>
            </w:r>
          </w:p>
          <w:p w14:paraId="408695D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R1份额：业绩比较基准为年化2.65%-2.9% 。</w:t>
            </w:r>
          </w:p>
          <w:p w14:paraId="5D18774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Q2份额：业绩比较基准为年化2.45%-2.7% 。</w:t>
            </w:r>
          </w:p>
          <w:p w14:paraId="4F8FEFF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R2份额：业绩比较基准为年化2.65%-2.9% 。</w:t>
            </w:r>
          </w:p>
          <w:p w14:paraId="51945D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Q3份额：业绩比较基准为年化2.45%-2.7% 。</w:t>
            </w:r>
          </w:p>
          <w:p w14:paraId="33DDB6D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R3份额：业绩比较基准为年化2.65%-2.9% 。</w:t>
            </w:r>
          </w:p>
          <w:p w14:paraId="31B236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G1份额：业绩比较基准为年化2.6%-2.85% 。</w:t>
            </w:r>
          </w:p>
          <w:p w14:paraId="2980A7F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I1份额：业绩比较基准为年化2.55%-2.8% 。</w:t>
            </w:r>
          </w:p>
          <w:p w14:paraId="2BD92ED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J1份额：业绩比较基准为年化2.6%-2.85% 。</w:t>
            </w:r>
          </w:p>
          <w:p w14:paraId="201C886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L1份额：业绩比较基准为年化2.7%-2.95% 。</w:t>
            </w:r>
          </w:p>
          <w:p w14:paraId="3A788D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M1份额：业绩比较基准为年化2.45%-2.7% 。</w:t>
            </w:r>
          </w:p>
          <w:p w14:paraId="111B23F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N1份额：业绩比较基准为年化2.7%-2.95% 。</w:t>
            </w:r>
          </w:p>
          <w:p w14:paraId="5073CAD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O1份额：业绩比较基准为年化2.55%-2.8% 。</w:t>
            </w:r>
          </w:p>
          <w:p w14:paraId="6FA97E1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S1份额：业绩比较基准为年化2.6%-2.85% 。</w:t>
            </w:r>
          </w:p>
          <w:p w14:paraId="0B160FC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S2份额：业绩比较基准为年化2.6%-2.85% 。</w:t>
            </w:r>
          </w:p>
          <w:p w14:paraId="5344AE5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S3份额：业绩比较基准为年化2.6%-2.85% 。</w:t>
            </w:r>
          </w:p>
          <w:p w14:paraId="58BF339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T1份额：业绩比较基准为年化2.6%-2.85% 。</w:t>
            </w:r>
          </w:p>
          <w:p w14:paraId="3864E0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T2份额：业绩比较基准为年化2.6%-2.85% 。</w:t>
            </w:r>
          </w:p>
          <w:p w14:paraId="6BEB843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T3份额：业绩比较基准为年化2.6%-2.85% 。</w:t>
            </w:r>
          </w:p>
          <w:p w14:paraId="7BD1E83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V1份额：业绩比较基准为年化2.7%-2.95% 。</w:t>
            </w:r>
          </w:p>
          <w:p w14:paraId="2AADB7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V2份额：业绩比较基准为年化2.7%-2.95% 。</w:t>
            </w:r>
          </w:p>
          <w:p w14:paraId="53566FD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V3份额：业绩比较基准为年化2.7%-2.95% 。</w:t>
            </w:r>
          </w:p>
          <w:p w14:paraId="6B84738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B5份额：业绩比较基准为年化2.45%-2.7% 。</w:t>
            </w:r>
          </w:p>
          <w:p w14:paraId="58DFD77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C5份额：业绩比较基准为年化2.5%-2.75% 。</w:t>
            </w:r>
          </w:p>
          <w:p w14:paraId="1F2B4B3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D5份额：业绩比较基准为年化2.55%-2.8% 。</w:t>
            </w:r>
          </w:p>
          <w:p w14:paraId="307FD46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E5份额：业绩比较基准为年化2.65%-2.9% 。</w:t>
            </w:r>
          </w:p>
          <w:p w14:paraId="1A5FD8F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B6份额：业绩比较基准为年化2.45%-2.7% 。</w:t>
            </w:r>
          </w:p>
          <w:p w14:paraId="17840AF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C6份额：业绩比较基准为年化2.5%-2.75% 。</w:t>
            </w:r>
          </w:p>
          <w:p w14:paraId="4BF72E6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D6份额：业绩比较基准为年化2.55%-2.8% 。</w:t>
            </w:r>
          </w:p>
          <w:p w14:paraId="54B4A76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E6份额：业绩比较基准为年化2.65%-2.9% 。</w:t>
            </w:r>
          </w:p>
          <w:p w14:paraId="049983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B7份额：业绩比较基准为年化2.45%-2.7% 。</w:t>
            </w:r>
            <w:bookmarkStart w:id="0" w:name="_GoBack"/>
            <w:bookmarkEnd w:id="0"/>
          </w:p>
          <w:p w14:paraId="3A79CF2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C7份额：业绩比较基准为年化2.5%-2.75% 。</w:t>
            </w:r>
          </w:p>
          <w:p w14:paraId="3CFA611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D7份额：业绩比较基准为年化2.55%-2.8% 。</w:t>
            </w:r>
          </w:p>
          <w:p w14:paraId="15C41ED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E7份额：业绩比较基准为年化2.65%-2.9% 。</w:t>
            </w:r>
          </w:p>
          <w:p w14:paraId="48680485">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5F20D7E5">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43E3472D">
            <w:pPr>
              <w:spacing w:line="200" w:lineRule="exact"/>
              <w:jc w:val="both"/>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r>
      <w:tr w14:paraId="3E5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8FDC746">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1AC0BD08">
            <w:pPr>
              <w:spacing w:line="390" w:lineRule="exact"/>
              <w:jc w:val="both"/>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申购/赎回规则</w:t>
            </w:r>
          </w:p>
        </w:tc>
        <w:tc>
          <w:tcPr>
            <w:tcW w:w="3107" w:type="dxa"/>
            <w:vAlign w:val="center"/>
          </w:tcPr>
          <w:p w14:paraId="61E84347">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A份额/F份额：本次开放期为2025年5月13日9：00至2025年5月19日17：00,下一个开放期为2026年6月25日9：00至2026年7月1日17：00，投资者可以提交或撤销申购/赎回申请。</w:t>
            </w:r>
          </w:p>
          <w:p w14:paraId="14994851">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份额/C份额/D份额/E份额：本次开放期为2025年5月13日9：00至2025年5月19日17：00，投资者可以提交或撤销认/申购申请；确认成功的份额均将于下一个开放期（2026年6月25日9：00至2026年7月1日17：00）由系统自动发起赎回申请。</w:t>
            </w:r>
          </w:p>
          <w:p w14:paraId="51C0DA0B">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2份额/F2份额：本次开放期为2025年5月20日9：00至2025年5月28日17：00，投资者可以提交或撤销认/申购申请。下一个赎回开放期为2026年6月25日9：00至2026年7月1日17：00，投资者可以提交或撤销赎回申请，下一个申购开放期为2026年7月2日9：00至2026年7月8日17：00，投资者可以提交或撤销申购申请。</w:t>
            </w:r>
          </w:p>
          <w:p w14:paraId="5CB8BE49">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2份额/C2份额/D2份额/E2份额/H2份额：本次开放期为2025年5月20日9：00至2025年5月28日17：00，投资者可以提交或撤销认/申购申请；确认成功的份额均将于下一个开放期（2026年6月25日9：00至2026年7月1日17：00）由系统自动发起赎回申请。</w:t>
            </w:r>
          </w:p>
          <w:p w14:paraId="610E2E7B">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3份额/F3份额：本次开放期为2025年5月29日9：00至2025年6月4日17：00，投资者可以提交或撤销认/申购申请。下一个赎回开放期为2026年6月25日9：00至2026年7月1日17：00，投资者可以提交或撤销赎回申请，下一个申购开放期为2026年7月9日9：00至2026年7月15日17：00，投资者可以提交或撤销申购申请。</w:t>
            </w:r>
          </w:p>
          <w:p w14:paraId="4BB5E490">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3份额/C3份额/D3份额/E3份额：本次开放期为2025年5月29日9：00至2025年6月4日17：00，投资者可以提交或撤销认/申购申请；确认成功的份额均将于下一个开放期（2026年6月25日9：00至2026年7月1日17：00）由系统自动发起赎回申请。</w:t>
            </w:r>
          </w:p>
          <w:p w14:paraId="61577B1B">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A4份额/F4份额：本次开放期为2025年6月5日9：00至2025年6月11日17：00，投资者可以提交或撤销认/申购申请。下一个赎回开放期为2026年6月25日9：00至2026年7月1日17：00，投资者可以提交或撤销赎回申请，下一个申购开放期为2026年7月16日9：00至2026年7月22日17：00，投资者可以提交或撤销申购申请。</w:t>
            </w:r>
          </w:p>
          <w:p w14:paraId="44794564">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B4份额/C4份额/D4份额/E4份额：本次开放期为2025年6月5日9：00至2025年6月11日17：00，投资者可以提交或撤销认/申购申请；确认成功的份额均将于下一个开放期（2026年6月25日9：00至2026年7月1日17：00）由系统自动发起赎回申请。</w:t>
            </w:r>
          </w:p>
          <w:p w14:paraId="11A0ABB5">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产品开放期如有调整以管理人公告为准。</w:t>
            </w:r>
          </w:p>
          <w:p w14:paraId="39FF3B90">
            <w:pPr>
              <w:spacing w:line="200" w:lineRule="exact"/>
              <w:ind w:firstLine="0"/>
              <w:rPr>
                <w:rFonts w:hint="eastAsia" w:ascii="方正黑体_GBK" w:hAnsi="方正黑体_GBK" w:eastAsia="方正黑体_GBK" w:cs="方正黑体_GBK"/>
                <w:sz w:val="18"/>
                <w:szCs w:val="18"/>
              </w:rPr>
            </w:pPr>
            <w:r>
              <w:rPr>
                <w:rFonts w:hint="eastAsia" w:ascii="方正黑体_GBK" w:hAnsi="方正黑体_GBK" w:eastAsia="方正黑体_GBK" w:cs="方正黑体_GBK"/>
                <w:sz w:val="18"/>
                <w:szCs w:val="18"/>
              </w:rPr>
              <w:t>在销售机构支持的前提下，认购/申购/赎回开放期末日17:00前可以撤销申购/赎回申请。</w:t>
            </w:r>
          </w:p>
          <w:p w14:paraId="6B7DA7E2">
            <w:pPr>
              <w:spacing w:line="200" w:lineRule="exact"/>
              <w:jc w:val="both"/>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c>
          <w:tcPr>
            <w:tcW w:w="5533" w:type="dxa"/>
            <w:shd w:val="clear" w:color="auto" w:fill="auto"/>
            <w:vAlign w:val="center"/>
          </w:tcPr>
          <w:p w14:paraId="4F5E90EB">
            <w:pPr>
              <w:spacing w:line="200" w:lineRule="exact"/>
              <w:jc w:val="both"/>
              <w:rPr>
                <w:rFonts w:hint="eastAsia" w:ascii="方正黑体_GBK" w:hAnsi="方正黑体_GBK" w:eastAsia="方正黑体_GBK" w:cs="方正黑体_GBK"/>
                <w:kern w:val="2"/>
                <w:sz w:val="21"/>
                <w:szCs w:val="24"/>
                <w:lang w:val="en-US" w:eastAsia="zh-CN" w:bidi="ar-SA"/>
              </w:rPr>
            </w:pPr>
            <w:r>
              <w:rPr>
                <w:rFonts w:hint="eastAsia" w:ascii="方正黑体_GBK" w:hAnsi="方正黑体_GBK" w:eastAsia="方正黑体_GBK" w:cs="方正黑体_GBK"/>
                <w:sz w:val="18"/>
                <w:szCs w:val="18"/>
              </w:rPr>
              <w:t>A份额/F份额/Q1份额/R1份额：本次开放期为2026年6月25日9：00至2026年7月1日17：00,下一个开放期为2027年7月29日9：00至2027年8月4日17：00，投资者可以提交或撤销认购/申购/赎回申请。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A2份额/F2份额/A3份额/F3份额/A4份额/F4份额:开放期2026年6月25日9：00至2026年7月1日17：00，投资者可以提交或撤销赎回申请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B1份额/C1份额/D1份额/E1份额/G1份额/I1份额/I2份额/I4份额/J1份额/L1份额/M1份额/N1份额/O1份额/S1份额/T1份额/V1份额：本次开放期为2026年6月25日9：00至2026年7月1日17：00，投资者可以提交或撤销认购/申购申请；确认成功的份额均将于下一个开放期（2027年7月29日9：00至2027年8月4日17：00）由系统自动发起赎回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A2份额/F2份额/Q2份额/R2份额：本次开放期为2026年7月2日9：00至2026年7月8日17：00,下一个开放期为2027年8月5日9：00至2027年8月11日17：00，投资者可以提交或撤销认购/申购/赎回申请。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B4份额/C4份额/D4份额/E4份额/G2份额/L2份额/M2份额/O2份额/S2份额/T2份额/V2份额：本次开放期为2026年7月2日9：00至2026年7月8日17：00，投资者可以提交或撤销认购/申购申请；确认成功的份额均将于下一个开放期（2027年8月5日9：00至2027年8月11日17：00）由系统自动发起赎回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A3份额/F3份额/Q3份额/R3份额：本次开放期为2026年7月9日9：00至2026年7月15日17：00,下一个开放期为2027年8月12日9：00至2027年8月18日17：00，投资者可以提交或撤销认购/申购/赎回申请。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B5份额/C5份额/D5份额/E5份额/G3份额/I3份额/J3份额/L3份额/M3份额/O3份额/S3份额/T3份额/V3份额：本次开放期为2026年7月9日9：00至2026年7月15日17：00，投资者可以提交或撤销认购/申购申请；确认成功的份额均将于下一个开放期（2027年8月12日9：00至2027年8月18日17：00）由系统自动发起赎回申请。产品开放期如有调整以管理人公告为准。</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A4份额/F4份额：本次开放期为2026年7月16日9：00至2026年7月22日17：00,下一个开放期为2027年8月19日9：00至2027年8月25日17：00，投资者可以提交或撤销认购/申购/赎回申请。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在销售机构支持的前提下，认购/申购/赎回开放期末日17:00前可以撤销申请。</w:t>
            </w:r>
            <w:r>
              <w:rPr>
                <w:rFonts w:hint="eastAsia" w:ascii="方正黑体_GBK" w:hAnsi="方正黑体_GBK" w:eastAsia="方正黑体_GBK" w:cs="方正黑体_GBK"/>
              </w:rPr>
              <w:br w:type="textWrapping"/>
            </w:r>
            <w:r>
              <w:rPr>
                <w:rFonts w:hint="eastAsia" w:ascii="方正黑体_GBK" w:hAnsi="方正黑体_GBK" w:eastAsia="方正黑体_GBK" w:cs="方正黑体_GBK"/>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14:paraId="0C74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7B675092">
            <w:pPr>
              <w:spacing w:line="390" w:lineRule="exact"/>
              <w:jc w:val="both"/>
              <w:rPr>
                <w:rFonts w:hint="eastAsia" w:ascii="方正黑体_GBK" w:hAnsi="方正黑体_GBK" w:eastAsia="方正黑体_GBK" w:cs="方正黑体_GBK"/>
                <w:b w:val="0"/>
                <w:bCs w:val="0"/>
                <w:sz w:val="18"/>
                <w:szCs w:val="18"/>
                <w:lang w:val="en-US" w:eastAsia="zh-CN"/>
              </w:rPr>
            </w:pPr>
          </w:p>
        </w:tc>
        <w:tc>
          <w:tcPr>
            <w:tcW w:w="943" w:type="dxa"/>
            <w:vAlign w:val="center"/>
          </w:tcPr>
          <w:p w14:paraId="2F0511D0">
            <w:pPr>
              <w:spacing w:line="390" w:lineRule="exact"/>
              <w:jc w:val="both"/>
              <w:rPr>
                <w:rFonts w:hint="eastAsia" w:ascii="方正黑体_GBK" w:hAnsi="方正黑体_GBK" w:eastAsia="方正黑体_GBK" w:cs="方正黑体_GBK"/>
                <w:b w:val="0"/>
                <w:bCs w:val="0"/>
                <w:color w:val="000000"/>
                <w:kern w:val="0"/>
                <w:sz w:val="18"/>
                <w:szCs w:val="18"/>
                <w:lang w:eastAsia="zh-CN"/>
              </w:rPr>
            </w:pPr>
            <w:r>
              <w:rPr>
                <w:rFonts w:hint="eastAsia" w:ascii="方正黑体_GBK" w:hAnsi="方正黑体_GBK" w:eastAsia="方正黑体_GBK" w:cs="方正黑体_GBK"/>
                <w:b w:val="0"/>
                <w:bCs w:val="0"/>
                <w:sz w:val="18"/>
                <w:szCs w:val="18"/>
                <w:lang w:val="en-US" w:eastAsia="zh-CN"/>
              </w:rPr>
              <w:t>产品费用</w:t>
            </w:r>
          </w:p>
        </w:tc>
        <w:tc>
          <w:tcPr>
            <w:tcW w:w="3107" w:type="dxa"/>
            <w:vAlign w:val="center"/>
          </w:tcPr>
          <w:p w14:paraId="493BBE14">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认/申购费：本理财产品暂不收取认/申购费。</w:t>
            </w:r>
          </w:p>
          <w:p w14:paraId="1C0BADDE">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赎回费：本理财产品暂不收取赎回费。</w:t>
            </w:r>
          </w:p>
          <w:p w14:paraId="44295A82">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销售费：本理财产品按前一日理财产品资产净值收取销售费，按日计提。</w:t>
            </w:r>
          </w:p>
          <w:p w14:paraId="5BD0B8C0">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A份额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A2份额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w:t>
            </w:r>
            <w:r>
              <w:rPr>
                <w:rFonts w:hint="eastAsia" w:ascii="方正黑体_GBK" w:hAnsi="方正黑体_GBK" w:eastAsia="方正黑体_GBK" w:cs="方正黑体_GBK"/>
                <w:b/>
                <w:bCs w:val="0"/>
                <w:sz w:val="18"/>
                <w:szCs w:val="18"/>
                <w:lang w:val="en-US" w:eastAsia="zh-CN"/>
              </w:rPr>
              <w:t>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w:t>
            </w:r>
            <w:r>
              <w:rPr>
                <w:rFonts w:hint="eastAsia" w:ascii="方正黑体_GBK" w:hAnsi="方正黑体_GBK" w:eastAsia="方正黑体_GBK" w:cs="方正黑体_GBK"/>
                <w:b/>
                <w:bCs w:val="0"/>
                <w:sz w:val="18"/>
                <w:szCs w:val="18"/>
                <w:lang w:val="en-US" w:eastAsia="zh-CN"/>
              </w:rPr>
              <w:t>4</w:t>
            </w:r>
            <w:r>
              <w:rPr>
                <w:rFonts w:hint="eastAsia" w:ascii="方正黑体_GBK" w:hAnsi="方正黑体_GBK" w:eastAsia="方正黑体_GBK" w:cs="方正黑体_GBK"/>
                <w:b/>
                <w:bCs w:val="0"/>
                <w:sz w:val="18"/>
                <w:szCs w:val="18"/>
              </w:rPr>
              <w:t>份额：销售费年化0.2%</w:t>
            </w:r>
          </w:p>
          <w:p w14:paraId="6118F4A1">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B</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/B</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/B3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/B4</w:t>
            </w:r>
            <w:r>
              <w:rPr>
                <w:rFonts w:hint="eastAsia" w:ascii="方正黑体_GBK" w:hAnsi="方正黑体_GBK" w:eastAsia="方正黑体_GBK" w:cs="方正黑体_GBK"/>
                <w:b/>
                <w:bCs w:val="0"/>
                <w:sz w:val="18"/>
                <w:szCs w:val="18"/>
              </w:rPr>
              <w:t>份额：销售费年化0.2%</w:t>
            </w:r>
          </w:p>
          <w:p w14:paraId="757D4D86">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C</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/C</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/C3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/C4</w:t>
            </w:r>
            <w:r>
              <w:rPr>
                <w:rFonts w:hint="eastAsia" w:ascii="方正黑体_GBK" w:hAnsi="方正黑体_GBK" w:eastAsia="方正黑体_GBK" w:cs="方正黑体_GBK"/>
                <w:b/>
                <w:bCs w:val="0"/>
                <w:sz w:val="18"/>
                <w:szCs w:val="18"/>
              </w:rPr>
              <w:t>份额：销售费年化0.15%</w:t>
            </w:r>
          </w:p>
          <w:p w14:paraId="115E7433">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D</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/D</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/D3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/D4</w:t>
            </w:r>
            <w:r>
              <w:rPr>
                <w:rFonts w:hint="eastAsia" w:ascii="方正黑体_GBK" w:hAnsi="方正黑体_GBK" w:eastAsia="方正黑体_GBK" w:cs="方正黑体_GBK"/>
                <w:b/>
                <w:bCs w:val="0"/>
                <w:sz w:val="18"/>
                <w:szCs w:val="18"/>
              </w:rPr>
              <w:t>份额：销售费年化0.15%</w:t>
            </w:r>
          </w:p>
          <w:p w14:paraId="42AD0739">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E</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/E</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/E3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/E4</w:t>
            </w:r>
            <w:r>
              <w:rPr>
                <w:rFonts w:hint="eastAsia" w:ascii="方正黑体_GBK" w:hAnsi="方正黑体_GBK" w:eastAsia="方正黑体_GBK" w:cs="方正黑体_GBK"/>
                <w:b/>
                <w:bCs w:val="0"/>
                <w:sz w:val="18"/>
                <w:szCs w:val="18"/>
              </w:rPr>
              <w:t>份额：销售费年化0.05%</w:t>
            </w:r>
          </w:p>
          <w:p w14:paraId="247978EA">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F</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/F</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/F3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/F4</w:t>
            </w:r>
            <w:r>
              <w:rPr>
                <w:rFonts w:hint="eastAsia" w:ascii="方正黑体_GBK" w:hAnsi="方正黑体_GBK" w:eastAsia="方正黑体_GBK" w:cs="方正黑体_GBK"/>
                <w:b/>
                <w:bCs w:val="0"/>
                <w:sz w:val="18"/>
                <w:szCs w:val="18"/>
              </w:rPr>
              <w:t>份额：销售费年化0.</w:t>
            </w:r>
            <w:r>
              <w:rPr>
                <w:rFonts w:hint="eastAsia" w:ascii="方正黑体_GBK" w:hAnsi="方正黑体_GBK" w:eastAsia="方正黑体_GBK" w:cs="方正黑体_GBK"/>
                <w:b/>
                <w:bCs w:val="0"/>
                <w:sz w:val="18"/>
                <w:szCs w:val="18"/>
                <w:lang w:val="en-US" w:eastAsia="zh-CN"/>
              </w:rPr>
              <w:t>2</w:t>
            </w:r>
            <w:r>
              <w:rPr>
                <w:rFonts w:hint="eastAsia" w:ascii="方正黑体_GBK" w:hAnsi="方正黑体_GBK" w:eastAsia="方正黑体_GBK" w:cs="方正黑体_GBK"/>
                <w:b/>
                <w:bCs w:val="0"/>
                <w:sz w:val="18"/>
                <w:szCs w:val="18"/>
              </w:rPr>
              <w:t>%</w:t>
            </w:r>
          </w:p>
          <w:p w14:paraId="10952B14">
            <w:pPr>
              <w:spacing w:line="200" w:lineRule="exact"/>
              <w:rPr>
                <w:rFonts w:hint="eastAsia" w:ascii="方正黑体_GBK" w:hAnsi="方正黑体_GBK" w:eastAsia="方正黑体_GBK" w:cs="方正黑体_GBK"/>
                <w:b/>
                <w:bCs w:val="0"/>
                <w:sz w:val="18"/>
                <w:szCs w:val="18"/>
                <w:lang w:val="en-US" w:eastAsia="zh-CN"/>
              </w:rPr>
            </w:pPr>
            <w:r>
              <w:rPr>
                <w:rFonts w:hint="eastAsia" w:ascii="方正黑体_GBK" w:hAnsi="方正黑体_GBK" w:eastAsia="方正黑体_GBK" w:cs="方正黑体_GBK"/>
                <w:b/>
                <w:bCs w:val="0"/>
                <w:sz w:val="18"/>
                <w:szCs w:val="18"/>
                <w:lang w:val="en-US" w:eastAsia="zh-CN"/>
              </w:rPr>
              <w:t>H2份额：</w:t>
            </w:r>
            <w:r>
              <w:rPr>
                <w:rFonts w:hint="eastAsia" w:ascii="方正黑体_GBK" w:hAnsi="方正黑体_GBK" w:eastAsia="方正黑体_GBK" w:cs="方正黑体_GBK"/>
                <w:b/>
                <w:bCs w:val="0"/>
                <w:sz w:val="18"/>
                <w:szCs w:val="18"/>
              </w:rPr>
              <w:t>销售费年化0.1%</w:t>
            </w:r>
          </w:p>
          <w:p w14:paraId="1D51520B">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rPr>
              <w:t>每日计提的销售费=前一日理财产品资产净值×年化销售费率÷365</w:t>
            </w:r>
          </w:p>
          <w:p w14:paraId="074D7018">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固定管理费：本理财产品按前一日理财产品资产净值收取固定管理费，按日计提。</w:t>
            </w:r>
          </w:p>
          <w:p w14:paraId="39230845">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A份额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A2份额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w:t>
            </w:r>
            <w:r>
              <w:rPr>
                <w:rFonts w:hint="eastAsia" w:ascii="方正黑体_GBK" w:hAnsi="方正黑体_GBK" w:eastAsia="方正黑体_GBK" w:cs="方正黑体_GBK"/>
                <w:b/>
                <w:bCs w:val="0"/>
                <w:sz w:val="18"/>
                <w:szCs w:val="18"/>
                <w:lang w:val="en-US" w:eastAsia="zh-CN"/>
              </w:rPr>
              <w:t>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w:t>
            </w:r>
            <w:r>
              <w:rPr>
                <w:rFonts w:hint="eastAsia" w:ascii="方正黑体_GBK" w:hAnsi="方正黑体_GBK" w:eastAsia="方正黑体_GBK" w:cs="方正黑体_GBK"/>
                <w:b/>
                <w:bCs w:val="0"/>
                <w:sz w:val="18"/>
                <w:szCs w:val="18"/>
                <w:lang w:val="en-US" w:eastAsia="zh-CN"/>
              </w:rPr>
              <w:t>4</w:t>
            </w:r>
            <w:r>
              <w:rPr>
                <w:rFonts w:hint="eastAsia" w:ascii="方正黑体_GBK" w:hAnsi="方正黑体_GBK" w:eastAsia="方正黑体_GBK" w:cs="方正黑体_GBK"/>
                <w:b/>
                <w:bCs w:val="0"/>
                <w:sz w:val="18"/>
                <w:szCs w:val="18"/>
              </w:rPr>
              <w:t>份额：固定管理费年化0.</w:t>
            </w:r>
            <w:r>
              <w:rPr>
                <w:rFonts w:hint="eastAsia" w:ascii="方正黑体_GBK" w:hAnsi="方正黑体_GBK" w:eastAsia="方正黑体_GBK" w:cs="方正黑体_GBK"/>
                <w:b/>
                <w:bCs w:val="0"/>
                <w:sz w:val="18"/>
                <w:szCs w:val="18"/>
                <w:lang w:val="en-US" w:eastAsia="zh-CN"/>
              </w:rPr>
              <w:t>4</w:t>
            </w:r>
            <w:r>
              <w:rPr>
                <w:rFonts w:hint="eastAsia" w:ascii="方正黑体_GBK" w:hAnsi="方正黑体_GBK" w:eastAsia="方正黑体_GBK" w:cs="方正黑体_GBK"/>
                <w:b/>
                <w:bCs w:val="0"/>
                <w:sz w:val="18"/>
                <w:szCs w:val="18"/>
              </w:rPr>
              <w:t>%</w:t>
            </w:r>
          </w:p>
          <w:p w14:paraId="3996513E">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B</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/B</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/B3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/B4</w:t>
            </w:r>
            <w:r>
              <w:rPr>
                <w:rFonts w:hint="eastAsia" w:ascii="方正黑体_GBK" w:hAnsi="方正黑体_GBK" w:eastAsia="方正黑体_GBK" w:cs="方正黑体_GBK"/>
                <w:b/>
                <w:bCs w:val="0"/>
                <w:sz w:val="18"/>
                <w:szCs w:val="18"/>
              </w:rPr>
              <w:t>份额：固定管理费年化0.</w:t>
            </w:r>
            <w:r>
              <w:rPr>
                <w:rFonts w:hint="eastAsia" w:ascii="方正黑体_GBK" w:hAnsi="方正黑体_GBK" w:eastAsia="方正黑体_GBK" w:cs="方正黑体_GBK"/>
                <w:b/>
                <w:bCs w:val="0"/>
                <w:sz w:val="18"/>
                <w:szCs w:val="18"/>
                <w:lang w:val="en-US" w:eastAsia="zh-CN"/>
              </w:rPr>
              <w:t>4</w:t>
            </w:r>
            <w:r>
              <w:rPr>
                <w:rFonts w:hint="eastAsia" w:ascii="方正黑体_GBK" w:hAnsi="方正黑体_GBK" w:eastAsia="方正黑体_GBK" w:cs="方正黑体_GBK"/>
                <w:b/>
                <w:bCs w:val="0"/>
                <w:sz w:val="18"/>
                <w:szCs w:val="18"/>
              </w:rPr>
              <w:t>%</w:t>
            </w:r>
          </w:p>
          <w:p w14:paraId="2532B3DF">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C</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/C</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/C3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/C4</w:t>
            </w:r>
            <w:r>
              <w:rPr>
                <w:rFonts w:hint="eastAsia" w:ascii="方正黑体_GBK" w:hAnsi="方正黑体_GBK" w:eastAsia="方正黑体_GBK" w:cs="方正黑体_GBK"/>
                <w:b/>
                <w:bCs w:val="0"/>
                <w:sz w:val="18"/>
                <w:szCs w:val="18"/>
              </w:rPr>
              <w:t>份额：固定管理费年化0.35%</w:t>
            </w:r>
          </w:p>
          <w:p w14:paraId="1FB5EF72">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D</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/D</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/D3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/D4</w:t>
            </w:r>
            <w:r>
              <w:rPr>
                <w:rFonts w:hint="eastAsia" w:ascii="方正黑体_GBK" w:hAnsi="方正黑体_GBK" w:eastAsia="方正黑体_GBK" w:cs="方正黑体_GBK"/>
                <w:b/>
                <w:bCs w:val="0"/>
                <w:sz w:val="18"/>
                <w:szCs w:val="18"/>
              </w:rPr>
              <w:t>份额：固定管理费年化0.3%</w:t>
            </w:r>
          </w:p>
          <w:p w14:paraId="45BED11C">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E</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/E</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/E3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/E4</w:t>
            </w:r>
            <w:r>
              <w:rPr>
                <w:rFonts w:hint="eastAsia" w:ascii="方正黑体_GBK" w:hAnsi="方正黑体_GBK" w:eastAsia="方正黑体_GBK" w:cs="方正黑体_GBK"/>
                <w:b/>
                <w:bCs w:val="0"/>
                <w:sz w:val="18"/>
                <w:szCs w:val="18"/>
              </w:rPr>
              <w:t>份额：固定管理费年化0.3%</w:t>
            </w:r>
          </w:p>
          <w:p w14:paraId="43855827">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F</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/F</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/F3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/F4</w:t>
            </w:r>
            <w:r>
              <w:rPr>
                <w:rFonts w:hint="eastAsia" w:ascii="方正黑体_GBK" w:hAnsi="方正黑体_GBK" w:eastAsia="方正黑体_GBK" w:cs="方正黑体_GBK"/>
                <w:b/>
                <w:bCs w:val="0"/>
                <w:sz w:val="18"/>
                <w:szCs w:val="18"/>
              </w:rPr>
              <w:t>份额：固定管理费年化0.3%</w:t>
            </w:r>
          </w:p>
          <w:p w14:paraId="7FD20A80">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H2份额：</w:t>
            </w:r>
            <w:r>
              <w:rPr>
                <w:rFonts w:hint="eastAsia" w:ascii="方正黑体_GBK" w:hAnsi="方正黑体_GBK" w:eastAsia="方正黑体_GBK" w:cs="方正黑体_GBK"/>
                <w:b/>
                <w:bCs w:val="0"/>
                <w:sz w:val="18"/>
                <w:szCs w:val="18"/>
              </w:rPr>
              <w:t>固定管理费年化0.</w:t>
            </w:r>
            <w:r>
              <w:rPr>
                <w:rFonts w:hint="eastAsia" w:ascii="方正黑体_GBK" w:hAnsi="方正黑体_GBK" w:eastAsia="方正黑体_GBK" w:cs="方正黑体_GBK"/>
                <w:b/>
                <w:bCs w:val="0"/>
                <w:sz w:val="18"/>
                <w:szCs w:val="18"/>
                <w:lang w:val="en-US" w:eastAsia="zh-CN"/>
              </w:rPr>
              <w:t>2</w:t>
            </w:r>
            <w:r>
              <w:rPr>
                <w:rFonts w:hint="eastAsia" w:ascii="方正黑体_GBK" w:hAnsi="方正黑体_GBK" w:eastAsia="方正黑体_GBK" w:cs="方正黑体_GBK"/>
                <w:b/>
                <w:bCs w:val="0"/>
                <w:sz w:val="18"/>
                <w:szCs w:val="18"/>
              </w:rPr>
              <w:t>%</w:t>
            </w:r>
          </w:p>
          <w:p w14:paraId="35545474">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rPr>
              <w:t>每日计提的固定管理费=前一日理财产品资产净值×年化固定管理费率÷365</w:t>
            </w:r>
          </w:p>
          <w:p w14:paraId="747CB4F1">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托管费：</w:t>
            </w:r>
          </w:p>
          <w:p w14:paraId="1DF41C3C">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本理财产品按前一日理财产品资产净值收取年化0.02%的托管费，按日计提。</w:t>
            </w:r>
          </w:p>
          <w:p w14:paraId="6F1AB0DE">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每日计提的托管费=前一日理财产品资产净值×年化托管费率÷365</w:t>
            </w:r>
          </w:p>
          <w:p w14:paraId="0C64C88C">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业绩报酬：</w:t>
            </w:r>
          </w:p>
          <w:p w14:paraId="6E990BF7">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A份额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A2份额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w:t>
            </w:r>
            <w:r>
              <w:rPr>
                <w:rFonts w:hint="eastAsia" w:ascii="方正黑体_GBK" w:hAnsi="方正黑体_GBK" w:eastAsia="方正黑体_GBK" w:cs="方正黑体_GBK"/>
                <w:b/>
                <w:bCs w:val="0"/>
                <w:sz w:val="18"/>
                <w:szCs w:val="18"/>
                <w:lang w:val="en-US" w:eastAsia="zh-CN"/>
              </w:rPr>
              <w:t>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w:t>
            </w:r>
            <w:r>
              <w:rPr>
                <w:rFonts w:hint="eastAsia" w:ascii="方正黑体_GBK" w:hAnsi="方正黑体_GBK" w:eastAsia="方正黑体_GBK" w:cs="方正黑体_GBK"/>
                <w:b/>
                <w:bCs w:val="0"/>
                <w:sz w:val="18"/>
                <w:szCs w:val="18"/>
              </w:rPr>
              <w:t>A</w:t>
            </w:r>
            <w:r>
              <w:rPr>
                <w:rFonts w:hint="eastAsia" w:ascii="方正黑体_GBK" w:hAnsi="方正黑体_GBK" w:eastAsia="方正黑体_GBK" w:cs="方正黑体_GBK"/>
                <w:b/>
                <w:bCs w:val="0"/>
                <w:sz w:val="18"/>
                <w:szCs w:val="18"/>
                <w:lang w:val="en-US" w:eastAsia="zh-CN"/>
              </w:rPr>
              <w:t>4</w:t>
            </w:r>
            <w:r>
              <w:rPr>
                <w:rFonts w:hint="eastAsia" w:ascii="方正黑体_GBK" w:hAnsi="方正黑体_GBK" w:eastAsia="方正黑体_GBK" w:cs="方正黑体_GBK"/>
                <w:b/>
                <w:bCs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方正黑体_GBK"/>
                <w:b/>
                <w:bCs w:val="0"/>
                <w:sz w:val="18"/>
                <w:szCs w:val="18"/>
                <w:lang w:val="en-US" w:eastAsia="zh-CN"/>
              </w:rPr>
              <w:t>1</w:t>
            </w:r>
            <w:r>
              <w:rPr>
                <w:rFonts w:hint="eastAsia" w:ascii="方正黑体_GBK" w:hAnsi="方正黑体_GBK" w:eastAsia="方正黑体_GBK" w:cs="方正黑体_GBK"/>
                <w:b/>
                <w:bCs w:val="0"/>
                <w:sz w:val="18"/>
                <w:szCs w:val="18"/>
              </w:rPr>
              <w:t>%（年化，即产品该份额对应的业绩报酬计提基准）时，超过部分管理人将按60%收取业绩报酬。</w:t>
            </w:r>
          </w:p>
          <w:p w14:paraId="72A1FEF0">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B</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/B</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/B3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/B4</w:t>
            </w:r>
            <w:r>
              <w:rPr>
                <w:rFonts w:hint="eastAsia" w:ascii="方正黑体_GBK" w:hAnsi="方正黑体_GBK" w:eastAsia="方正黑体_GBK" w:cs="方正黑体_GBK"/>
                <w:b/>
                <w:bCs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方正黑体_GBK"/>
                <w:b/>
                <w:bCs w:val="0"/>
                <w:sz w:val="18"/>
                <w:szCs w:val="18"/>
                <w:lang w:val="en-US" w:eastAsia="zh-CN"/>
              </w:rPr>
              <w:t>1</w:t>
            </w:r>
            <w:r>
              <w:rPr>
                <w:rFonts w:hint="eastAsia" w:ascii="方正黑体_GBK" w:hAnsi="方正黑体_GBK" w:eastAsia="方正黑体_GBK" w:cs="方正黑体_GBK"/>
                <w:b/>
                <w:bCs w:val="0"/>
                <w:sz w:val="18"/>
                <w:szCs w:val="18"/>
              </w:rPr>
              <w:t>%（年化，即产品该份额对应的业绩报酬计提基准）时，超过部分管理人将按60%收取业绩报酬。</w:t>
            </w:r>
          </w:p>
          <w:p w14:paraId="733BCBBC">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C</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/C</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/C3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/C4</w:t>
            </w:r>
            <w:r>
              <w:rPr>
                <w:rFonts w:hint="eastAsia" w:ascii="方正黑体_GBK" w:hAnsi="方正黑体_GBK" w:eastAsia="方正黑体_GBK" w:cs="方正黑体_GBK"/>
                <w:b/>
                <w:bCs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方正黑体_GBK"/>
                <w:b/>
                <w:bCs w:val="0"/>
                <w:sz w:val="18"/>
                <w:szCs w:val="18"/>
                <w:lang w:val="en-US" w:eastAsia="zh-CN"/>
              </w:rPr>
              <w:t>2</w:t>
            </w:r>
            <w:r>
              <w:rPr>
                <w:rFonts w:hint="eastAsia" w:ascii="方正黑体_GBK" w:hAnsi="方正黑体_GBK" w:eastAsia="方正黑体_GBK" w:cs="方正黑体_GBK"/>
                <w:b/>
                <w:bCs w:val="0"/>
                <w:sz w:val="18"/>
                <w:szCs w:val="18"/>
              </w:rPr>
              <w:t>%（年化，即产品该份额对应的业绩报酬计提基准）时，超过部分管理人将按60%收取业绩报酬。</w:t>
            </w:r>
          </w:p>
          <w:p w14:paraId="6859C43E">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lang w:val="en-US" w:eastAsia="zh-CN"/>
              </w:rPr>
              <w:t>D</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/D</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/D3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/D4</w:t>
            </w:r>
            <w:r>
              <w:rPr>
                <w:rFonts w:hint="eastAsia" w:ascii="方正黑体_GBK" w:hAnsi="方正黑体_GBK" w:eastAsia="方正黑体_GBK" w:cs="方正黑体_GBK"/>
                <w:b/>
                <w:bCs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方正黑体_GBK"/>
                <w:b/>
                <w:bCs w:val="0"/>
                <w:sz w:val="18"/>
                <w:szCs w:val="18"/>
                <w:lang w:val="en-US" w:eastAsia="zh-CN"/>
              </w:rPr>
              <w:t>2</w:t>
            </w:r>
            <w:r>
              <w:rPr>
                <w:rFonts w:hint="eastAsia" w:ascii="方正黑体_GBK" w:hAnsi="方正黑体_GBK" w:eastAsia="方正黑体_GBK" w:cs="方正黑体_GBK"/>
                <w:b/>
                <w:bCs w:val="0"/>
                <w:sz w:val="18"/>
                <w:szCs w:val="18"/>
              </w:rPr>
              <w:t>5%（年化，即产品该份额对应的业绩报酬计提基准）时，超过部分管理人将按60%收取业绩报酬。</w:t>
            </w:r>
          </w:p>
          <w:p w14:paraId="65507449">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E</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/E</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/E3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/E4</w:t>
            </w:r>
            <w:r>
              <w:rPr>
                <w:rFonts w:hint="eastAsia" w:ascii="方正黑体_GBK" w:hAnsi="方正黑体_GBK" w:eastAsia="方正黑体_GBK" w:cs="方正黑体_GBK"/>
                <w:b/>
                <w:bCs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方正黑体_GBK"/>
                <w:b/>
                <w:bCs w:val="0"/>
                <w:sz w:val="18"/>
                <w:szCs w:val="18"/>
                <w:lang w:val="en-US" w:eastAsia="zh-CN"/>
              </w:rPr>
              <w:t>3</w:t>
            </w:r>
            <w:r>
              <w:rPr>
                <w:rFonts w:hint="eastAsia" w:ascii="方正黑体_GBK" w:hAnsi="方正黑体_GBK" w:eastAsia="方正黑体_GBK" w:cs="方正黑体_GBK"/>
                <w:b/>
                <w:bCs w:val="0"/>
                <w:sz w:val="18"/>
                <w:szCs w:val="18"/>
              </w:rPr>
              <w:t>5%（年化，即产品该份额对应的业绩报酬计提基准）时，超过部分管理人将按60%收取业绩报酬。</w:t>
            </w:r>
          </w:p>
          <w:p w14:paraId="0E114899">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F</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/F</w:t>
            </w:r>
            <w:r>
              <w:rPr>
                <w:rFonts w:hint="eastAsia" w:ascii="方正黑体_GBK" w:hAnsi="方正黑体_GBK" w:eastAsia="方正黑体_GBK" w:cs="方正黑体_GBK"/>
                <w:b/>
                <w:bCs w:val="0"/>
                <w:sz w:val="18"/>
                <w:szCs w:val="18"/>
              </w:rPr>
              <w:t>2份额</w:t>
            </w:r>
            <w:r>
              <w:rPr>
                <w:rFonts w:hint="eastAsia" w:ascii="方正黑体_GBK" w:hAnsi="方正黑体_GBK" w:eastAsia="方正黑体_GBK" w:cs="方正黑体_GBK"/>
                <w:b/>
                <w:bCs w:val="0"/>
                <w:sz w:val="18"/>
                <w:szCs w:val="18"/>
                <w:lang w:val="en-US" w:eastAsia="zh-CN"/>
              </w:rPr>
              <w:t>/F3</w:t>
            </w:r>
            <w:r>
              <w:rPr>
                <w:rFonts w:hint="eastAsia" w:ascii="方正黑体_GBK" w:hAnsi="方正黑体_GBK" w:eastAsia="方正黑体_GBK" w:cs="方正黑体_GBK"/>
                <w:b/>
                <w:bCs w:val="0"/>
                <w:sz w:val="18"/>
                <w:szCs w:val="18"/>
              </w:rPr>
              <w:t>份额</w:t>
            </w:r>
            <w:r>
              <w:rPr>
                <w:rFonts w:hint="eastAsia" w:ascii="方正黑体_GBK" w:hAnsi="方正黑体_GBK" w:eastAsia="方正黑体_GBK" w:cs="方正黑体_GBK"/>
                <w:b/>
                <w:bCs w:val="0"/>
                <w:sz w:val="18"/>
                <w:szCs w:val="18"/>
                <w:lang w:val="en-US" w:eastAsia="zh-CN"/>
              </w:rPr>
              <w:t>/F4</w:t>
            </w:r>
            <w:r>
              <w:rPr>
                <w:rFonts w:hint="eastAsia" w:ascii="方正黑体_GBK" w:hAnsi="方正黑体_GBK" w:eastAsia="方正黑体_GBK" w:cs="方正黑体_GBK"/>
                <w:b/>
                <w:bCs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方正黑体_GBK"/>
                <w:b/>
                <w:bCs w:val="0"/>
                <w:sz w:val="18"/>
                <w:szCs w:val="18"/>
                <w:lang w:val="en-US" w:eastAsia="zh-CN"/>
              </w:rPr>
              <w:t>2</w:t>
            </w:r>
            <w:r>
              <w:rPr>
                <w:rFonts w:hint="eastAsia" w:ascii="方正黑体_GBK" w:hAnsi="方正黑体_GBK" w:eastAsia="方正黑体_GBK" w:cs="方正黑体_GBK"/>
                <w:b/>
                <w:bCs w:val="0"/>
                <w:sz w:val="18"/>
                <w:szCs w:val="18"/>
              </w:rPr>
              <w:t>%（年化，即产品该份额对应的业绩报酬计提基准）时，超过部分管理人将按60%收取业绩报酬。</w:t>
            </w:r>
          </w:p>
          <w:p w14:paraId="422E7922">
            <w:pPr>
              <w:spacing w:line="200" w:lineRule="exact"/>
              <w:rPr>
                <w:rFonts w:hint="eastAsia" w:ascii="方正黑体_GBK" w:hAnsi="方正黑体_GBK" w:eastAsia="方正黑体_GBK" w:cs="方正黑体_GBK"/>
                <w:b/>
                <w:bCs w:val="0"/>
                <w:sz w:val="18"/>
                <w:szCs w:val="18"/>
              </w:rPr>
            </w:pPr>
            <w:r>
              <w:rPr>
                <w:rFonts w:hint="eastAsia" w:ascii="方正黑体_GBK" w:hAnsi="方正黑体_GBK" w:eastAsia="方正黑体_GBK" w:cs="方正黑体_GBK"/>
                <w:b/>
                <w:bCs w:val="0"/>
                <w:sz w:val="18"/>
                <w:szCs w:val="18"/>
                <w:lang w:val="en-US" w:eastAsia="zh-CN"/>
              </w:rPr>
              <w:t>H2</w:t>
            </w:r>
            <w:r>
              <w:rPr>
                <w:rFonts w:hint="eastAsia" w:ascii="方正黑体_GBK" w:hAnsi="方正黑体_GBK" w:eastAsia="方正黑体_GBK" w:cs="方正黑体_GBK"/>
                <w:b/>
                <w:bCs w:val="0"/>
                <w:sz w:val="18"/>
                <w:szCs w:val="18"/>
              </w:rPr>
              <w:t>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419843BC">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5632001">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E880E91">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注：1.根据财政部《资产管理产品相关会计处理规定》（财会〔2022〕14号）“将当期发生的管理人报酬计入当期损益”的相关规定，本理财产品将每日计提暂估的业绩报酬（如有）。</w:t>
            </w:r>
          </w:p>
          <w:p w14:paraId="067AB3CD">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9C9DFB2">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计算本区间业绩报酬的公式如下：</w:t>
            </w:r>
          </w:p>
          <w:p w14:paraId="1DBB3EC7">
            <w:pPr>
              <w:spacing w:line="200" w:lineRule="exact"/>
              <w:rPr>
                <w:rFonts w:hint="eastAsia" w:ascii="方正黑体_GBK" w:hAnsi="方正黑体_GBK" w:eastAsia="方正黑体_GBK" w:cs="方正黑体_GBK"/>
                <w:b/>
                <w:bCs w:val="0"/>
              </w:rPr>
            </w:pPr>
            <w:r>
              <w:rPr>
                <w:rFonts w:hint="eastAsia" w:ascii="方正黑体_GBK" w:hAnsi="方正黑体_GBK" w:eastAsia="方正黑体_GBK" w:cs="方正黑体_GBK"/>
                <w:b/>
                <w:bCs w:val="0"/>
                <w:sz w:val="18"/>
                <w:szCs w:val="18"/>
              </w:rPr>
              <w:t>A={B-C*D*(1+E*F/365)}*G。</w:t>
            </w:r>
          </w:p>
          <w:p w14:paraId="21932035">
            <w:pPr>
              <w:widowControl/>
              <w:spacing w:line="200" w:lineRule="exact"/>
              <w:ind w:firstLine="0" w:firstLineChars="0"/>
              <w:jc w:val="both"/>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bCs w:val="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c>
          <w:tcPr>
            <w:tcW w:w="5533" w:type="dxa"/>
            <w:vAlign w:val="center"/>
          </w:tcPr>
          <w:p w14:paraId="224AC17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认/申购费：本理财产品暂不收取认/申购费。</w:t>
            </w:r>
          </w:p>
          <w:p w14:paraId="389F1FC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赎回费：本理财产品暂不收取赎回费。</w:t>
            </w:r>
          </w:p>
          <w:p w14:paraId="407C364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销售费：本理财产品按前一日理财产品资产净值收取销售费，按日计提。</w:t>
            </w:r>
          </w:p>
          <w:p w14:paraId="6361AD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A份额：销售费年化0.2%</w:t>
            </w:r>
          </w:p>
          <w:p w14:paraId="7A4635D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F份额：销售费年化0.15%</w:t>
            </w:r>
          </w:p>
          <w:p w14:paraId="3401F1A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A2份额：销售费年化0.2%</w:t>
            </w:r>
          </w:p>
          <w:p w14:paraId="16DD548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A3份额：销售费年化0.2%</w:t>
            </w:r>
          </w:p>
          <w:p w14:paraId="7BF79B9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A4份额：销售费年化0.2%</w:t>
            </w:r>
          </w:p>
          <w:p w14:paraId="590CAAF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F2份额：销售费年化0.15%</w:t>
            </w:r>
          </w:p>
          <w:p w14:paraId="04668A2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F3份额：销售费年化0.15%</w:t>
            </w:r>
          </w:p>
          <w:p w14:paraId="6172EEC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G2份额：销售费年化0.1%</w:t>
            </w:r>
          </w:p>
          <w:p w14:paraId="25CD146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G3份额：销售费年化0.1%</w:t>
            </w:r>
          </w:p>
          <w:p w14:paraId="2F53179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F4份额：销售费年化0.15%</w:t>
            </w:r>
          </w:p>
          <w:p w14:paraId="69FADD8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I2份额：销售费年化0.15%</w:t>
            </w:r>
          </w:p>
          <w:p w14:paraId="5A6C8D9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J2份额：销售费年化0.15%</w:t>
            </w:r>
          </w:p>
          <w:p w14:paraId="4B8F51D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L2份额：销售费年化0.05%</w:t>
            </w:r>
          </w:p>
          <w:p w14:paraId="35465E4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J3份额：销售费年化0.15%</w:t>
            </w:r>
          </w:p>
          <w:p w14:paraId="0558A99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L3份额：销售费年化0.05%</w:t>
            </w:r>
          </w:p>
          <w:p w14:paraId="04563A3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I3份额：销售费年化0.15%</w:t>
            </w:r>
          </w:p>
          <w:p w14:paraId="2F43B80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I4份额：销售费年化0.15%</w:t>
            </w:r>
          </w:p>
          <w:p w14:paraId="3A09EBA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M2份额：销售费年化0.2%</w:t>
            </w:r>
          </w:p>
          <w:p w14:paraId="23127E5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M3份额：销售费年化0.2%</w:t>
            </w:r>
          </w:p>
          <w:p w14:paraId="658FFB4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O2份额：销售费年化0.2%</w:t>
            </w:r>
          </w:p>
          <w:p w14:paraId="29EC3D6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O3份额：销售费年化0.2%</w:t>
            </w:r>
          </w:p>
          <w:p w14:paraId="3D90ACE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Q1份额：销售费年化0.2%</w:t>
            </w:r>
          </w:p>
          <w:p w14:paraId="2AB30E3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R1份额：销售费年化0.05%</w:t>
            </w:r>
          </w:p>
          <w:p w14:paraId="3999261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Q2份额：销售费年化0.2%</w:t>
            </w:r>
          </w:p>
          <w:p w14:paraId="1303A33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R2份额：销售费年化0.05%</w:t>
            </w:r>
          </w:p>
          <w:p w14:paraId="35B9980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Q3份额：销售费年化0.2%</w:t>
            </w:r>
          </w:p>
          <w:p w14:paraId="0E7073A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R3份额：销售费年化0.05%</w:t>
            </w:r>
          </w:p>
          <w:p w14:paraId="68C6C8D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G1份额：销售费年化0.1%</w:t>
            </w:r>
          </w:p>
          <w:p w14:paraId="3CCD329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I1份额：销售费年化0.15%</w:t>
            </w:r>
          </w:p>
          <w:p w14:paraId="469CEE1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J1份额：销售费年化0.15%</w:t>
            </w:r>
          </w:p>
          <w:p w14:paraId="3806838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L1份额：销售费年化0.05%</w:t>
            </w:r>
          </w:p>
          <w:p w14:paraId="16B534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M1份额：销售费年化0.2%</w:t>
            </w:r>
          </w:p>
          <w:p w14:paraId="0D48A1E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N1份额：销售费年化0.05%</w:t>
            </w:r>
          </w:p>
          <w:p w14:paraId="337013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O1份额：销售费年化0.2%</w:t>
            </w:r>
          </w:p>
          <w:p w14:paraId="120A9B2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S1份额：销售费年化0.1%</w:t>
            </w:r>
          </w:p>
          <w:p w14:paraId="16276BE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S2份额：销售费年化0.1%</w:t>
            </w:r>
          </w:p>
          <w:p w14:paraId="42F7FF1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S3份额：销售费年化0.1%</w:t>
            </w:r>
          </w:p>
          <w:p w14:paraId="3456DF1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T1份额：销售费年化0.1%</w:t>
            </w:r>
          </w:p>
          <w:p w14:paraId="375F782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T2份额：销售费年化0.1%</w:t>
            </w:r>
          </w:p>
          <w:p w14:paraId="1F4441F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T3份额：销售费年化0.1%</w:t>
            </w:r>
          </w:p>
          <w:p w14:paraId="63D1085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V1份额：销售费年化0.05%</w:t>
            </w:r>
          </w:p>
          <w:p w14:paraId="510D446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V2份额：销售费年化0.05%</w:t>
            </w:r>
          </w:p>
          <w:p w14:paraId="6502BCF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V3份额：销售费年化0.05%</w:t>
            </w:r>
          </w:p>
          <w:p w14:paraId="27A8B07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B5份额：销售费年化0.2%</w:t>
            </w:r>
          </w:p>
          <w:p w14:paraId="0733EC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C5份额：销售费年化0.15%</w:t>
            </w:r>
          </w:p>
          <w:p w14:paraId="1A18027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D5份额：销售费年化0.15%</w:t>
            </w:r>
          </w:p>
          <w:p w14:paraId="30EE5F8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E5份额：销售费年化0.05%</w:t>
            </w:r>
          </w:p>
          <w:p w14:paraId="44A66F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B6份额：销售费年化0.2%</w:t>
            </w:r>
          </w:p>
          <w:p w14:paraId="7642E0B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C6份额：销售费年化0.15%</w:t>
            </w:r>
          </w:p>
          <w:p w14:paraId="4A109F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D6份额：销售费年化0.15%</w:t>
            </w:r>
          </w:p>
          <w:p w14:paraId="54C3A15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E6份额：销售费年化0.05%</w:t>
            </w:r>
          </w:p>
          <w:p w14:paraId="3E72F7F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B7份额：销售费年化0.2%</w:t>
            </w:r>
          </w:p>
          <w:p w14:paraId="3C6E3F8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C7份额：销售费年化0.15%</w:t>
            </w:r>
          </w:p>
          <w:p w14:paraId="48E8BAB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D7份额：销售费年化0.15%</w:t>
            </w:r>
          </w:p>
          <w:p w14:paraId="7464CB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E7份额：销售费年化0.05%</w:t>
            </w:r>
          </w:p>
          <w:p w14:paraId="38EBCD1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每日计提的销售费=前一日理财产品资产净值×年化销售费率÷365</w:t>
            </w:r>
          </w:p>
          <w:p w14:paraId="591E12C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固定管理费：本理财产品按前一日理财产品资产净值收取固定管理费，按日计提。</w:t>
            </w:r>
          </w:p>
          <w:p w14:paraId="1DE55DA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A份额：固定管理费年化0.2%</w:t>
            </w:r>
          </w:p>
          <w:p w14:paraId="4126EFA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F份额：固定管理费年化0.15%</w:t>
            </w:r>
          </w:p>
          <w:p w14:paraId="2A64CC5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A2份额：固定管理费年化0.2%</w:t>
            </w:r>
          </w:p>
          <w:p w14:paraId="5E8C3F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A3份额：固定管理费年化0.2%</w:t>
            </w:r>
          </w:p>
          <w:p w14:paraId="25108D3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A4份额：固定管理费年化0.2%</w:t>
            </w:r>
          </w:p>
          <w:p w14:paraId="4BCB240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F2份额：固定管理费年化0.15%</w:t>
            </w:r>
          </w:p>
          <w:p w14:paraId="4EEC450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F3份额：固定管理费年化0.15%</w:t>
            </w:r>
          </w:p>
          <w:p w14:paraId="3098EE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G2份额：固定管理费年化0.15%</w:t>
            </w:r>
          </w:p>
          <w:p w14:paraId="72176F4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G3份额：固定管理费年化0.15%</w:t>
            </w:r>
          </w:p>
          <w:p w14:paraId="704AA47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F4份额：固定管理费年化0.15%</w:t>
            </w:r>
          </w:p>
          <w:p w14:paraId="6C8364D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I2份额：固定管理费年化0.15%</w:t>
            </w:r>
          </w:p>
          <w:p w14:paraId="6832362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J2份额：固定管理费年化0.1%</w:t>
            </w:r>
          </w:p>
          <w:p w14:paraId="0847295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L2份额：固定管理费年化0.1%</w:t>
            </w:r>
          </w:p>
          <w:p w14:paraId="7B2C104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J3份额：固定管理费年化0.1%</w:t>
            </w:r>
          </w:p>
          <w:p w14:paraId="0CB9430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L3份额：固定管理费年化0.1%</w:t>
            </w:r>
          </w:p>
          <w:p w14:paraId="70D089C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I3份额：固定管理费年化0.15%</w:t>
            </w:r>
          </w:p>
          <w:p w14:paraId="4E12292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I4份额：固定管理费年化0.15%</w:t>
            </w:r>
          </w:p>
          <w:p w14:paraId="6DB4ED4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M2份额：固定管理费年化0.2%</w:t>
            </w:r>
          </w:p>
          <w:p w14:paraId="6DFF159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M3份额：固定管理费年化0.2%</w:t>
            </w:r>
          </w:p>
          <w:p w14:paraId="5CCB1FA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O2份额：固定管理费年化0.1%</w:t>
            </w:r>
          </w:p>
          <w:p w14:paraId="4159C3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O3份额：固定管理费年化0.1%</w:t>
            </w:r>
          </w:p>
          <w:p w14:paraId="2A01CFB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Q1份额：固定管理费年化0.2%</w:t>
            </w:r>
          </w:p>
          <w:p w14:paraId="29CF497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R1份额：固定管理费年化0.15%</w:t>
            </w:r>
          </w:p>
          <w:p w14:paraId="038474C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Q2份额：固定管理费年化0.2%</w:t>
            </w:r>
          </w:p>
          <w:p w14:paraId="653FD5F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R2份额：固定管理费年化0.15%</w:t>
            </w:r>
          </w:p>
          <w:p w14:paraId="0EF8DD9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Q3份额：固定管理费年化0.2%</w:t>
            </w:r>
          </w:p>
          <w:p w14:paraId="391EAA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R3份额：固定管理费年化0.15%</w:t>
            </w:r>
          </w:p>
          <w:p w14:paraId="176FE17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G1份额：固定管理费年化0.15%</w:t>
            </w:r>
          </w:p>
          <w:p w14:paraId="119FF31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I1份额：固定管理费年化0.15%</w:t>
            </w:r>
          </w:p>
          <w:p w14:paraId="23145AB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J1份额：固定管理费年化0.1%</w:t>
            </w:r>
          </w:p>
          <w:p w14:paraId="0D43601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L1份额：固定管理费年化0.1%</w:t>
            </w:r>
          </w:p>
          <w:p w14:paraId="6F0DE5F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M1份额：固定管理费年化0.2%</w:t>
            </w:r>
          </w:p>
          <w:p w14:paraId="2735D06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N1份额：固定管理费年化0.1%</w:t>
            </w:r>
          </w:p>
          <w:p w14:paraId="45D0C55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O1份额：固定管理费年化0.1%</w:t>
            </w:r>
          </w:p>
          <w:p w14:paraId="1AC192C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S1份额：固定管理费年化0.15%</w:t>
            </w:r>
          </w:p>
          <w:p w14:paraId="6989F11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S2份额：固定管理费年化0.15%</w:t>
            </w:r>
          </w:p>
          <w:p w14:paraId="126E915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S3份额：固定管理费年化0.15%</w:t>
            </w:r>
          </w:p>
          <w:p w14:paraId="3196749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T1份额：固定管理费年化0.15%</w:t>
            </w:r>
          </w:p>
          <w:p w14:paraId="47B564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T2份额：固定管理费年化0.15%</w:t>
            </w:r>
          </w:p>
          <w:p w14:paraId="6B30559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T3份额：固定管理费年化0.15%</w:t>
            </w:r>
          </w:p>
          <w:p w14:paraId="7EE0029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V1份额：固定管理费年化0.1%</w:t>
            </w:r>
          </w:p>
          <w:p w14:paraId="39D1CE6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V2份额：固定管理费年化0.1%</w:t>
            </w:r>
          </w:p>
          <w:p w14:paraId="22066E9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V3份额：固定管理费年化0.1%</w:t>
            </w:r>
          </w:p>
          <w:p w14:paraId="5AB6810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B5份额：固定管理费年化0.2%</w:t>
            </w:r>
          </w:p>
          <w:p w14:paraId="59D0546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C5份额：固定管理费年化0.2%</w:t>
            </w:r>
          </w:p>
          <w:p w14:paraId="2EF1D0B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D5份额：固定管理费年化0.15%</w:t>
            </w:r>
          </w:p>
          <w:p w14:paraId="2934FF1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E5份额：固定管理费年化0.15%</w:t>
            </w:r>
          </w:p>
          <w:p w14:paraId="1F34008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B6份额：固定管理费年化0.2%</w:t>
            </w:r>
          </w:p>
          <w:p w14:paraId="3888566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C6份额：固定管理费年化0.2%</w:t>
            </w:r>
          </w:p>
          <w:p w14:paraId="20D7417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D6份额：固定管理费年化0.15%</w:t>
            </w:r>
          </w:p>
          <w:p w14:paraId="23D32C0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E6份额：固定管理费年化0.15%</w:t>
            </w:r>
          </w:p>
          <w:p w14:paraId="1DADF4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B7份额：固定管理费年化0.2%</w:t>
            </w:r>
          </w:p>
          <w:p w14:paraId="007DA08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C7份额：固定管理费年化0.2%</w:t>
            </w:r>
          </w:p>
          <w:p w14:paraId="1BE97A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D7份额：固定管理费年化0.15%</w:t>
            </w:r>
          </w:p>
          <w:p w14:paraId="32005B3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E7份额：固定管理费年化0.15%</w:t>
            </w:r>
          </w:p>
          <w:p w14:paraId="493E26C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每日计提的固定管理费=前一日理财产品资产净值×年化固定管理费率÷365</w:t>
            </w:r>
          </w:p>
          <w:p w14:paraId="29C28C1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托管费：</w:t>
            </w:r>
          </w:p>
          <w:p w14:paraId="6ECE72B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F份额，A2份额，A3份额，A4份额，F2份额，F3份额，G2份额，G3份额，F4份额，I2份额，J2份额，L2份额，J3份额，L3份额，I3份额，I4份额，M2份额，M3份额，O2份额，O3份额，Q1份额，R1份额，Q2份额，R2份额，Q3份额，R3份额，G1份额，I1份额，J1份额，L1份额，M1份额，N1份额，O1份额，S1份额，S2份额，S3份额，T1份额，T2份额，T3份额，V1份额，V2份额，V3份额，B5份额，C5份额，D5份额，E5份额，B6份额，C6份额，D6份额，E6份额，B7份额，C7份额，D7份额，E7份额：</w:t>
            </w:r>
          </w:p>
          <w:p w14:paraId="1CECF00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本理财产品按前一日理财产品资产净值收取年化0.02%的托管费，按日计提。</w:t>
            </w:r>
          </w:p>
          <w:p w14:paraId="15AC266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每日计提的托管费=前一日理财产品资产净值×年化托管费率÷365</w:t>
            </w:r>
          </w:p>
          <w:p w14:paraId="18C38EC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业绩报酬：</w:t>
            </w:r>
          </w:p>
          <w:p w14:paraId="0518EFA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2DB7BF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A6F846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22C0A4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FA15F3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4239A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C7B788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DFA65D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51E90FC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AF72A6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7910A5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326B8A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0ACBA3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129C978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00BA964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54093D2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4030ED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077A6E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F0FE9D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D072CF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7737D4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ED6681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70C9AF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11FA565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3A2F53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1E327DC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C6101C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1392D0B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243CAC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6845F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074C37C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02C7452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CAF0EF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738FEFA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95AF84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4DE5D2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6D8E6D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00A6BF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2C59C7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C81C5D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541CD4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5B4AAE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664F1BA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V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1B5FF01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C6A3A8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15928AA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2A4E9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49D8E6D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6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A32A28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6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7203661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6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1A8C9B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6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5141E63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7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7105D8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7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5AEA542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7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AD76C6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7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0BCFA58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E79460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EF929D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注：1.根据财政部《资产管理产品相关会计处理规定》（财会〔2022〕14号）“将当期发生的管理人报酬计入当期损益”的相关规定，本理财产品将每日计提暂估的业绩报酬（如有）。</w:t>
            </w:r>
          </w:p>
          <w:p w14:paraId="76E0523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DEFC6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计算本区间业绩报酬的公式如下：</w:t>
            </w:r>
          </w:p>
          <w:p w14:paraId="32EAB51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A={B-C*D*(1+E*F/365)}*G。</w:t>
            </w:r>
          </w:p>
          <w:p w14:paraId="4D87F6C4">
            <w:pPr>
              <w:spacing w:line="200" w:lineRule="exact"/>
              <w:jc w:val="both"/>
              <w:rPr>
                <w:rFonts w:hint="eastAsia" w:ascii="方正黑体_GBK" w:hAnsi="方正黑体_GBK" w:eastAsia="方正黑体_GBK" w:cs="方正黑体_GBK"/>
                <w:b w:val="0"/>
                <w:bCs w:val="0"/>
                <w:color w:val="000000"/>
                <w:kern w:val="0"/>
                <w:sz w:val="18"/>
                <w:szCs w:val="18"/>
              </w:rPr>
            </w:pPr>
            <w:r>
              <w:rPr>
                <w:rFonts w:hint="eastAsia" w:ascii="方正黑体_GBK" w:hAnsi="方正黑体_GBK" w:eastAsia="方正黑体_GBK" w:cs="方正黑体_GBK"/>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bl>
    <w:p w14:paraId="0877399B">
      <w:pPr>
        <w:ind w:firstLine="420"/>
        <w:rPr>
          <w:rFonts w:hint="eastAsia" w:ascii="方正黑体_GBK" w:hAnsi="方正黑体_GBK" w:eastAsia="方正黑体_GBK" w:cs="方正黑体_GBK"/>
          <w:b w:val="0"/>
          <w:bCs w:val="0"/>
          <w:sz w:val="24"/>
        </w:rPr>
      </w:pPr>
      <w:r>
        <w:rPr>
          <w:rFonts w:hint="eastAsia" w:ascii="方正黑体_GBK" w:hAnsi="方正黑体_GBK" w:eastAsia="方正黑体_GBK" w:cs="方正黑体_GBK"/>
          <w:sz w:val="24"/>
          <w:szCs w:val="24"/>
        </w:rPr>
        <w:t>同时，本公司对理财产品销售文件进行了更新，更新后的理财产品销售文件详见</w:t>
      </w:r>
      <w:r>
        <w:rPr>
          <w:rFonts w:hint="eastAsia" w:ascii="方正黑体_GBK" w:hAnsi="方正黑体_GBK" w:eastAsia="方正黑体_GBK" w:cs="方正黑体_GBK"/>
          <w:sz w:val="24"/>
          <w:szCs w:val="24"/>
          <w:lang w:val="en-US" w:eastAsia="zh-CN"/>
        </w:rPr>
        <w:t>信息披露</w:t>
      </w:r>
      <w:r>
        <w:rPr>
          <w:rFonts w:hint="eastAsia" w:ascii="方正黑体_GBK" w:hAnsi="方正黑体_GBK" w:eastAsia="方正黑体_GBK" w:cs="方正黑体_GBK"/>
          <w:sz w:val="24"/>
          <w:szCs w:val="24"/>
        </w:rPr>
        <w:t>。</w:t>
      </w:r>
    </w:p>
    <w:p w14:paraId="52B32F43">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b/>
          <w:bCs/>
          <w:sz w:val="24"/>
        </w:rPr>
        <w:t>如您不同意上述调整，可于202</w:t>
      </w:r>
      <w:r>
        <w:rPr>
          <w:rFonts w:hint="eastAsia" w:ascii="方正黑体_GBK" w:hAnsi="方正黑体_GBK" w:eastAsia="方正黑体_GBK" w:cs="方正黑体_GBK"/>
          <w:b/>
          <w:bCs/>
          <w:sz w:val="24"/>
          <w:lang w:val="en-US" w:eastAsia="zh-CN"/>
        </w:rPr>
        <w:t>6</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6</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25</w:t>
      </w:r>
      <w:r>
        <w:rPr>
          <w:rFonts w:hint="eastAsia" w:ascii="方正黑体_GBK" w:hAnsi="方正黑体_GBK" w:eastAsia="方正黑体_GBK" w:cs="方正黑体_GBK"/>
          <w:b/>
          <w:bCs/>
          <w:sz w:val="24"/>
        </w:rPr>
        <w:t>日至202</w:t>
      </w:r>
      <w:r>
        <w:rPr>
          <w:rFonts w:hint="eastAsia" w:ascii="方正黑体_GBK" w:hAnsi="方正黑体_GBK" w:eastAsia="方正黑体_GBK" w:cs="方正黑体_GBK"/>
          <w:b/>
          <w:bCs/>
          <w:sz w:val="24"/>
          <w:lang w:val="en-US" w:eastAsia="zh-CN"/>
        </w:rPr>
        <w:t>6</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7</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1</w:t>
      </w:r>
      <w:r>
        <w:rPr>
          <w:rFonts w:hint="eastAsia" w:ascii="方正黑体_GBK" w:hAnsi="方正黑体_GBK" w:eastAsia="方正黑体_GBK" w:cs="方正黑体_GBK"/>
          <w:b/>
          <w:bCs/>
          <w:sz w:val="24"/>
        </w:rPr>
        <w:t>日（产品申购/赎回开放期期间）通过</w:t>
      </w:r>
      <w:r>
        <w:rPr>
          <w:rFonts w:hint="eastAsia" w:ascii="方正黑体_GBK" w:hAnsi="方正黑体_GBK" w:eastAsia="方正黑体_GBK" w:cs="方正黑体_GBK"/>
          <w:b/>
          <w:bCs/>
          <w:sz w:val="24"/>
          <w:lang w:eastAsia="zh-CN"/>
        </w:rPr>
        <w:t>销售</w:t>
      </w:r>
      <w:r>
        <w:rPr>
          <w:rFonts w:hint="eastAsia" w:ascii="方正黑体_GBK" w:hAnsi="方正黑体_GBK" w:eastAsia="方正黑体_GBK" w:cs="方正黑体_GBK"/>
          <w:b/>
          <w:bCs/>
          <w:sz w:val="24"/>
        </w:rPr>
        <w:t>机构向管理人申请赎回。</w:t>
      </w:r>
    </w:p>
    <w:p w14:paraId="7E9B357D">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如您对本公告有任何疑问，可联系本理财产品</w:t>
      </w:r>
      <w:r>
        <w:rPr>
          <w:rFonts w:hint="eastAsia" w:ascii="方正黑体_GBK" w:hAnsi="方正黑体_GBK" w:eastAsia="方正黑体_GBK" w:cs="方正黑体_GBK"/>
          <w:sz w:val="24"/>
          <w:lang w:eastAsia="zh-CN"/>
        </w:rPr>
        <w:t>销售</w:t>
      </w:r>
      <w:r>
        <w:rPr>
          <w:rFonts w:hint="eastAsia" w:ascii="方正黑体_GBK" w:hAnsi="方正黑体_GBK" w:eastAsia="方正黑体_GBK" w:cs="方正黑体_GBK"/>
          <w:sz w:val="24"/>
        </w:rPr>
        <w:t>机构或本公司，</w:t>
      </w:r>
      <w:r>
        <w:rPr>
          <w:rFonts w:hint="eastAsia" w:ascii="方正黑体_GBK" w:hAnsi="方正黑体_GBK" w:eastAsia="方正黑体_GBK" w:cs="方正黑体_GBK"/>
          <w:sz w:val="24"/>
          <w:lang w:eastAsia="zh-CN"/>
        </w:rPr>
        <w:t>我们</w:t>
      </w:r>
      <w:r>
        <w:rPr>
          <w:rFonts w:hint="eastAsia" w:ascii="方正黑体_GBK" w:hAnsi="方正黑体_GBK" w:eastAsia="方正黑体_GBK" w:cs="方正黑体_GBK"/>
          <w:sz w:val="24"/>
        </w:rPr>
        <w:t>将竭诚为您服务。</w:t>
      </w:r>
    </w:p>
    <w:p w14:paraId="538FC461">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感谢您一直以来的支持与信赖！</w:t>
      </w:r>
    </w:p>
    <w:p w14:paraId="0A0A2535">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08DBD7D4">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6332D896">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18</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716EE2"/>
    <w:rsid w:val="007A3BC2"/>
    <w:rsid w:val="007C15E8"/>
    <w:rsid w:val="00815684"/>
    <w:rsid w:val="00817A74"/>
    <w:rsid w:val="008255F5"/>
    <w:rsid w:val="0084156F"/>
    <w:rsid w:val="00914515"/>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35B6E9D"/>
    <w:rsid w:val="03CC00C8"/>
    <w:rsid w:val="052D1748"/>
    <w:rsid w:val="05482502"/>
    <w:rsid w:val="06424EFE"/>
    <w:rsid w:val="065344DE"/>
    <w:rsid w:val="06BC02D5"/>
    <w:rsid w:val="08495703"/>
    <w:rsid w:val="09511669"/>
    <w:rsid w:val="09815806"/>
    <w:rsid w:val="0A1151B4"/>
    <w:rsid w:val="0B4F505C"/>
    <w:rsid w:val="0D244E26"/>
    <w:rsid w:val="0D7A17E2"/>
    <w:rsid w:val="0D8B2109"/>
    <w:rsid w:val="0E8D7052"/>
    <w:rsid w:val="0F5F257E"/>
    <w:rsid w:val="0F7365E1"/>
    <w:rsid w:val="11185866"/>
    <w:rsid w:val="11195352"/>
    <w:rsid w:val="11225CBB"/>
    <w:rsid w:val="12C644CE"/>
    <w:rsid w:val="12ED368B"/>
    <w:rsid w:val="12FA4589"/>
    <w:rsid w:val="14400082"/>
    <w:rsid w:val="14B956E3"/>
    <w:rsid w:val="14DF3057"/>
    <w:rsid w:val="151D2EB9"/>
    <w:rsid w:val="156E6238"/>
    <w:rsid w:val="16AD23B3"/>
    <w:rsid w:val="185B0B3B"/>
    <w:rsid w:val="18813447"/>
    <w:rsid w:val="18B828C6"/>
    <w:rsid w:val="1B2672F4"/>
    <w:rsid w:val="1C9E0F0F"/>
    <w:rsid w:val="1CE329C9"/>
    <w:rsid w:val="1FA55D69"/>
    <w:rsid w:val="20390790"/>
    <w:rsid w:val="2077191A"/>
    <w:rsid w:val="217660FF"/>
    <w:rsid w:val="22155872"/>
    <w:rsid w:val="237C6A67"/>
    <w:rsid w:val="239E214F"/>
    <w:rsid w:val="23BD7B4B"/>
    <w:rsid w:val="244D5031"/>
    <w:rsid w:val="26404A45"/>
    <w:rsid w:val="269D79D3"/>
    <w:rsid w:val="288A56D2"/>
    <w:rsid w:val="294A50A1"/>
    <w:rsid w:val="29E7369B"/>
    <w:rsid w:val="2AF819D9"/>
    <w:rsid w:val="2B0943F8"/>
    <w:rsid w:val="2B2C5E79"/>
    <w:rsid w:val="2BC35330"/>
    <w:rsid w:val="2CE37ABA"/>
    <w:rsid w:val="2E7472D1"/>
    <w:rsid w:val="2F394997"/>
    <w:rsid w:val="307B1078"/>
    <w:rsid w:val="30C50F92"/>
    <w:rsid w:val="3213175B"/>
    <w:rsid w:val="342C5ABD"/>
    <w:rsid w:val="360F7DFC"/>
    <w:rsid w:val="363E586D"/>
    <w:rsid w:val="37726E1F"/>
    <w:rsid w:val="395A49DF"/>
    <w:rsid w:val="39B1266A"/>
    <w:rsid w:val="3A2B2EAE"/>
    <w:rsid w:val="3AFF6A34"/>
    <w:rsid w:val="3B276116"/>
    <w:rsid w:val="3C281CA8"/>
    <w:rsid w:val="3C5D1AF8"/>
    <w:rsid w:val="3CB52A9E"/>
    <w:rsid w:val="3D7967DF"/>
    <w:rsid w:val="3F0E0C7B"/>
    <w:rsid w:val="3F1D378B"/>
    <w:rsid w:val="405A1CAC"/>
    <w:rsid w:val="4069216E"/>
    <w:rsid w:val="40B97058"/>
    <w:rsid w:val="40DA6E4C"/>
    <w:rsid w:val="410C0110"/>
    <w:rsid w:val="438E2EF2"/>
    <w:rsid w:val="44511A9E"/>
    <w:rsid w:val="445913F0"/>
    <w:rsid w:val="452D6470"/>
    <w:rsid w:val="4552760B"/>
    <w:rsid w:val="465855EA"/>
    <w:rsid w:val="466900D1"/>
    <w:rsid w:val="46BD5FFF"/>
    <w:rsid w:val="46F53F15"/>
    <w:rsid w:val="491164B3"/>
    <w:rsid w:val="4A1A0AFD"/>
    <w:rsid w:val="4A424182"/>
    <w:rsid w:val="4ACD4267"/>
    <w:rsid w:val="4AE6615C"/>
    <w:rsid w:val="4B226EFD"/>
    <w:rsid w:val="4B385C6F"/>
    <w:rsid w:val="4C11776F"/>
    <w:rsid w:val="4D4D5B4E"/>
    <w:rsid w:val="4E15569D"/>
    <w:rsid w:val="4F0673A2"/>
    <w:rsid w:val="514800FA"/>
    <w:rsid w:val="527033B8"/>
    <w:rsid w:val="531D1627"/>
    <w:rsid w:val="53430A03"/>
    <w:rsid w:val="5667625B"/>
    <w:rsid w:val="56AF6ADB"/>
    <w:rsid w:val="58FF407B"/>
    <w:rsid w:val="5A0B433F"/>
    <w:rsid w:val="5B063EB2"/>
    <w:rsid w:val="5B1E7D3C"/>
    <w:rsid w:val="5BB35481"/>
    <w:rsid w:val="5CA644DC"/>
    <w:rsid w:val="5D107103"/>
    <w:rsid w:val="5D2D762B"/>
    <w:rsid w:val="5D7A33E9"/>
    <w:rsid w:val="5DAA7FFC"/>
    <w:rsid w:val="5DFB460D"/>
    <w:rsid w:val="5E575A76"/>
    <w:rsid w:val="5E791A8D"/>
    <w:rsid w:val="5F225754"/>
    <w:rsid w:val="611F7D37"/>
    <w:rsid w:val="61655731"/>
    <w:rsid w:val="62213976"/>
    <w:rsid w:val="63105721"/>
    <w:rsid w:val="63A05FEA"/>
    <w:rsid w:val="640A4AB4"/>
    <w:rsid w:val="64C913FB"/>
    <w:rsid w:val="66B95B6F"/>
    <w:rsid w:val="66F86621"/>
    <w:rsid w:val="69B93A27"/>
    <w:rsid w:val="69E06836"/>
    <w:rsid w:val="6B4060BF"/>
    <w:rsid w:val="6B7658B3"/>
    <w:rsid w:val="6BCB670E"/>
    <w:rsid w:val="6BF07522"/>
    <w:rsid w:val="6C055395"/>
    <w:rsid w:val="6CB121FC"/>
    <w:rsid w:val="6DF224AA"/>
    <w:rsid w:val="6F2C6FDD"/>
    <w:rsid w:val="6F4D4C8B"/>
    <w:rsid w:val="6FE11AF9"/>
    <w:rsid w:val="712D3F3C"/>
    <w:rsid w:val="718C1A9B"/>
    <w:rsid w:val="727E02EB"/>
    <w:rsid w:val="731F6ED7"/>
    <w:rsid w:val="73D74382"/>
    <w:rsid w:val="73FD3121"/>
    <w:rsid w:val="746460B5"/>
    <w:rsid w:val="746E50FE"/>
    <w:rsid w:val="75231B84"/>
    <w:rsid w:val="759538FB"/>
    <w:rsid w:val="771542E1"/>
    <w:rsid w:val="774150D6"/>
    <w:rsid w:val="774955FA"/>
    <w:rsid w:val="776E7761"/>
    <w:rsid w:val="786100F9"/>
    <w:rsid w:val="79147CC5"/>
    <w:rsid w:val="79E731AE"/>
    <w:rsid w:val="7AAB2866"/>
    <w:rsid w:val="7B1B79EC"/>
    <w:rsid w:val="7B664A27"/>
    <w:rsid w:val="7C58393C"/>
    <w:rsid w:val="7C916D1B"/>
    <w:rsid w:val="7CF14EA8"/>
    <w:rsid w:val="7D1F2D8B"/>
    <w:rsid w:val="7E7323DB"/>
    <w:rsid w:val="7ECE1F2B"/>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5">
    <w:name w:val="Default Paragraph Font6d66efa16d66efa1"/>
    <w:basedOn w:val="9"/>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5354</Words>
  <Characters>5638</Characters>
  <Lines>16</Lines>
  <Paragraphs>4</Paragraphs>
  <TotalTime>2</TotalTime>
  <ScaleCrop>false</ScaleCrop>
  <LinksUpToDate>false</LinksUpToDate>
  <CharactersWithSpaces>5648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2026-06-18T03:30:51Z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