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07D3" w:rsidRDefault="00AB672A">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9007D3" w:rsidRDefault="00AB672A">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9007D3" w:rsidRDefault="00AB672A">
      <w:pPr>
        <w:widowControl/>
        <w:spacing w:line="200" w:lineRule="exact"/>
        <w:ind w:firstLineChars="200" w:firstLine="260"/>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定期开放式、固定收益类、公募、净值型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9007D3" w:rsidRDefault="00AB672A">
      <w:pPr>
        <w:widowControl/>
        <w:spacing w:line="200" w:lineRule="exact"/>
        <w:ind w:firstLineChars="200" w:firstLine="260"/>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9007D3" w:rsidRDefault="00AB672A">
      <w:pPr>
        <w:widowControl/>
        <w:spacing w:line="200" w:lineRule="exact"/>
        <w:ind w:firstLineChars="200" w:firstLine="260"/>
        <w:rPr>
          <w:color w:val="3D3D3D"/>
          <w:kern w:val="0"/>
          <w:sz w:val="13"/>
          <w:szCs w:val="13"/>
        </w:rPr>
      </w:pPr>
      <w:r>
        <w:rPr>
          <w:rFonts w:hint="eastAsia"/>
          <w:b/>
          <w:color w:val="3D3D3D"/>
          <w:kern w:val="0"/>
          <w:sz w:val="13"/>
          <w:szCs w:val="13"/>
        </w:rPr>
        <w:t>本风险揭示书列示的风险指理财产品项下可能涉及的风险，包括但不限于：</w:t>
      </w:r>
    </w:p>
    <w:p w:rsidR="009007D3" w:rsidRDefault="00AB672A">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9007D3" w:rsidRDefault="00AB672A">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9007D3" w:rsidRDefault="00AB672A">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9007D3" w:rsidRDefault="00AB672A">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9007D3" w:rsidRDefault="00AB672A">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9007D3" w:rsidRDefault="00AB672A">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9007D3" w:rsidRDefault="00AB672A">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9007D3" w:rsidRDefault="00AB672A">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9007D3" w:rsidRDefault="00AB672A">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9007D3" w:rsidRDefault="00AB672A">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9007D3" w:rsidRDefault="00AB672A">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9007D3" w:rsidRDefault="00AB672A">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9007D3" w:rsidRDefault="00AB672A">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9007D3" w:rsidRDefault="00AB672A">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9007D3" w:rsidRDefault="00AB672A">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9007D3" w:rsidRDefault="00AB672A">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9007D3" w:rsidRDefault="00AB672A">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9007D3" w:rsidRDefault="00AB672A">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9007D3" w:rsidRDefault="00AB672A">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9007D3" w:rsidRDefault="00AB672A">
      <w:pPr>
        <w:widowControl/>
        <w:spacing w:line="200" w:lineRule="exact"/>
        <w:ind w:firstLine="260"/>
        <w:rPr>
          <w:color w:val="3D3D3D"/>
          <w:kern w:val="0"/>
          <w:sz w:val="13"/>
          <w:szCs w:val="13"/>
        </w:rPr>
      </w:pPr>
      <w:r>
        <w:rPr>
          <w:rFonts w:hint="eastAsia"/>
          <w:color w:val="3D3D3D"/>
          <w:kern w:val="0"/>
          <w:sz w:val="13"/>
          <w:szCs w:val="13"/>
        </w:rPr>
        <w:lastRenderedPageBreak/>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9007D3" w:rsidRDefault="00AB672A">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9007D3" w:rsidRDefault="00AB672A">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9007D3" w:rsidRDefault="00AB672A">
      <w:pPr>
        <w:pStyle w:val="Normaled5ec735"/>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9007D3" w:rsidRDefault="00AB672A">
      <w:pPr>
        <w:spacing w:line="200" w:lineRule="exact"/>
      </w:pPr>
      <w:r>
        <w:rPr>
          <w:rFonts w:cs="宋体"/>
          <w:b/>
          <w:sz w:val="13"/>
          <w:szCs w:val="20"/>
        </w:rPr>
        <w:t xml:space="preserve">    1.债券类资产投资风险</w:t>
      </w:r>
    </w:p>
    <w:p w:rsidR="009007D3" w:rsidRDefault="00AB672A">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9007D3" w:rsidRDefault="00AB672A">
      <w:pPr>
        <w:spacing w:line="200" w:lineRule="exact"/>
      </w:pPr>
      <w:r>
        <w:rPr>
          <w:rFonts w:cs="宋体"/>
          <w:b/>
          <w:sz w:val="13"/>
          <w:szCs w:val="20"/>
        </w:rPr>
        <w:t xml:space="preserve">    2.非标准化债权类资产投资风险</w:t>
      </w:r>
    </w:p>
    <w:p w:rsidR="009007D3" w:rsidRDefault="00AB672A">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9007D3" w:rsidRDefault="00AB672A">
      <w:pPr>
        <w:spacing w:line="200" w:lineRule="exact"/>
      </w:pPr>
      <w:r>
        <w:rPr>
          <w:rFonts w:cs="宋体"/>
          <w:b/>
          <w:sz w:val="13"/>
          <w:szCs w:val="20"/>
        </w:rPr>
        <w:t xml:space="preserve">    3.资产管理产品投资风险</w:t>
      </w:r>
    </w:p>
    <w:p w:rsidR="009007D3" w:rsidRDefault="00AB672A">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9007D3" w:rsidRDefault="00AB672A">
      <w:pPr>
        <w:pStyle w:val="Normaled5ec735"/>
        <w:widowControl/>
        <w:spacing w:line="200" w:lineRule="exact"/>
        <w:ind w:firstLine="260"/>
        <w:rPr>
          <w:b/>
          <w:bCs/>
          <w:color w:val="3D3D3D"/>
          <w:kern w:val="0"/>
          <w:sz w:val="13"/>
          <w:szCs w:val="13"/>
        </w:rPr>
      </w:pPr>
      <w:r>
        <w:rPr>
          <w:rFonts w:hint="eastAsia"/>
          <w:b/>
          <w:bCs/>
          <w:color w:val="3D3D3D"/>
          <w:kern w:val="0"/>
          <w:sz w:val="13"/>
          <w:szCs w:val="13"/>
        </w:rPr>
        <w:t>本理财产品类型：定期开放式、固定收益类、公募、净值型。</w:t>
      </w:r>
    </w:p>
    <w:p w:rsidR="009007D3" w:rsidRDefault="00AB672A">
      <w:pPr>
        <w:pStyle w:val="Normaled5ec735"/>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10年</w:t>
      </w:r>
      <w:r>
        <w:rPr>
          <w:rFonts w:hint="eastAsia"/>
          <w:b/>
          <w:color w:val="3D3D3D"/>
          <w:kern w:val="0"/>
          <w:sz w:val="13"/>
          <w:szCs w:val="13"/>
        </w:rPr>
        <w:t>（若本理财产品被提前终止或延期终止，以实际到期日计算持有天数）。</w:t>
      </w:r>
    </w:p>
    <w:p w:rsidR="009007D3" w:rsidRDefault="00AB672A">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9007D3" w:rsidRDefault="00AB672A">
      <w:pPr>
        <w:pStyle w:val="annotationtext23"/>
        <w:spacing w:line="200" w:lineRule="exact"/>
        <w:ind w:firstLineChars="200" w:firstLine="260"/>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9007D3" w:rsidRDefault="00AB672A">
      <w:pPr>
        <w:pStyle w:val="Normaled5ec735"/>
        <w:widowControl/>
        <w:spacing w:line="200" w:lineRule="exact"/>
        <w:ind w:firstLineChars="200" w:firstLine="260"/>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符合相关法律法规、监管规定要求的合格投资者，并经销售机构的风险承受能力评估体系评定为适合的个人和机构投资者。</w:t>
      </w:r>
    </w:p>
    <w:p w:rsidR="009007D3" w:rsidRDefault="00AB672A">
      <w:pPr>
        <w:pStyle w:val="Normaled5ec735"/>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9007D3" w:rsidRDefault="00AB672A">
      <w:pPr>
        <w:pStyle w:val="Normaled5ec735"/>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9007D3" w:rsidRDefault="00AB672A">
      <w:pPr>
        <w:pStyle w:val="Normaled5ec735"/>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9007D3" w:rsidRDefault="009007D3">
      <w:pPr>
        <w:pStyle w:val="Normaled5ec735"/>
        <w:widowControl/>
        <w:spacing w:line="200" w:lineRule="exact"/>
        <w:ind w:firstLine="260"/>
        <w:rPr>
          <w:b/>
          <w:color w:val="3D3D3D"/>
          <w:kern w:val="0"/>
          <w:sz w:val="13"/>
          <w:szCs w:val="13"/>
        </w:rPr>
      </w:pPr>
    </w:p>
    <w:p w:rsidR="009007D3" w:rsidRDefault="00AB672A">
      <w:pPr>
        <w:pStyle w:val="Normaled5ec735"/>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9007D3" w:rsidRDefault="009007D3">
      <w:pPr>
        <w:pStyle w:val="Normaled5ec735"/>
        <w:widowControl/>
        <w:spacing w:line="200" w:lineRule="exact"/>
        <w:ind w:firstLine="260"/>
        <w:jc w:val="center"/>
        <w:rPr>
          <w:b/>
          <w:color w:val="3D3D3D"/>
          <w:kern w:val="0"/>
          <w:sz w:val="15"/>
          <w:szCs w:val="15"/>
          <w:u w:val="single"/>
        </w:rPr>
      </w:pPr>
    </w:p>
    <w:p w:rsidR="009007D3" w:rsidRDefault="00AB672A">
      <w:pPr>
        <w:pStyle w:val="Normaled5ec735"/>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9007D3" w:rsidRDefault="00AB672A">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9007D3" w:rsidRDefault="00AB672A">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9007D3" w:rsidRDefault="00AB672A">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9007D3" w:rsidRDefault="00AB672A">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9007D3" w:rsidRDefault="00AB672A">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9007D3" w:rsidRDefault="00AB672A">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9007D3" w:rsidRDefault="00AB672A">
      <w:pPr>
        <w:widowControl/>
        <w:spacing w:line="200" w:lineRule="exact"/>
        <w:ind w:firstLine="420"/>
        <w:rPr>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w:t>
      </w:r>
      <w:r>
        <w:rPr>
          <w:rFonts w:hint="eastAsia"/>
          <w:b/>
          <w:color w:val="3D3D3D"/>
          <w:kern w:val="0"/>
          <w:sz w:val="15"/>
          <w:szCs w:val="15"/>
          <w:u w:val="single"/>
        </w:rPr>
        <w:lastRenderedPageBreak/>
        <w:t>和销售机构在理财产品销售文件之外的任何陈述、说明、文件或承诺，南银理财和销售机构的义务和责任以理财产品销售文件明确记载的书面内容为准。</w:t>
      </w:r>
    </w:p>
    <w:p w:rsidR="009007D3" w:rsidRDefault="00AB672A">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9007D3" w:rsidRDefault="00AB672A">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9007D3" w:rsidRDefault="00AB672A">
      <w:pPr>
        <w:widowControl/>
        <w:spacing w:line="200" w:lineRule="exact"/>
        <w:ind w:firstLine="210"/>
        <w:rPr>
          <w:color w:val="3D3D3D"/>
          <w:kern w:val="0"/>
          <w:sz w:val="15"/>
          <w:szCs w:val="15"/>
        </w:rPr>
      </w:pPr>
      <w:r>
        <w:rPr>
          <w:rFonts w:hint="eastAsia"/>
          <w:color w:val="3D3D3D"/>
          <w:kern w:val="0"/>
          <w:sz w:val="15"/>
          <w:szCs w:val="15"/>
        </w:rPr>
        <w:t xml:space="preserve">         </w:t>
      </w:r>
    </w:p>
    <w:p w:rsidR="009007D3" w:rsidRDefault="009007D3">
      <w:pPr>
        <w:widowControl/>
        <w:spacing w:line="200" w:lineRule="exact"/>
        <w:ind w:firstLine="210"/>
        <w:rPr>
          <w:color w:val="3D3D3D"/>
          <w:kern w:val="0"/>
          <w:sz w:val="15"/>
          <w:szCs w:val="15"/>
        </w:rPr>
      </w:pPr>
    </w:p>
    <w:p w:rsidR="009007D3" w:rsidRDefault="00AB672A">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9007D3" w:rsidRDefault="009007D3">
      <w:pPr>
        <w:widowControl/>
        <w:spacing w:line="200" w:lineRule="exact"/>
        <w:ind w:firstLine="210"/>
        <w:rPr>
          <w:color w:val="3D3D3D"/>
          <w:kern w:val="0"/>
          <w:sz w:val="13"/>
          <w:szCs w:val="13"/>
        </w:rPr>
      </w:pPr>
    </w:p>
    <w:p w:rsidR="009007D3" w:rsidRDefault="009007D3">
      <w:pPr>
        <w:widowControl/>
        <w:spacing w:line="200" w:lineRule="exact"/>
        <w:ind w:firstLine="210"/>
        <w:jc w:val="left"/>
        <w:rPr>
          <w:color w:val="3D3D3D"/>
          <w:kern w:val="0"/>
          <w:sz w:val="13"/>
          <w:szCs w:val="13"/>
        </w:rPr>
      </w:pPr>
    </w:p>
    <w:p w:rsidR="009007D3" w:rsidRDefault="009007D3">
      <w:pPr>
        <w:widowControl/>
        <w:spacing w:line="200" w:lineRule="exact"/>
        <w:ind w:firstLine="210"/>
        <w:jc w:val="left"/>
        <w:rPr>
          <w:color w:val="3D3D3D"/>
          <w:kern w:val="0"/>
          <w:sz w:val="13"/>
          <w:szCs w:val="13"/>
        </w:rPr>
      </w:pPr>
    </w:p>
    <w:tbl>
      <w:tblPr>
        <w:tblW w:w="0" w:type="auto"/>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9007D3">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9007D3" w:rsidRDefault="00AB672A">
            <w:pPr>
              <w:widowControl/>
              <w:spacing w:line="400" w:lineRule="exact"/>
              <w:jc w:val="center"/>
              <w:rPr>
                <w:b/>
                <w:sz w:val="15"/>
                <w:szCs w:val="15"/>
              </w:rPr>
            </w:pPr>
            <w:r>
              <w:rPr>
                <w:rFonts w:hint="eastAsia"/>
                <w:b/>
                <w:sz w:val="15"/>
                <w:szCs w:val="15"/>
              </w:rPr>
              <w:t>个人投资者</w:t>
            </w:r>
          </w:p>
        </w:tc>
      </w:tr>
      <w:tr w:rsidR="009007D3">
        <w:tc>
          <w:tcPr>
            <w:tcW w:w="9287" w:type="dxa"/>
            <w:tcBorders>
              <w:top w:val="single" w:sz="4" w:space="0" w:color="auto"/>
              <w:left w:val="single" w:sz="4" w:space="0" w:color="auto"/>
              <w:bottom w:val="single" w:sz="4" w:space="0" w:color="auto"/>
              <w:right w:val="single" w:sz="4" w:space="0" w:color="auto"/>
              <w:tl2br w:val="nil"/>
              <w:tr2bl w:val="nil"/>
            </w:tcBorders>
          </w:tcPr>
          <w:p w:rsidR="009007D3" w:rsidRDefault="00AB672A">
            <w:pPr>
              <w:widowControl/>
              <w:spacing w:line="360" w:lineRule="auto"/>
              <w:rPr>
                <w:color w:val="3D3D3D"/>
                <w:kern w:val="0"/>
                <w:sz w:val="13"/>
                <w:szCs w:val="13"/>
              </w:rPr>
            </w:pPr>
            <w:r>
              <w:rPr>
                <w:rFonts w:hint="eastAsia"/>
                <w:sz w:val="15"/>
                <w:szCs w:val="15"/>
              </w:rPr>
              <w:t>签名：</w:t>
            </w:r>
          </w:p>
          <w:p w:rsidR="009007D3" w:rsidRDefault="00AB672A">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9007D3">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9007D3" w:rsidRDefault="00AB672A">
            <w:pPr>
              <w:widowControl/>
              <w:spacing w:line="400" w:lineRule="exact"/>
              <w:jc w:val="center"/>
              <w:rPr>
                <w:sz w:val="15"/>
                <w:szCs w:val="15"/>
              </w:rPr>
            </w:pPr>
            <w:r>
              <w:rPr>
                <w:rFonts w:hint="eastAsia"/>
                <w:b/>
                <w:bCs/>
                <w:color w:val="3D3D3D"/>
                <w:kern w:val="0"/>
                <w:sz w:val="15"/>
                <w:szCs w:val="15"/>
              </w:rPr>
              <w:t>机构投资者</w:t>
            </w:r>
          </w:p>
        </w:tc>
      </w:tr>
      <w:tr w:rsidR="009007D3">
        <w:tc>
          <w:tcPr>
            <w:tcW w:w="9287" w:type="dxa"/>
            <w:tcBorders>
              <w:top w:val="single" w:sz="4" w:space="0" w:color="auto"/>
              <w:left w:val="single" w:sz="4" w:space="0" w:color="auto"/>
              <w:bottom w:val="single" w:sz="4" w:space="0" w:color="auto"/>
              <w:right w:val="single" w:sz="4" w:space="0" w:color="auto"/>
              <w:tl2br w:val="nil"/>
              <w:tr2bl w:val="nil"/>
            </w:tcBorders>
          </w:tcPr>
          <w:p w:rsidR="009007D3" w:rsidRDefault="009007D3">
            <w:pPr>
              <w:widowControl/>
              <w:spacing w:line="200" w:lineRule="exact"/>
              <w:jc w:val="left"/>
              <w:rPr>
                <w:b/>
                <w:bCs/>
                <w:color w:val="3D3D3D"/>
                <w:kern w:val="0"/>
                <w:sz w:val="15"/>
                <w:szCs w:val="15"/>
              </w:rPr>
            </w:pPr>
          </w:p>
          <w:p w:rsidR="009007D3" w:rsidRDefault="00AB672A">
            <w:pPr>
              <w:widowControl/>
              <w:spacing w:line="200" w:lineRule="exact"/>
              <w:jc w:val="left"/>
              <w:rPr>
                <w:b/>
                <w:bCs/>
                <w:color w:val="3D3D3D"/>
                <w:kern w:val="0"/>
                <w:sz w:val="15"/>
                <w:szCs w:val="15"/>
              </w:rPr>
            </w:pPr>
            <w:r>
              <w:rPr>
                <w:rFonts w:hint="eastAsia"/>
                <w:b/>
                <w:bCs/>
                <w:color w:val="3D3D3D"/>
                <w:kern w:val="0"/>
                <w:sz w:val="15"/>
                <w:szCs w:val="15"/>
              </w:rPr>
              <w:t>盖章（公章）</w:t>
            </w:r>
          </w:p>
          <w:p w:rsidR="009007D3" w:rsidRDefault="009007D3">
            <w:pPr>
              <w:widowControl/>
              <w:spacing w:line="200" w:lineRule="exact"/>
              <w:jc w:val="left"/>
              <w:rPr>
                <w:b/>
                <w:bCs/>
                <w:color w:val="3D3D3D"/>
                <w:kern w:val="0"/>
                <w:sz w:val="15"/>
                <w:szCs w:val="15"/>
              </w:rPr>
            </w:pPr>
          </w:p>
          <w:p w:rsidR="009007D3" w:rsidRDefault="00AB672A">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9007D3" w:rsidRDefault="009007D3">
            <w:pPr>
              <w:widowControl/>
              <w:spacing w:line="200" w:lineRule="exact"/>
              <w:jc w:val="left"/>
              <w:rPr>
                <w:color w:val="3D3D3D"/>
                <w:kern w:val="0"/>
                <w:sz w:val="13"/>
                <w:szCs w:val="13"/>
              </w:rPr>
            </w:pPr>
          </w:p>
          <w:p w:rsidR="009007D3" w:rsidRDefault="00AB672A">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9007D3">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9007D3" w:rsidRDefault="00AB672A">
            <w:pPr>
              <w:widowControl/>
              <w:spacing w:line="400" w:lineRule="exact"/>
              <w:jc w:val="center"/>
              <w:rPr>
                <w:sz w:val="15"/>
                <w:szCs w:val="15"/>
              </w:rPr>
            </w:pPr>
            <w:r>
              <w:rPr>
                <w:rFonts w:hint="eastAsia"/>
                <w:b/>
                <w:bCs/>
                <w:sz w:val="15"/>
                <w:szCs w:val="15"/>
              </w:rPr>
              <w:t>电子渠道</w:t>
            </w:r>
          </w:p>
        </w:tc>
      </w:tr>
      <w:tr w:rsidR="009007D3">
        <w:tc>
          <w:tcPr>
            <w:tcW w:w="9287" w:type="dxa"/>
            <w:tcBorders>
              <w:top w:val="single" w:sz="4" w:space="0" w:color="auto"/>
              <w:left w:val="single" w:sz="4" w:space="0" w:color="auto"/>
              <w:bottom w:val="single" w:sz="4" w:space="0" w:color="auto"/>
              <w:right w:val="single" w:sz="4" w:space="0" w:color="auto"/>
              <w:tl2br w:val="nil"/>
              <w:tr2bl w:val="nil"/>
            </w:tcBorders>
          </w:tcPr>
          <w:p w:rsidR="009007D3" w:rsidRDefault="00AB672A">
            <w:pPr>
              <w:widowControl/>
              <w:spacing w:line="200" w:lineRule="exact"/>
              <w:ind w:firstLineChars="200" w:firstLine="300"/>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9007D3" w:rsidRDefault="009007D3" w:rsidP="00763A80"/>
    <w:sectPr w:rsidR="009007D3">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07D3" w:rsidRDefault="00AB672A">
      <w:r>
        <w:separator/>
      </w:r>
    </w:p>
  </w:endnote>
  <w:endnote w:type="continuationSeparator" w:id="0">
    <w:p w:rsidR="009007D3" w:rsidRDefault="00AB6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微软雅黑"/>
    <w:charset w:val="86"/>
    <w:family w:val="auto"/>
    <w:pitch w:val="default"/>
    <w:sig w:usb0="00000001" w:usb1="080E0000" w:usb2="00000000" w:usb3="00000000" w:csb0="0004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07D3" w:rsidRDefault="00AB672A">
      <w:r>
        <w:separator/>
      </w:r>
    </w:p>
  </w:footnote>
  <w:footnote w:type="continuationSeparator" w:id="0">
    <w:p w:rsidR="009007D3" w:rsidRDefault="00AB67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07D3" w:rsidRDefault="00AB672A">
    <w:pPr>
      <w:pStyle w:val="a4"/>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13A4B87"/>
    <w:multiLevelType w:val="multilevel"/>
    <w:tmpl w:val="813A4B87"/>
    <w:lvl w:ilvl="0">
      <w:start w:val="1"/>
      <w:numFmt w:val="japaneseCounting"/>
      <w:lvlText w:val="（%1）"/>
      <w:lvlJc w:val="left"/>
      <w:pPr>
        <w:tabs>
          <w:tab w:val="left" w:pos="0"/>
        </w:tabs>
        <w:ind w:left="1021" w:hanging="720"/>
      </w:pPr>
      <w:rPr>
        <w:rFonts w:ascii="方正黑体_GBK" w:eastAsia="方正黑体_GBK" w:hAnsi="方正黑体_GBK" w:hint="default"/>
      </w:rPr>
    </w:lvl>
    <w:lvl w:ilvl="1">
      <w:start w:val="1"/>
      <w:numFmt w:val="lowerLetter"/>
      <w:lvlText w:val="%2)"/>
      <w:lvlJc w:val="left"/>
      <w:pPr>
        <w:tabs>
          <w:tab w:val="left" w:pos="0"/>
        </w:tabs>
        <w:ind w:left="1141" w:hanging="420"/>
      </w:pPr>
      <w:rPr>
        <w:rFonts w:ascii="方正黑体_GBK" w:eastAsia="方正黑体_GBK" w:hAnsi="方正黑体_GBK" w:hint="default"/>
      </w:rPr>
    </w:lvl>
    <w:lvl w:ilvl="2">
      <w:start w:val="1"/>
      <w:numFmt w:val="decimal"/>
      <w:lvlText w:val="%3."/>
      <w:lvlJc w:val="right"/>
      <w:pPr>
        <w:tabs>
          <w:tab w:val="left" w:pos="0"/>
        </w:tabs>
        <w:ind w:left="1561" w:hanging="420"/>
      </w:pPr>
      <w:rPr>
        <w:rFonts w:ascii="方正黑体_GBK" w:eastAsia="方正黑体_GBK" w:hAnsi="方正黑体_GBK" w:hint="default"/>
      </w:rPr>
    </w:lvl>
    <w:lvl w:ilvl="3">
      <w:start w:val="1"/>
      <w:numFmt w:val="decimal"/>
      <w:lvlText w:val="%4."/>
      <w:lvlJc w:val="left"/>
      <w:pPr>
        <w:tabs>
          <w:tab w:val="left" w:pos="0"/>
        </w:tabs>
        <w:ind w:left="1981" w:hanging="420"/>
      </w:pPr>
      <w:rPr>
        <w:rFonts w:ascii="方正黑体_GBK" w:eastAsia="方正黑体_GBK" w:hAnsi="方正黑体_GBK" w:hint="default"/>
      </w:rPr>
    </w:lvl>
    <w:lvl w:ilvl="4">
      <w:start w:val="1"/>
      <w:numFmt w:val="lowerLetter"/>
      <w:lvlText w:val="%5)"/>
      <w:lvlJc w:val="left"/>
      <w:pPr>
        <w:tabs>
          <w:tab w:val="left" w:pos="0"/>
        </w:tabs>
        <w:ind w:left="2401" w:hanging="420"/>
      </w:pPr>
      <w:rPr>
        <w:rFonts w:ascii="方正黑体_GBK" w:eastAsia="方正黑体_GBK" w:hAnsi="方正黑体_GBK" w:hint="default"/>
      </w:rPr>
    </w:lvl>
    <w:lvl w:ilvl="5">
      <w:start w:val="1"/>
      <w:numFmt w:val="decimal"/>
      <w:lvlText w:val="%6."/>
      <w:lvlJc w:val="right"/>
      <w:pPr>
        <w:tabs>
          <w:tab w:val="left" w:pos="0"/>
        </w:tabs>
        <w:ind w:left="2821" w:hanging="420"/>
      </w:pPr>
      <w:rPr>
        <w:rFonts w:ascii="方正黑体_GBK" w:eastAsia="方正黑体_GBK" w:hAnsi="方正黑体_GBK" w:hint="default"/>
      </w:rPr>
    </w:lvl>
    <w:lvl w:ilvl="6">
      <w:start w:val="1"/>
      <w:numFmt w:val="decimal"/>
      <w:lvlText w:val="%7."/>
      <w:lvlJc w:val="left"/>
      <w:pPr>
        <w:tabs>
          <w:tab w:val="left" w:pos="0"/>
        </w:tabs>
        <w:ind w:left="3241" w:hanging="420"/>
      </w:pPr>
      <w:rPr>
        <w:rFonts w:ascii="方正黑体_GBK" w:eastAsia="方正黑体_GBK" w:hAnsi="方正黑体_GBK" w:hint="default"/>
      </w:rPr>
    </w:lvl>
    <w:lvl w:ilvl="7">
      <w:start w:val="1"/>
      <w:numFmt w:val="lowerLetter"/>
      <w:lvlText w:val="%8)"/>
      <w:lvlJc w:val="left"/>
      <w:pPr>
        <w:tabs>
          <w:tab w:val="left" w:pos="0"/>
        </w:tabs>
        <w:ind w:left="3661" w:hanging="420"/>
      </w:pPr>
      <w:rPr>
        <w:rFonts w:ascii="方正黑体_GBK" w:eastAsia="方正黑体_GBK" w:hAnsi="方正黑体_GBK" w:hint="default"/>
      </w:rPr>
    </w:lvl>
    <w:lvl w:ilvl="8">
      <w:start w:val="1"/>
      <w:numFmt w:val="decimal"/>
      <w:lvlText w:val="%9."/>
      <w:lvlJc w:val="right"/>
      <w:pPr>
        <w:tabs>
          <w:tab w:val="left" w:pos="0"/>
        </w:tabs>
        <w:ind w:left="4081" w:hanging="420"/>
      </w:pPr>
      <w:rPr>
        <w:rFonts w:ascii="方正黑体_GBK" w:eastAsia="方正黑体_GBK" w:hAnsi="方正黑体_GBK" w:hint="default"/>
      </w:rPr>
    </w:lvl>
  </w:abstractNum>
  <w:abstractNum w:abstractNumId="1" w15:restartNumberingAfterBreak="0">
    <w:nsid w:val="58765686"/>
    <w:multiLevelType w:val="multilevel"/>
    <w:tmpl w:val="58765686"/>
    <w:lvl w:ilvl="0">
      <w:start w:val="1"/>
      <w:numFmt w:val="chineseCountingThousand"/>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7DEC2089"/>
    <w:multiLevelType w:val="multilevel"/>
    <w:tmpl w:val="7DEC2089"/>
    <w:lvl w:ilvl="0">
      <w:start w:val="1"/>
      <w:numFmt w:val="decimal"/>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9007D3"/>
    <w:rsid w:val="00763A80"/>
    <w:rsid w:val="009007D3"/>
    <w:rsid w:val="00AB672A"/>
    <w:rsid w:val="24F45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55596E41-4CB3-49E9-A72E-E63E2BE73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pPr>
      <w:widowControl w:val="0"/>
      <w:jc w:val="both"/>
    </w:pPr>
    <w:rPr>
      <w:rFonts w:ascii="方正黑体_GBK" w:eastAsia="方正黑体_GBK" w:hAnsi="方正黑体_GBK" w:cs="Times New Roman"/>
      <w:kern w:val="2"/>
      <w:sz w:val="21"/>
      <w:szCs w:val="21"/>
    </w:rPr>
  </w:style>
  <w:style w:type="paragraph" w:styleId="1">
    <w:name w:val="heading 1"/>
    <w:basedOn w:val="a"/>
    <w:next w:val="a"/>
    <w:pPr>
      <w:keepNext/>
      <w:keepLines/>
      <w:spacing w:before="340" w:after="330" w:line="578" w:lineRule="auto"/>
      <w:outlineLvl w:val="0"/>
    </w:pPr>
    <w:rPr>
      <w:b/>
      <w:bCs/>
      <w:kern w:val="44"/>
      <w:sz w:val="44"/>
    </w:rPr>
  </w:style>
  <w:style w:type="paragraph" w:styleId="2">
    <w:name w:val="heading 2"/>
    <w:basedOn w:val="a"/>
    <w:next w:val="a"/>
    <w:pPr>
      <w:keepNext/>
      <w:keepLines/>
      <w:spacing w:before="260" w:after="260" w:line="415" w:lineRule="auto"/>
      <w:outlineLvl w:val="1"/>
    </w:pPr>
    <w:rPr>
      <w:b/>
      <w:sz w:val="32"/>
    </w:rPr>
  </w:style>
  <w:style w:type="paragraph" w:styleId="3">
    <w:name w:val="heading 3"/>
    <w:basedOn w:val="a"/>
    <w:next w:val="a"/>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5">
    <w:name w:val="toc 5"/>
    <w:basedOn w:val="a"/>
    <w:next w:val="a"/>
    <w:autoRedefine/>
    <w:pPr>
      <w:ind w:left="1680"/>
    </w:pPr>
  </w:style>
  <w:style w:type="paragraph" w:styleId="TOC3">
    <w:name w:val="toc 3"/>
    <w:basedOn w:val="a"/>
    <w:next w:val="a"/>
    <w:autoRedefine/>
    <w:pPr>
      <w:ind w:left="840"/>
    </w:pPr>
  </w:style>
  <w:style w:type="paragraph" w:styleId="a3">
    <w:name w:val="footer"/>
    <w:basedOn w:val="a"/>
    <w:pPr>
      <w:tabs>
        <w:tab w:val="center" w:pos="4153"/>
        <w:tab w:val="right" w:pos="8307"/>
      </w:tabs>
      <w:snapToGrid w:val="0"/>
      <w:jc w:val="left"/>
    </w:pPr>
    <w:rPr>
      <w:sz w:val="18"/>
    </w:rPr>
  </w:style>
  <w:style w:type="paragraph" w:styleId="a4">
    <w:name w:val="header"/>
    <w:basedOn w:val="a"/>
    <w:pPr>
      <w:pBdr>
        <w:bottom w:val="single" w:sz="6" w:space="1" w:color="auto"/>
      </w:pBdr>
      <w:tabs>
        <w:tab w:val="center" w:pos="4153"/>
        <w:tab w:val="right" w:pos="8307"/>
      </w:tabs>
      <w:snapToGrid w:val="0"/>
      <w:jc w:val="center"/>
    </w:pPr>
    <w:rPr>
      <w:sz w:val="18"/>
    </w:rPr>
  </w:style>
  <w:style w:type="paragraph" w:styleId="TOC1">
    <w:name w:val="toc 1"/>
    <w:basedOn w:val="a"/>
    <w:next w:val="a"/>
    <w:autoRedefine/>
  </w:style>
  <w:style w:type="paragraph" w:styleId="TOC4">
    <w:name w:val="toc 4"/>
    <w:basedOn w:val="a"/>
    <w:next w:val="a"/>
    <w:autoRedefine/>
    <w:pPr>
      <w:ind w:left="1260"/>
    </w:pPr>
  </w:style>
  <w:style w:type="paragraph" w:styleId="TOC2">
    <w:name w:val="toc 2"/>
    <w:basedOn w:val="a"/>
    <w:next w:val="a"/>
    <w:autoRedefine/>
    <w:pPr>
      <w:ind w:left="420"/>
    </w:pPr>
  </w:style>
  <w:style w:type="character" w:styleId="a5">
    <w:name w:val="Strong"/>
    <w:rPr>
      <w:b/>
    </w:rPr>
  </w:style>
  <w:style w:type="paragraph" w:customStyle="1" w:styleId="Normaled5ec735">
    <w:name w:val="Normaled5ec735"/>
    <w:pPr>
      <w:widowControl w:val="0"/>
      <w:jc w:val="both"/>
    </w:pPr>
    <w:rPr>
      <w:rFonts w:ascii="方正黑体_GBK" w:eastAsia="方正黑体_GBK" w:hAnsi="方正黑体_GBK" w:cs="Times New Roman"/>
      <w:kern w:val="2"/>
      <w:sz w:val="21"/>
      <w:szCs w:val="21"/>
    </w:rPr>
  </w:style>
  <w:style w:type="paragraph" w:customStyle="1" w:styleId="heading1d59f4f32">
    <w:name w:val="heading 1d59f4f32"/>
    <w:basedOn w:val="Normaled5ec735"/>
    <w:next w:val="a"/>
    <w:pPr>
      <w:keepNext/>
      <w:keepLines/>
      <w:spacing w:before="340" w:after="330" w:line="578" w:lineRule="auto"/>
      <w:outlineLvl w:val="0"/>
    </w:pPr>
    <w:rPr>
      <w:b/>
      <w:bCs/>
      <w:kern w:val="44"/>
      <w:sz w:val="44"/>
    </w:rPr>
  </w:style>
  <w:style w:type="paragraph" w:customStyle="1" w:styleId="heading299bb6eb8">
    <w:name w:val="heading 299bb6eb8"/>
    <w:basedOn w:val="Normaled5ec735"/>
    <w:next w:val="a"/>
    <w:pPr>
      <w:keepNext/>
      <w:keepLines/>
      <w:spacing w:before="260" w:after="260" w:line="415" w:lineRule="auto"/>
      <w:outlineLvl w:val="1"/>
    </w:pPr>
    <w:rPr>
      <w:b/>
      <w:sz w:val="32"/>
    </w:rPr>
  </w:style>
  <w:style w:type="paragraph" w:customStyle="1" w:styleId="heading34a6a35a2">
    <w:name w:val="heading 34a6a35a2"/>
    <w:basedOn w:val="Normaled5ec735"/>
    <w:next w:val="a"/>
    <w:pPr>
      <w:keepNext/>
      <w:keepLines/>
      <w:spacing w:before="260" w:after="260" w:line="415" w:lineRule="auto"/>
      <w:outlineLvl w:val="2"/>
    </w:pPr>
    <w:rPr>
      <w:b/>
      <w:sz w:val="32"/>
    </w:rPr>
  </w:style>
  <w:style w:type="character" w:customStyle="1" w:styleId="DefaultParagraphFont165ce120">
    <w:name w:val="Default Paragraph Font165ce120"/>
  </w:style>
  <w:style w:type="paragraph" w:customStyle="1" w:styleId="toc1661eadb3">
    <w:name w:val="toc 1661eadb3"/>
    <w:basedOn w:val="Normaled5ec735"/>
    <w:next w:val="a"/>
    <w:autoRedefine/>
    <w:qFormat/>
  </w:style>
  <w:style w:type="paragraph" w:customStyle="1" w:styleId="toc2e68cf34e">
    <w:name w:val="toc 2e68cf34e"/>
    <w:basedOn w:val="Normaled5ec735"/>
    <w:next w:val="a"/>
    <w:autoRedefine/>
    <w:pPr>
      <w:ind w:left="420"/>
    </w:pPr>
  </w:style>
  <w:style w:type="paragraph" w:customStyle="1" w:styleId="toc3aa11376f">
    <w:name w:val="toc 3aa11376f"/>
    <w:basedOn w:val="Normaled5ec735"/>
    <w:next w:val="a"/>
    <w:autoRedefine/>
    <w:pPr>
      <w:ind w:left="840"/>
    </w:pPr>
  </w:style>
  <w:style w:type="paragraph" w:customStyle="1" w:styleId="toc4e0ee2b1a">
    <w:name w:val="toc 4e0ee2b1a"/>
    <w:basedOn w:val="Normaled5ec735"/>
    <w:next w:val="a"/>
    <w:autoRedefine/>
    <w:pPr>
      <w:ind w:left="1260"/>
    </w:pPr>
  </w:style>
  <w:style w:type="paragraph" w:customStyle="1" w:styleId="toc5d5614516">
    <w:name w:val="toc 5d5614516"/>
    <w:basedOn w:val="Normaled5ec735"/>
    <w:next w:val="a"/>
    <w:autoRedefine/>
    <w:qFormat/>
    <w:pPr>
      <w:ind w:left="1680"/>
    </w:pPr>
  </w:style>
  <w:style w:type="paragraph" w:customStyle="1" w:styleId="header96089950">
    <w:name w:val="header96089950"/>
    <w:basedOn w:val="Normaled5ec735"/>
    <w:pPr>
      <w:pBdr>
        <w:bottom w:val="single" w:sz="6" w:space="1" w:color="auto"/>
      </w:pBdr>
      <w:tabs>
        <w:tab w:val="center" w:pos="4153"/>
        <w:tab w:val="right" w:pos="8307"/>
      </w:tabs>
      <w:snapToGrid w:val="0"/>
      <w:jc w:val="center"/>
    </w:pPr>
    <w:rPr>
      <w:sz w:val="18"/>
    </w:rPr>
  </w:style>
  <w:style w:type="paragraph" w:customStyle="1" w:styleId="footer55108251">
    <w:name w:val="footer55108251"/>
    <w:basedOn w:val="Normaled5ec735"/>
    <w:qFormat/>
    <w:pPr>
      <w:tabs>
        <w:tab w:val="center" w:pos="4153"/>
        <w:tab w:val="right" w:pos="8307"/>
      </w:tabs>
      <w:snapToGrid w:val="0"/>
      <w:jc w:val="left"/>
    </w:pPr>
    <w:rPr>
      <w:sz w:val="18"/>
    </w:rPr>
  </w:style>
  <w:style w:type="character" w:customStyle="1" w:styleId="Stronga52ae605">
    <w:name w:val="Stronga52ae605"/>
    <w:rPr>
      <w:b/>
    </w:rPr>
  </w:style>
  <w:style w:type="paragraph" w:customStyle="1" w:styleId="annotationtext23">
    <w:name w:val="annotation text23"/>
    <w:next w:val="TOC1"/>
    <w:pPr>
      <w:widowControl w:val="0"/>
    </w:pPr>
    <w:rPr>
      <w:rFonts w:ascii="方正黑体_GBK" w:eastAsia="方正黑体_GBK" w:hAnsi="方正黑体_GBK" w:cs="Times New Roman"/>
      <w:kern w:val="2"/>
      <w:sz w:val="21"/>
      <w:szCs w:val="21"/>
    </w:rPr>
  </w:style>
  <w:style w:type="paragraph" w:customStyle="1" w:styleId="Normal9cb00548">
    <w:name w:val="Normal9cb00548"/>
    <w:next w:val="TOC1"/>
    <w:pPr>
      <w:widowControl w:val="0"/>
      <w:jc w:val="both"/>
    </w:pPr>
    <w:rPr>
      <w:rFonts w:ascii="方正黑体_GBK" w:eastAsia="方正黑体_GBK" w:hAnsi="方正黑体_GBK" w:cs="Times New Roman"/>
      <w:kern w:val="2"/>
      <w:sz w:val="18"/>
      <w:szCs w:val="18"/>
    </w:rPr>
  </w:style>
  <w:style w:type="paragraph" w:customStyle="1" w:styleId="heading1dc967fce">
    <w:name w:val="heading 1dc967fce"/>
    <w:basedOn w:val="Normal9cb00548"/>
    <w:next w:val="a"/>
    <w:pPr>
      <w:keepNext/>
      <w:keepLines/>
      <w:spacing w:before="340" w:after="330" w:line="578" w:lineRule="auto"/>
      <w:outlineLvl w:val="0"/>
    </w:pPr>
    <w:rPr>
      <w:b/>
      <w:bCs/>
      <w:kern w:val="44"/>
      <w:sz w:val="44"/>
    </w:rPr>
  </w:style>
  <w:style w:type="paragraph" w:customStyle="1" w:styleId="heading26e044324">
    <w:name w:val="heading 26e044324"/>
    <w:basedOn w:val="Normal9cb00548"/>
    <w:next w:val="a"/>
    <w:qFormat/>
    <w:pPr>
      <w:keepNext/>
      <w:keepLines/>
      <w:spacing w:before="260" w:after="260" w:line="415" w:lineRule="auto"/>
      <w:outlineLvl w:val="1"/>
    </w:pPr>
    <w:rPr>
      <w:b/>
      <w:sz w:val="32"/>
    </w:rPr>
  </w:style>
  <w:style w:type="paragraph" w:customStyle="1" w:styleId="heading3ac189660">
    <w:name w:val="heading 3ac189660"/>
    <w:basedOn w:val="Normal9cb00548"/>
    <w:next w:val="a"/>
    <w:pPr>
      <w:keepNext/>
      <w:keepLines/>
      <w:spacing w:before="260" w:after="260" w:line="415" w:lineRule="auto"/>
      <w:outlineLvl w:val="2"/>
    </w:pPr>
    <w:rPr>
      <w:b/>
      <w:sz w:val="32"/>
    </w:rPr>
  </w:style>
  <w:style w:type="character" w:customStyle="1" w:styleId="DefaultParagraphFont4d9d838f">
    <w:name w:val="Default Paragraph Font4d9d838f"/>
    <w:qFormat/>
  </w:style>
  <w:style w:type="paragraph" w:customStyle="1" w:styleId="NormalIndent4cec758e">
    <w:name w:val="Normal Indent4cec758e"/>
    <w:basedOn w:val="Normal9cb00548"/>
    <w:pPr>
      <w:ind w:firstLineChars="200" w:firstLine="200"/>
    </w:pPr>
  </w:style>
  <w:style w:type="paragraph" w:customStyle="1" w:styleId="toc501ca9a64">
    <w:name w:val="toc 501ca9a64"/>
    <w:basedOn w:val="Normal9cb00548"/>
    <w:next w:val="a"/>
    <w:qFormat/>
    <w:pPr>
      <w:ind w:left="1680"/>
    </w:pPr>
  </w:style>
  <w:style w:type="paragraph" w:customStyle="1" w:styleId="toc32dabf2fc">
    <w:name w:val="toc 32dabf2fc"/>
    <w:basedOn w:val="Normal9cb00548"/>
    <w:next w:val="a"/>
    <w:pPr>
      <w:ind w:left="840"/>
    </w:pPr>
  </w:style>
  <w:style w:type="paragraph" w:customStyle="1" w:styleId="footer092ff57c">
    <w:name w:val="footer092ff57c"/>
    <w:basedOn w:val="Normal9cb00548"/>
    <w:pPr>
      <w:tabs>
        <w:tab w:val="center" w:pos="4153"/>
        <w:tab w:val="right" w:pos="8307"/>
      </w:tabs>
      <w:snapToGrid w:val="0"/>
      <w:jc w:val="left"/>
    </w:pPr>
  </w:style>
  <w:style w:type="paragraph" w:customStyle="1" w:styleId="headerb3721c54">
    <w:name w:val="headerb3721c54"/>
    <w:basedOn w:val="Normal9cb00548"/>
    <w:pPr>
      <w:pBdr>
        <w:bottom w:val="single" w:sz="6" w:space="1" w:color="auto"/>
      </w:pBdr>
      <w:tabs>
        <w:tab w:val="center" w:pos="4153"/>
        <w:tab w:val="right" w:pos="8307"/>
      </w:tabs>
      <w:snapToGrid w:val="0"/>
      <w:jc w:val="center"/>
    </w:pPr>
  </w:style>
  <w:style w:type="paragraph" w:customStyle="1" w:styleId="toc1d5ca98c7">
    <w:name w:val="toc 1d5ca98c7"/>
    <w:basedOn w:val="Normal9cb00548"/>
    <w:next w:val="a"/>
  </w:style>
  <w:style w:type="paragraph" w:customStyle="1" w:styleId="toc4cdb9d35e">
    <w:name w:val="toc 4cdb9d35e"/>
    <w:basedOn w:val="Normal9cb00548"/>
    <w:next w:val="a"/>
    <w:pPr>
      <w:ind w:left="1260"/>
    </w:pPr>
  </w:style>
  <w:style w:type="paragraph" w:customStyle="1" w:styleId="toc2df30c62e">
    <w:name w:val="toc 2df30c62e"/>
    <w:basedOn w:val="Normal9cb00548"/>
    <w:next w:val="a"/>
    <w:pPr>
      <w:ind w:left="420"/>
    </w:pPr>
  </w:style>
  <w:style w:type="paragraph" w:customStyle="1" w:styleId="NormalWeb5e191a51">
    <w:name w:val="Normal (Web)5e191a51"/>
    <w:next w:val="a4"/>
    <w:pPr>
      <w:spacing w:before="102" w:after="102" w:line="1099" w:lineRule="atLeast"/>
      <w:ind w:firstLine="419"/>
      <w:textAlignment w:val="baseline"/>
    </w:pPr>
    <w:rPr>
      <w:rFonts w:ascii="方正黑体_GBK" w:eastAsia="方正黑体_GBK" w:hAnsi="方正黑体_GBK" w:cs="Times New Roman"/>
      <w:sz w:val="24"/>
      <w:szCs w:val="24"/>
    </w:rPr>
  </w:style>
  <w:style w:type="paragraph" w:customStyle="1" w:styleId="124">
    <w:name w:val="引文目录124"/>
    <w:next w:val="a"/>
    <w:qFormat/>
    <w:pPr>
      <w:widowControl w:val="0"/>
      <w:spacing w:before="100" w:beforeAutospacing="1" w:after="100" w:afterAutospacing="1"/>
      <w:ind w:leftChars="200" w:left="200"/>
      <w:jc w:val="both"/>
      <w:textAlignment w:val="baseline"/>
    </w:pPr>
    <w:rPr>
      <w:rFonts w:ascii="方正黑体_GBK" w:eastAsia="方正黑体_GBK" w:hAnsi="方正黑体_GBK" w:cs="Times New Roman"/>
      <w:kern w:val="2"/>
      <w:sz w:val="21"/>
      <w:szCs w:val="21"/>
    </w:rPr>
  </w:style>
  <w:style w:type="paragraph" w:customStyle="1" w:styleId="Normal3c22309e3c22309e">
    <w:name w:val="Normal3c22309e3c22309e"/>
    <w:next w:val="TOC1"/>
    <w:pPr>
      <w:widowControl w:val="0"/>
      <w:jc w:val="both"/>
    </w:pPr>
    <w:rPr>
      <w:rFonts w:ascii="方正黑体_GBK" w:eastAsia="方正黑体_GBK" w:hAnsi="方正黑体_GBK" w:cs="Times New Roman"/>
      <w:kern w:val="2"/>
      <w:sz w:val="21"/>
      <w:szCs w:val="21"/>
    </w:rPr>
  </w:style>
  <w:style w:type="paragraph" w:customStyle="1" w:styleId="heading191f671b891f671b8">
    <w:name w:val="heading 191f671b891f671b8"/>
    <w:basedOn w:val="Normal3c22309e3c22309e"/>
    <w:next w:val="a"/>
    <w:pPr>
      <w:keepNext/>
      <w:keepLines/>
      <w:spacing w:before="340" w:after="330" w:line="578" w:lineRule="auto"/>
      <w:outlineLvl w:val="0"/>
    </w:pPr>
    <w:rPr>
      <w:b/>
      <w:bCs/>
      <w:kern w:val="44"/>
      <w:sz w:val="44"/>
    </w:rPr>
  </w:style>
  <w:style w:type="paragraph" w:customStyle="1" w:styleId="heading22f8268a92f8268a9">
    <w:name w:val="heading 22f8268a92f8268a9"/>
    <w:basedOn w:val="Normal3c22309e3c22309e"/>
    <w:next w:val="a"/>
    <w:qFormat/>
    <w:pPr>
      <w:keepNext/>
      <w:keepLines/>
      <w:spacing w:before="260" w:after="260" w:line="415" w:lineRule="auto"/>
      <w:outlineLvl w:val="1"/>
    </w:pPr>
    <w:rPr>
      <w:b/>
      <w:sz w:val="32"/>
    </w:rPr>
  </w:style>
  <w:style w:type="paragraph" w:customStyle="1" w:styleId="heading37ea688467ea68846">
    <w:name w:val="heading 37ea688467ea68846"/>
    <w:basedOn w:val="Normal3c22309e3c22309e"/>
    <w:next w:val="a"/>
    <w:qFormat/>
    <w:pPr>
      <w:keepNext/>
      <w:keepLines/>
      <w:spacing w:before="260" w:after="260" w:line="415" w:lineRule="auto"/>
      <w:outlineLvl w:val="2"/>
    </w:pPr>
    <w:rPr>
      <w:b/>
      <w:sz w:val="32"/>
    </w:rPr>
  </w:style>
  <w:style w:type="character" w:customStyle="1" w:styleId="DefaultParagraphFont6d66efa16d66efa1">
    <w:name w:val="Default Paragraph Font6d66efa16d66efa1"/>
    <w:qFormat/>
  </w:style>
  <w:style w:type="paragraph" w:customStyle="1" w:styleId="1fc761df9fc761df9">
    <w:name w:val="引文目录1fc761df9fc761df9"/>
    <w:basedOn w:val="Normal3c22309e3c22309e"/>
    <w:next w:val="a"/>
    <w:pPr>
      <w:ind w:leftChars="200" w:left="200"/>
    </w:pPr>
  </w:style>
  <w:style w:type="paragraph" w:customStyle="1" w:styleId="toc505fc73da05fc73da">
    <w:name w:val="toc 505fc73da05fc73da"/>
    <w:basedOn w:val="Normal3c22309e3c22309e"/>
    <w:next w:val="a"/>
    <w:pPr>
      <w:ind w:left="1680"/>
    </w:pPr>
  </w:style>
  <w:style w:type="paragraph" w:customStyle="1" w:styleId="toc31b05b4361b05b436">
    <w:name w:val="toc 31b05b4361b05b436"/>
    <w:basedOn w:val="Normal3c22309e3c22309e"/>
    <w:next w:val="a"/>
    <w:pPr>
      <w:ind w:left="840"/>
    </w:pPr>
  </w:style>
  <w:style w:type="paragraph" w:customStyle="1" w:styleId="footerfddd35a1fddd35a1">
    <w:name w:val="footerfddd35a1fddd35a1"/>
    <w:basedOn w:val="Normal3c22309e3c22309e"/>
    <w:pPr>
      <w:tabs>
        <w:tab w:val="center" w:pos="4153"/>
        <w:tab w:val="right" w:pos="8307"/>
      </w:tabs>
      <w:snapToGrid w:val="0"/>
      <w:jc w:val="left"/>
    </w:pPr>
    <w:rPr>
      <w:sz w:val="18"/>
    </w:rPr>
  </w:style>
  <w:style w:type="paragraph" w:customStyle="1" w:styleId="headereb3946b0eb3946b0">
    <w:name w:val="headereb3946b0eb3946b0"/>
    <w:basedOn w:val="Normal3c22309e3c22309e"/>
    <w:pPr>
      <w:pBdr>
        <w:bottom w:val="single" w:sz="6" w:space="1" w:color="auto"/>
      </w:pBdr>
      <w:tabs>
        <w:tab w:val="center" w:pos="4153"/>
        <w:tab w:val="right" w:pos="8307"/>
      </w:tabs>
      <w:snapToGrid w:val="0"/>
      <w:jc w:val="center"/>
    </w:pPr>
    <w:rPr>
      <w:sz w:val="18"/>
    </w:rPr>
  </w:style>
  <w:style w:type="paragraph" w:customStyle="1" w:styleId="toc132933e4432933e44">
    <w:name w:val="toc 132933e4432933e44"/>
    <w:basedOn w:val="Normal3c22309e3c22309e"/>
    <w:next w:val="a"/>
  </w:style>
  <w:style w:type="paragraph" w:customStyle="1" w:styleId="toc44ad21a064ad21a06">
    <w:name w:val="toc 44ad21a064ad21a06"/>
    <w:basedOn w:val="Normal3c22309e3c22309e"/>
    <w:next w:val="a"/>
    <w:pPr>
      <w:ind w:left="1260"/>
    </w:pPr>
  </w:style>
  <w:style w:type="paragraph" w:customStyle="1" w:styleId="toc2540020d2540020d2">
    <w:name w:val="toc 2540020d2540020d2"/>
    <w:basedOn w:val="Normal3c22309e3c22309e"/>
    <w:next w:val="a"/>
    <w:pPr>
      <w:ind w:left="420"/>
    </w:pPr>
  </w:style>
  <w:style w:type="paragraph" w:customStyle="1" w:styleId="14166a0634166a063">
    <w:name w:val="列出段落14166a0634166a063"/>
    <w:pPr>
      <w:widowControl w:val="0"/>
      <w:ind w:firstLineChars="200" w:firstLine="200"/>
      <w:jc w:val="both"/>
    </w:pPr>
    <w:rPr>
      <w:rFonts w:ascii="方正黑体_GBK" w:eastAsia="方正黑体_GBK" w:hAnsi="方正黑体_GBK" w:cs="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7010</Words>
  <Characters>7025</Characters>
  <Application>Microsoft Office Word</Application>
  <DocSecurity>0</DocSecurity>
  <Lines>162</Lines>
  <Paragraphs>63</Paragraphs>
  <ScaleCrop>false</ScaleCrop>
  <Company/>
  <LinksUpToDate>false</LinksUpToDate>
  <CharactersWithSpaces>7098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2026-06-18T08:13:00Z</dcterms:created>
  <dcterms:modified xsi:type="dcterms:W3CDTF">2026-06-18T08:13:00Z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02AEF6DED8204361AEB85E71A6BDE641</vt:lpwstr>
  </property>
</Properties>
</file>