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988F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0F671A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54D87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89A25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0977D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BBDF0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0064C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DCA85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0F5D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A32CD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A04DC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B8E67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95383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F6302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42A8F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8990A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C5A22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F3D1E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239CD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0109F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C9AC6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A5880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596F5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6A9B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0D44F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194BC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4D9D4E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4293A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C5848E6">
      <w:pPr>
        <w:spacing w:line="200" w:lineRule="exact"/>
      </w:pPr>
      <w:r>
        <w:rPr>
          <w:rFonts w:ascii="方正黑体_GBK" w:hAnsi="方正黑体_GBK" w:eastAsia="方正黑体_GBK" w:cs="宋体"/>
          <w:b/>
          <w:sz w:val="13"/>
          <w:szCs w:val="20"/>
        </w:rPr>
        <w:t xml:space="preserve">    1.债券类资产投资风险</w:t>
      </w:r>
    </w:p>
    <w:p w14:paraId="1A43559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649F69D">
      <w:pPr>
        <w:spacing w:line="200" w:lineRule="exact"/>
      </w:pPr>
      <w:r>
        <w:rPr>
          <w:rFonts w:ascii="方正黑体_GBK" w:hAnsi="方正黑体_GBK" w:eastAsia="方正黑体_GBK" w:cs="宋体"/>
          <w:b/>
          <w:sz w:val="13"/>
          <w:szCs w:val="20"/>
        </w:rPr>
        <w:t xml:space="preserve">    2.非标准化债权类资产投资风险</w:t>
      </w:r>
    </w:p>
    <w:p w14:paraId="4F9463D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3880C81">
      <w:pPr>
        <w:spacing w:line="200" w:lineRule="exact"/>
      </w:pPr>
      <w:r>
        <w:rPr>
          <w:rFonts w:ascii="方正黑体_GBK" w:hAnsi="方正黑体_GBK" w:eastAsia="方正黑体_GBK" w:cs="宋体"/>
          <w:b/>
          <w:sz w:val="13"/>
          <w:szCs w:val="20"/>
        </w:rPr>
        <w:t xml:space="preserve">    3.资产管理产品投资风险</w:t>
      </w:r>
    </w:p>
    <w:p w14:paraId="76945C3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3EC7A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693635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CC108A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402C46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D2D0B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符合相关法律法规、监管规定要求的合格投资者，并经销售机构的风险承受能力评估体系评定为适合的个人和机构投资者。</w:t>
      </w:r>
    </w:p>
    <w:p w14:paraId="1AED04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033C6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61416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F875F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920A7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D29F7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C03F61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8D3CE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A9222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CF025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0AA059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F2E59F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7134E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82B5B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816878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E17EFE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FF13B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0A7B0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4CC8B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699D4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68650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88B6F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2358C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4661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2714D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3C087E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7259B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4E5E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4E12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A1509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FECC3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8882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16219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2C4BB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8885F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B38E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BE93E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CA4B5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E9D3B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7D6C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E031069">
      <w:r>
        <w:rPr>
          <w:rFonts w:ascii="方正黑体_GBK" w:hAnsi="方正黑体_GBK" w:eastAsia="方正黑体_GBK"/>
        </w:rPr>
        <w:br w:type="page"/>
      </w:r>
    </w:p>
    <w:p w14:paraId="7C530C4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818A7C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FD91F9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ECAED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E1A3F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A24A1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南银理财珠联璧合安稳1904一年定开公募人民币理财产品</w:t>
            </w:r>
          </w:p>
        </w:tc>
      </w:tr>
      <w:tr w14:paraId="5C4A5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C5C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2450C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02CA26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4749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266F0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73626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A1F22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545DF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ZC108691944597</w:t>
            </w:r>
          </w:p>
        </w:tc>
      </w:tr>
      <w:tr w14:paraId="0B2D27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84CF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F02FC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Z7003221000017(投资者可依据该编码在中国理财网www.chinawealth.com.cn查询理财产品相关信息）</w:t>
            </w:r>
          </w:p>
        </w:tc>
      </w:tr>
      <w:tr w14:paraId="6C7015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EA1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5CE98BF">
            <w:pPr>
              <w:spacing w:line="200" w:lineRule="exact"/>
            </w:pPr>
            <w:r>
              <w:rPr>
                <w:rFonts w:ascii="方正黑体_GBK" w:hAnsi="方正黑体_GBK" w:eastAsia="方正黑体_GBK" w:cs="宋体"/>
                <w:sz w:val="18"/>
                <w:szCs w:val="18"/>
              </w:rPr>
              <w:t>A份额：Z10025</w:t>
            </w:r>
          </w:p>
          <w:p w14:paraId="339125A7">
            <w:pPr>
              <w:spacing w:line="200" w:lineRule="exact"/>
            </w:pPr>
            <w:r>
              <w:rPr>
                <w:rFonts w:ascii="方正黑体_GBK" w:hAnsi="方正黑体_GBK" w:eastAsia="方正黑体_GBK" w:cs="宋体"/>
                <w:sz w:val="18"/>
                <w:szCs w:val="18"/>
              </w:rPr>
              <w:t>F份额：ZF10025</w:t>
            </w:r>
          </w:p>
          <w:p w14:paraId="2EE0C72A">
            <w:pPr>
              <w:spacing w:line="200" w:lineRule="exact"/>
            </w:pPr>
            <w:r>
              <w:rPr>
                <w:rFonts w:ascii="方正黑体_GBK" w:hAnsi="方正黑体_GBK" w:eastAsia="方正黑体_GBK" w:cs="宋体"/>
                <w:sz w:val="18"/>
                <w:szCs w:val="18"/>
              </w:rPr>
              <w:t>A2份额：Z11025</w:t>
            </w:r>
          </w:p>
          <w:p w14:paraId="591D164B">
            <w:pPr>
              <w:spacing w:line="200" w:lineRule="exact"/>
            </w:pPr>
            <w:r>
              <w:rPr>
                <w:rFonts w:ascii="方正黑体_GBK" w:hAnsi="方正黑体_GBK" w:eastAsia="方正黑体_GBK" w:cs="宋体"/>
                <w:sz w:val="18"/>
                <w:szCs w:val="18"/>
              </w:rPr>
              <w:t>A3份额：Z12025</w:t>
            </w:r>
          </w:p>
          <w:p w14:paraId="01F14982">
            <w:pPr>
              <w:spacing w:line="200" w:lineRule="exact"/>
            </w:pPr>
            <w:r>
              <w:rPr>
                <w:rFonts w:ascii="方正黑体_GBK" w:hAnsi="方正黑体_GBK" w:eastAsia="方正黑体_GBK" w:cs="宋体"/>
                <w:sz w:val="18"/>
                <w:szCs w:val="18"/>
              </w:rPr>
              <w:t>A4份额：Z13025</w:t>
            </w:r>
          </w:p>
          <w:p w14:paraId="583F9E3A">
            <w:pPr>
              <w:spacing w:line="200" w:lineRule="exact"/>
            </w:pPr>
            <w:r>
              <w:rPr>
                <w:rFonts w:ascii="方正黑体_GBK" w:hAnsi="方正黑体_GBK" w:eastAsia="方正黑体_GBK" w:cs="宋体"/>
                <w:sz w:val="18"/>
                <w:szCs w:val="18"/>
              </w:rPr>
              <w:t>F2份额：ZF11025</w:t>
            </w:r>
          </w:p>
          <w:p w14:paraId="4AAD3FFB">
            <w:pPr>
              <w:spacing w:line="200" w:lineRule="exact"/>
            </w:pPr>
            <w:r>
              <w:rPr>
                <w:rFonts w:ascii="方正黑体_GBK" w:hAnsi="方正黑体_GBK" w:eastAsia="方正黑体_GBK" w:cs="宋体"/>
                <w:sz w:val="18"/>
                <w:szCs w:val="18"/>
              </w:rPr>
              <w:t>F3份额：ZF12025</w:t>
            </w:r>
          </w:p>
          <w:p w14:paraId="3DE198FB">
            <w:pPr>
              <w:spacing w:line="200" w:lineRule="exact"/>
            </w:pPr>
            <w:r>
              <w:rPr>
                <w:rFonts w:ascii="方正黑体_GBK" w:hAnsi="方正黑体_GBK" w:eastAsia="方正黑体_GBK" w:cs="宋体"/>
                <w:sz w:val="18"/>
                <w:szCs w:val="18"/>
              </w:rPr>
              <w:t>G2份额：NYAW001183</w:t>
            </w:r>
          </w:p>
          <w:p w14:paraId="351BA99A">
            <w:pPr>
              <w:spacing w:line="200" w:lineRule="exact"/>
            </w:pPr>
            <w:r>
              <w:rPr>
                <w:rFonts w:ascii="方正黑体_GBK" w:hAnsi="方正黑体_GBK" w:eastAsia="方正黑体_GBK" w:cs="宋体"/>
                <w:sz w:val="18"/>
                <w:szCs w:val="18"/>
              </w:rPr>
              <w:t>G3份额：NYAW001197</w:t>
            </w:r>
          </w:p>
          <w:p w14:paraId="3381D9BB">
            <w:pPr>
              <w:spacing w:line="200" w:lineRule="exact"/>
            </w:pPr>
            <w:r>
              <w:rPr>
                <w:rFonts w:ascii="方正黑体_GBK" w:hAnsi="方正黑体_GBK" w:eastAsia="方正黑体_GBK" w:cs="宋体"/>
                <w:sz w:val="18"/>
                <w:szCs w:val="18"/>
              </w:rPr>
              <w:t>F4份额：ZF13025</w:t>
            </w:r>
          </w:p>
          <w:p w14:paraId="574D72C2">
            <w:pPr>
              <w:spacing w:line="200" w:lineRule="exact"/>
            </w:pPr>
            <w:r>
              <w:rPr>
                <w:rFonts w:ascii="方正黑体_GBK" w:hAnsi="方正黑体_GBK" w:eastAsia="方正黑体_GBK" w:cs="宋体"/>
                <w:sz w:val="18"/>
                <w:szCs w:val="18"/>
              </w:rPr>
              <w:t>I2份额：NYAW001167</w:t>
            </w:r>
          </w:p>
          <w:p w14:paraId="564B98D8">
            <w:pPr>
              <w:spacing w:line="200" w:lineRule="exact"/>
            </w:pPr>
            <w:r>
              <w:rPr>
                <w:rFonts w:ascii="方正黑体_GBK" w:hAnsi="方正黑体_GBK" w:eastAsia="方正黑体_GBK" w:cs="宋体"/>
                <w:sz w:val="18"/>
                <w:szCs w:val="18"/>
              </w:rPr>
              <w:t>J2份额：NYAW001184</w:t>
            </w:r>
          </w:p>
          <w:p w14:paraId="13E3929E">
            <w:pPr>
              <w:spacing w:line="200" w:lineRule="exact"/>
            </w:pPr>
            <w:r>
              <w:rPr>
                <w:rFonts w:ascii="方正黑体_GBK" w:hAnsi="方正黑体_GBK" w:eastAsia="方正黑体_GBK" w:cs="宋体"/>
                <w:sz w:val="18"/>
                <w:szCs w:val="18"/>
              </w:rPr>
              <w:t>L2份额：NYAW001185</w:t>
            </w:r>
          </w:p>
          <w:p w14:paraId="4E477F1C">
            <w:pPr>
              <w:spacing w:line="200" w:lineRule="exact"/>
            </w:pPr>
            <w:r>
              <w:rPr>
                <w:rFonts w:ascii="方正黑体_GBK" w:hAnsi="方正黑体_GBK" w:eastAsia="方正黑体_GBK" w:cs="宋体"/>
                <w:sz w:val="18"/>
                <w:szCs w:val="18"/>
              </w:rPr>
              <w:t>J3份额：NYAW001199</w:t>
            </w:r>
          </w:p>
          <w:p w14:paraId="7E13E5DE">
            <w:pPr>
              <w:spacing w:line="200" w:lineRule="exact"/>
            </w:pPr>
            <w:r>
              <w:rPr>
                <w:rFonts w:ascii="方正黑体_GBK" w:hAnsi="方正黑体_GBK" w:eastAsia="方正黑体_GBK" w:cs="宋体"/>
                <w:sz w:val="18"/>
                <w:szCs w:val="18"/>
              </w:rPr>
              <w:t>L3份额：NYAW001200</w:t>
            </w:r>
          </w:p>
          <w:p w14:paraId="0A87ED6D">
            <w:pPr>
              <w:spacing w:line="200" w:lineRule="exact"/>
            </w:pPr>
            <w:r>
              <w:rPr>
                <w:rFonts w:ascii="方正黑体_GBK" w:hAnsi="方正黑体_GBK" w:eastAsia="方正黑体_GBK" w:cs="宋体"/>
                <w:sz w:val="18"/>
                <w:szCs w:val="18"/>
              </w:rPr>
              <w:t>I3份额：NYAW001198</w:t>
            </w:r>
          </w:p>
          <w:p w14:paraId="1B24F689">
            <w:pPr>
              <w:spacing w:line="200" w:lineRule="exact"/>
            </w:pPr>
            <w:r>
              <w:rPr>
                <w:rFonts w:ascii="方正黑体_GBK" w:hAnsi="方正黑体_GBK" w:eastAsia="方正黑体_GBK" w:cs="宋体"/>
                <w:sz w:val="18"/>
                <w:szCs w:val="18"/>
              </w:rPr>
              <w:t>I4份额：NYAW001168</w:t>
            </w:r>
          </w:p>
          <w:p w14:paraId="3A714172">
            <w:pPr>
              <w:spacing w:line="200" w:lineRule="exact"/>
            </w:pPr>
            <w:r>
              <w:rPr>
                <w:rFonts w:ascii="方正黑体_GBK" w:hAnsi="方正黑体_GBK" w:eastAsia="方正黑体_GBK" w:cs="宋体"/>
                <w:sz w:val="18"/>
                <w:szCs w:val="18"/>
              </w:rPr>
              <w:t>M2份额：NYAW001187</w:t>
            </w:r>
          </w:p>
          <w:p w14:paraId="3736A919">
            <w:pPr>
              <w:spacing w:line="200" w:lineRule="exact"/>
            </w:pPr>
            <w:r>
              <w:rPr>
                <w:rFonts w:ascii="方正黑体_GBK" w:hAnsi="方正黑体_GBK" w:eastAsia="方正黑体_GBK" w:cs="宋体"/>
                <w:sz w:val="18"/>
                <w:szCs w:val="18"/>
              </w:rPr>
              <w:t>M3份额：NYAW001202</w:t>
            </w:r>
          </w:p>
          <w:p w14:paraId="4A5D2AC2">
            <w:pPr>
              <w:spacing w:line="200" w:lineRule="exact"/>
            </w:pPr>
            <w:r>
              <w:rPr>
                <w:rFonts w:ascii="方正黑体_GBK" w:hAnsi="方正黑体_GBK" w:eastAsia="方正黑体_GBK" w:cs="宋体"/>
                <w:sz w:val="18"/>
                <w:szCs w:val="18"/>
              </w:rPr>
              <w:t>O2份额：NYAW001186</w:t>
            </w:r>
          </w:p>
          <w:p w14:paraId="46CD5D9D">
            <w:pPr>
              <w:spacing w:line="200" w:lineRule="exact"/>
            </w:pPr>
            <w:r>
              <w:rPr>
                <w:rFonts w:ascii="方正黑体_GBK" w:hAnsi="方正黑体_GBK" w:eastAsia="方正黑体_GBK" w:cs="宋体"/>
                <w:sz w:val="18"/>
                <w:szCs w:val="18"/>
              </w:rPr>
              <w:t>O3份额：NYAW001201</w:t>
            </w:r>
          </w:p>
          <w:p w14:paraId="72AACF96">
            <w:pPr>
              <w:spacing w:line="200" w:lineRule="exact"/>
            </w:pPr>
            <w:r>
              <w:rPr>
                <w:rFonts w:ascii="方正黑体_GBK" w:hAnsi="方正黑体_GBK" w:eastAsia="方正黑体_GBK" w:cs="宋体"/>
                <w:sz w:val="18"/>
                <w:szCs w:val="18"/>
              </w:rPr>
              <w:t>Q1份额：NYAW001174</w:t>
            </w:r>
          </w:p>
          <w:p w14:paraId="201FE7D2">
            <w:pPr>
              <w:spacing w:line="200" w:lineRule="exact"/>
            </w:pPr>
            <w:r>
              <w:rPr>
                <w:rFonts w:ascii="方正黑体_GBK" w:hAnsi="方正黑体_GBK" w:eastAsia="方正黑体_GBK" w:cs="宋体"/>
                <w:sz w:val="18"/>
                <w:szCs w:val="18"/>
              </w:rPr>
              <w:t>R1份额：NYAW001175</w:t>
            </w:r>
          </w:p>
          <w:p w14:paraId="21060A41">
            <w:pPr>
              <w:spacing w:line="200" w:lineRule="exact"/>
            </w:pPr>
            <w:r>
              <w:rPr>
                <w:rFonts w:ascii="方正黑体_GBK" w:hAnsi="方正黑体_GBK" w:eastAsia="方正黑体_GBK" w:cs="宋体"/>
                <w:sz w:val="18"/>
                <w:szCs w:val="18"/>
              </w:rPr>
              <w:t>Q2份额：NYAW001188</w:t>
            </w:r>
          </w:p>
          <w:p w14:paraId="70B9560B">
            <w:pPr>
              <w:spacing w:line="200" w:lineRule="exact"/>
            </w:pPr>
            <w:r>
              <w:rPr>
                <w:rFonts w:ascii="方正黑体_GBK" w:hAnsi="方正黑体_GBK" w:eastAsia="方正黑体_GBK" w:cs="宋体"/>
                <w:sz w:val="18"/>
                <w:szCs w:val="18"/>
              </w:rPr>
              <w:t>R2份额：NYAW001189</w:t>
            </w:r>
          </w:p>
          <w:p w14:paraId="3470EAC3">
            <w:pPr>
              <w:spacing w:line="200" w:lineRule="exact"/>
            </w:pPr>
            <w:r>
              <w:rPr>
                <w:rFonts w:ascii="方正黑体_GBK" w:hAnsi="方正黑体_GBK" w:eastAsia="方正黑体_GBK" w:cs="宋体"/>
                <w:sz w:val="18"/>
                <w:szCs w:val="18"/>
              </w:rPr>
              <w:t>Q3份额：NYAW001203</w:t>
            </w:r>
          </w:p>
          <w:p w14:paraId="6A05AA3B">
            <w:pPr>
              <w:spacing w:line="200" w:lineRule="exact"/>
            </w:pPr>
            <w:r>
              <w:rPr>
                <w:rFonts w:ascii="方正黑体_GBK" w:hAnsi="方正黑体_GBK" w:eastAsia="方正黑体_GBK" w:cs="宋体"/>
                <w:sz w:val="18"/>
                <w:szCs w:val="18"/>
              </w:rPr>
              <w:t>R3份额：NYAW001204</w:t>
            </w:r>
          </w:p>
          <w:p w14:paraId="5058201A">
            <w:pPr>
              <w:spacing w:line="200" w:lineRule="exact"/>
            </w:pPr>
            <w:r>
              <w:rPr>
                <w:rFonts w:ascii="方正黑体_GBK" w:hAnsi="方正黑体_GBK" w:eastAsia="方正黑体_GBK" w:cs="宋体"/>
                <w:sz w:val="18"/>
                <w:szCs w:val="18"/>
              </w:rPr>
              <w:t>G1份额：NYAW001165</w:t>
            </w:r>
          </w:p>
          <w:p w14:paraId="5DB09645">
            <w:pPr>
              <w:spacing w:line="200" w:lineRule="exact"/>
            </w:pPr>
            <w:r>
              <w:rPr>
                <w:rFonts w:ascii="方正黑体_GBK" w:hAnsi="方正黑体_GBK" w:eastAsia="方正黑体_GBK" w:cs="宋体"/>
                <w:sz w:val="18"/>
                <w:szCs w:val="18"/>
              </w:rPr>
              <w:t>I1份额：NYAW001166</w:t>
            </w:r>
          </w:p>
          <w:p w14:paraId="69191692">
            <w:pPr>
              <w:spacing w:line="200" w:lineRule="exact"/>
            </w:pPr>
            <w:r>
              <w:rPr>
                <w:rFonts w:ascii="方正黑体_GBK" w:hAnsi="方正黑体_GBK" w:eastAsia="方正黑体_GBK" w:cs="宋体"/>
                <w:sz w:val="18"/>
                <w:szCs w:val="18"/>
              </w:rPr>
              <w:t>J1份额：NYAW001169</w:t>
            </w:r>
          </w:p>
          <w:p w14:paraId="7B04959D">
            <w:pPr>
              <w:spacing w:line="200" w:lineRule="exact"/>
            </w:pPr>
            <w:r>
              <w:rPr>
                <w:rFonts w:ascii="方正黑体_GBK" w:hAnsi="方正黑体_GBK" w:eastAsia="方正黑体_GBK" w:cs="宋体"/>
                <w:sz w:val="18"/>
                <w:szCs w:val="18"/>
              </w:rPr>
              <w:t>L1份额：NYAW001170</w:t>
            </w:r>
          </w:p>
          <w:p w14:paraId="6D479E1D">
            <w:pPr>
              <w:spacing w:line="200" w:lineRule="exact"/>
            </w:pPr>
            <w:r>
              <w:rPr>
                <w:rFonts w:ascii="方正黑体_GBK" w:hAnsi="方正黑体_GBK" w:eastAsia="方正黑体_GBK" w:cs="宋体"/>
                <w:sz w:val="18"/>
                <w:szCs w:val="18"/>
              </w:rPr>
              <w:t>M1份额：NYAW001172</w:t>
            </w:r>
          </w:p>
          <w:p w14:paraId="4C5D1D6E">
            <w:pPr>
              <w:spacing w:line="200" w:lineRule="exact"/>
            </w:pPr>
            <w:r>
              <w:rPr>
                <w:rFonts w:ascii="方正黑体_GBK" w:hAnsi="方正黑体_GBK" w:eastAsia="方正黑体_GBK" w:cs="宋体"/>
                <w:sz w:val="18"/>
                <w:szCs w:val="18"/>
              </w:rPr>
              <w:t>N1份额：NYAW001173</w:t>
            </w:r>
          </w:p>
          <w:p w14:paraId="4BB07B66">
            <w:pPr>
              <w:spacing w:line="200" w:lineRule="exact"/>
            </w:pPr>
            <w:r>
              <w:rPr>
                <w:rFonts w:ascii="方正黑体_GBK" w:hAnsi="方正黑体_GBK" w:eastAsia="方正黑体_GBK" w:cs="宋体"/>
                <w:sz w:val="18"/>
                <w:szCs w:val="18"/>
              </w:rPr>
              <w:t>O1份额：NYAW001171</w:t>
            </w:r>
          </w:p>
          <w:p w14:paraId="1FB78EE5">
            <w:pPr>
              <w:spacing w:line="200" w:lineRule="exact"/>
            </w:pPr>
            <w:r>
              <w:rPr>
                <w:rFonts w:ascii="方正黑体_GBK" w:hAnsi="方正黑体_GBK" w:eastAsia="方正黑体_GBK" w:cs="宋体"/>
                <w:sz w:val="18"/>
                <w:szCs w:val="18"/>
              </w:rPr>
              <w:t>S1份额：NYAW001176</w:t>
            </w:r>
          </w:p>
          <w:p w14:paraId="798DF8C1">
            <w:pPr>
              <w:spacing w:line="200" w:lineRule="exact"/>
            </w:pPr>
            <w:r>
              <w:rPr>
                <w:rFonts w:ascii="方正黑体_GBK" w:hAnsi="方正黑体_GBK" w:eastAsia="方正黑体_GBK" w:cs="宋体"/>
                <w:sz w:val="18"/>
                <w:szCs w:val="18"/>
              </w:rPr>
              <w:t>S2份额：NYAW001190</w:t>
            </w:r>
          </w:p>
          <w:p w14:paraId="1229A9A6">
            <w:pPr>
              <w:spacing w:line="200" w:lineRule="exact"/>
            </w:pPr>
            <w:r>
              <w:rPr>
                <w:rFonts w:ascii="方正黑体_GBK" w:hAnsi="方正黑体_GBK" w:eastAsia="方正黑体_GBK" w:cs="宋体"/>
                <w:sz w:val="18"/>
                <w:szCs w:val="18"/>
              </w:rPr>
              <w:t>S3份额：NYAW001205</w:t>
            </w:r>
          </w:p>
          <w:p w14:paraId="439D05F5">
            <w:pPr>
              <w:spacing w:line="200" w:lineRule="exact"/>
            </w:pPr>
            <w:r>
              <w:rPr>
                <w:rFonts w:ascii="方正黑体_GBK" w:hAnsi="方正黑体_GBK" w:eastAsia="方正黑体_GBK" w:cs="宋体"/>
                <w:sz w:val="18"/>
                <w:szCs w:val="18"/>
              </w:rPr>
              <w:t>T1份额：NYAW001177</w:t>
            </w:r>
          </w:p>
          <w:p w14:paraId="7D342AB8">
            <w:pPr>
              <w:spacing w:line="200" w:lineRule="exact"/>
            </w:pPr>
            <w:r>
              <w:rPr>
                <w:rFonts w:ascii="方正黑体_GBK" w:hAnsi="方正黑体_GBK" w:eastAsia="方正黑体_GBK" w:cs="宋体"/>
                <w:sz w:val="18"/>
                <w:szCs w:val="18"/>
              </w:rPr>
              <w:t>T2份额：NYAW001191</w:t>
            </w:r>
          </w:p>
          <w:p w14:paraId="58FADB6F">
            <w:pPr>
              <w:spacing w:line="200" w:lineRule="exact"/>
            </w:pPr>
            <w:r>
              <w:rPr>
                <w:rFonts w:ascii="方正黑体_GBK" w:hAnsi="方正黑体_GBK" w:eastAsia="方正黑体_GBK" w:cs="宋体"/>
                <w:sz w:val="18"/>
                <w:szCs w:val="18"/>
              </w:rPr>
              <w:t>T3份额：NYAW001206</w:t>
            </w:r>
          </w:p>
          <w:p w14:paraId="685E8E88">
            <w:pPr>
              <w:spacing w:line="200" w:lineRule="exact"/>
            </w:pPr>
            <w:r>
              <w:rPr>
                <w:rFonts w:ascii="方正黑体_GBK" w:hAnsi="方正黑体_GBK" w:eastAsia="方正黑体_GBK" w:cs="宋体"/>
                <w:sz w:val="18"/>
                <w:szCs w:val="18"/>
              </w:rPr>
              <w:t>V1份额：NYAW001178</w:t>
            </w:r>
          </w:p>
          <w:p w14:paraId="1CA93AB8">
            <w:pPr>
              <w:spacing w:line="200" w:lineRule="exact"/>
            </w:pPr>
            <w:r>
              <w:rPr>
                <w:rFonts w:ascii="方正黑体_GBK" w:hAnsi="方正黑体_GBK" w:eastAsia="方正黑体_GBK" w:cs="宋体"/>
                <w:sz w:val="18"/>
                <w:szCs w:val="18"/>
              </w:rPr>
              <w:t>V2份额：NYAW001192</w:t>
            </w:r>
          </w:p>
          <w:p w14:paraId="2CA0B7F7">
            <w:pPr>
              <w:spacing w:line="200" w:lineRule="exact"/>
            </w:pPr>
            <w:r>
              <w:rPr>
                <w:rFonts w:ascii="方正黑体_GBK" w:hAnsi="方正黑体_GBK" w:eastAsia="方正黑体_GBK" w:cs="宋体"/>
                <w:sz w:val="18"/>
                <w:szCs w:val="18"/>
              </w:rPr>
              <w:t>V3份额：NYAW001207</w:t>
            </w:r>
          </w:p>
          <w:p w14:paraId="185A6507">
            <w:pPr>
              <w:spacing w:line="200" w:lineRule="exact"/>
            </w:pPr>
            <w:r>
              <w:rPr>
                <w:rFonts w:ascii="方正黑体_GBK" w:hAnsi="方正黑体_GBK" w:eastAsia="方正黑体_GBK" w:cs="宋体"/>
                <w:sz w:val="18"/>
                <w:szCs w:val="18"/>
              </w:rPr>
              <w:t>B5份额：NYAW001161</w:t>
            </w:r>
          </w:p>
          <w:p w14:paraId="0DF19D38">
            <w:pPr>
              <w:spacing w:line="200" w:lineRule="exact"/>
            </w:pPr>
            <w:r>
              <w:rPr>
                <w:rFonts w:ascii="方正黑体_GBK" w:hAnsi="方正黑体_GBK" w:eastAsia="方正黑体_GBK" w:cs="宋体"/>
                <w:sz w:val="18"/>
                <w:szCs w:val="18"/>
              </w:rPr>
              <w:t>C5份额：NYAW001162</w:t>
            </w:r>
          </w:p>
          <w:p w14:paraId="47C2737E">
            <w:pPr>
              <w:spacing w:line="200" w:lineRule="exact"/>
            </w:pPr>
            <w:r>
              <w:rPr>
                <w:rFonts w:ascii="方正黑体_GBK" w:hAnsi="方正黑体_GBK" w:eastAsia="方正黑体_GBK" w:cs="宋体"/>
                <w:sz w:val="18"/>
                <w:szCs w:val="18"/>
              </w:rPr>
              <w:t>D5份额：NYAW001163</w:t>
            </w:r>
          </w:p>
          <w:p w14:paraId="0DB055F9">
            <w:pPr>
              <w:spacing w:line="200" w:lineRule="exact"/>
            </w:pPr>
            <w:r>
              <w:rPr>
                <w:rFonts w:ascii="方正黑体_GBK" w:hAnsi="方正黑体_GBK" w:eastAsia="方正黑体_GBK" w:cs="宋体"/>
                <w:sz w:val="18"/>
                <w:szCs w:val="18"/>
              </w:rPr>
              <w:t>E5份额：NYAW001164</w:t>
            </w:r>
          </w:p>
          <w:p w14:paraId="27A244F3">
            <w:pPr>
              <w:spacing w:line="200" w:lineRule="exact"/>
            </w:pPr>
            <w:r>
              <w:rPr>
                <w:rFonts w:ascii="方正黑体_GBK" w:hAnsi="方正黑体_GBK" w:eastAsia="方正黑体_GBK" w:cs="宋体"/>
                <w:sz w:val="18"/>
                <w:szCs w:val="18"/>
              </w:rPr>
              <w:t>B6份额：NYAW001179</w:t>
            </w:r>
          </w:p>
          <w:p w14:paraId="301444F6">
            <w:pPr>
              <w:spacing w:line="200" w:lineRule="exact"/>
            </w:pPr>
            <w:r>
              <w:rPr>
                <w:rFonts w:ascii="方正黑体_GBK" w:hAnsi="方正黑体_GBK" w:eastAsia="方正黑体_GBK" w:cs="宋体"/>
                <w:sz w:val="18"/>
                <w:szCs w:val="18"/>
              </w:rPr>
              <w:t>C6份额：NYAW001180</w:t>
            </w:r>
          </w:p>
          <w:p w14:paraId="482303E5">
            <w:pPr>
              <w:spacing w:line="200" w:lineRule="exact"/>
            </w:pPr>
            <w:r>
              <w:rPr>
                <w:rFonts w:ascii="方正黑体_GBK" w:hAnsi="方正黑体_GBK" w:eastAsia="方正黑体_GBK" w:cs="宋体"/>
                <w:sz w:val="18"/>
                <w:szCs w:val="18"/>
              </w:rPr>
              <w:t>D6份额：NYAW001181</w:t>
            </w:r>
          </w:p>
          <w:p w14:paraId="3C6B514A">
            <w:pPr>
              <w:spacing w:line="200" w:lineRule="exact"/>
            </w:pPr>
            <w:r>
              <w:rPr>
                <w:rFonts w:ascii="方正黑体_GBK" w:hAnsi="方正黑体_GBK" w:eastAsia="方正黑体_GBK" w:cs="宋体"/>
                <w:sz w:val="18"/>
                <w:szCs w:val="18"/>
              </w:rPr>
              <w:t>E6份额：NYAW001182</w:t>
            </w:r>
          </w:p>
          <w:p w14:paraId="303AC1FD">
            <w:pPr>
              <w:spacing w:line="200" w:lineRule="exact"/>
            </w:pPr>
            <w:r>
              <w:rPr>
                <w:rFonts w:ascii="方正黑体_GBK" w:hAnsi="方正黑体_GBK" w:eastAsia="方正黑体_GBK" w:cs="宋体"/>
                <w:sz w:val="18"/>
                <w:szCs w:val="18"/>
              </w:rPr>
              <w:t>B7份额：NYAW001193</w:t>
            </w:r>
          </w:p>
          <w:p w14:paraId="78B247B3">
            <w:pPr>
              <w:spacing w:line="200" w:lineRule="exact"/>
            </w:pPr>
            <w:r>
              <w:rPr>
                <w:rFonts w:ascii="方正黑体_GBK" w:hAnsi="方正黑体_GBK" w:eastAsia="方正黑体_GBK" w:cs="宋体"/>
                <w:sz w:val="18"/>
                <w:szCs w:val="18"/>
              </w:rPr>
              <w:t>C7份额：NYAW001194</w:t>
            </w:r>
          </w:p>
          <w:p w14:paraId="545A3C14">
            <w:pPr>
              <w:spacing w:line="200" w:lineRule="exact"/>
            </w:pPr>
            <w:r>
              <w:rPr>
                <w:rFonts w:ascii="方正黑体_GBK" w:hAnsi="方正黑体_GBK" w:eastAsia="方正黑体_GBK" w:cs="宋体"/>
                <w:sz w:val="18"/>
                <w:szCs w:val="18"/>
              </w:rPr>
              <w:t>D7份额：NYAW001195</w:t>
            </w:r>
          </w:p>
          <w:p w14:paraId="6A9F5A89">
            <w:pPr>
              <w:spacing w:line="200" w:lineRule="exact"/>
            </w:pPr>
            <w:r>
              <w:rPr>
                <w:rFonts w:ascii="方正黑体_GBK" w:hAnsi="方正黑体_GBK" w:eastAsia="方正黑体_GBK" w:cs="宋体"/>
                <w:sz w:val="18"/>
                <w:szCs w:val="18"/>
              </w:rPr>
              <w:t>E7份额：NYAW001196</w:t>
            </w:r>
          </w:p>
          <w:p w14:paraId="68D1DF1A">
            <w:pPr>
              <w:spacing w:line="200" w:lineRule="exact"/>
            </w:pPr>
            <w:r>
              <w:rPr>
                <w:rFonts w:ascii="方正黑体_GBK" w:hAnsi="方正黑体_GBK" w:eastAsia="方正黑体_GBK" w:cs="宋体"/>
                <w:b/>
                <w:sz w:val="18"/>
                <w:szCs w:val="18"/>
              </w:rPr>
              <w:t>注：本产品不同份额针对不同的销售机构及客群进行销售。</w:t>
            </w:r>
          </w:p>
        </w:tc>
      </w:tr>
      <w:tr w14:paraId="27F656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9240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4A2C6EA7">
            <w:pPr>
              <w:spacing w:line="200" w:lineRule="exact"/>
            </w:pPr>
            <w:r>
              <w:rPr>
                <w:rFonts w:ascii="方正黑体_GBK" w:hAnsi="方正黑体_GBK" w:eastAsia="方正黑体_GBK" w:cs="宋体"/>
                <w:sz w:val="18"/>
                <w:szCs w:val="18"/>
              </w:rPr>
              <w:t>10年（管理人有权提前终止或延期终止）</w:t>
            </w:r>
          </w:p>
        </w:tc>
      </w:tr>
      <w:tr w14:paraId="3ED82A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41E0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077E1D5">
            <w:pPr>
              <w:spacing w:line="200" w:lineRule="exact"/>
            </w:pPr>
            <w:r>
              <w:rPr>
                <w:rFonts w:ascii="方正黑体_GBK" w:hAnsi="方正黑体_GBK" w:eastAsia="方正黑体_GBK" w:cs="宋体"/>
                <w:sz w:val="18"/>
                <w:szCs w:val="18"/>
              </w:rPr>
              <w:t>全国</w:t>
            </w:r>
          </w:p>
        </w:tc>
      </w:tr>
      <w:tr w14:paraId="0CA3AB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EB23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50C81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1F411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B3C7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0E6B25A">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6C2DE6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EFDB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194BD9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9C4D97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D0F41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9E38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FD89A23">
            <w:pPr>
              <w:spacing w:line="200" w:lineRule="exact"/>
              <w:jc w:val="left"/>
            </w:pPr>
            <w:r>
              <w:rPr>
                <w:rFonts w:ascii="方正黑体_GBK" w:hAnsi="方正黑体_GBK" w:eastAsia="方正黑体_GBK" w:cs="宋体"/>
                <w:sz w:val="18"/>
                <w:szCs w:val="18"/>
              </w:rPr>
              <w:t>符合相关法律法规、监管规定要求的合格投资者，并经销售机构的风险承受能力评估体系评定为适合的个人和机构投资者。</w:t>
            </w:r>
          </w:p>
          <w:p w14:paraId="7490ECE3">
            <w:pPr>
              <w:spacing w:line="200" w:lineRule="exact"/>
            </w:pPr>
            <w:r>
              <w:rPr>
                <w:rFonts w:ascii="方正黑体_GBK" w:hAnsi="方正黑体_GBK" w:eastAsia="方正黑体_GBK" w:cs="宋体"/>
                <w:sz w:val="18"/>
                <w:szCs w:val="18"/>
              </w:rPr>
              <w:t>A份额：南京银行股份有限公司（除上海、北京、常州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14:paraId="2B6F28C3">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5B7AF285">
            <w:pPr>
              <w:spacing w:line="200" w:lineRule="exact"/>
            </w:pPr>
            <w:r>
              <w:rPr>
                <w:rFonts w:ascii="方正黑体_GBK" w:hAnsi="方正黑体_GBK" w:eastAsia="方正黑体_GBK" w:cs="宋体"/>
                <w:sz w:val="18"/>
                <w:szCs w:val="18"/>
              </w:rPr>
              <w:t>A2份额：南京银行股份有限公司（除新客、新资金(20万))、私行客户、钻石客户、新晋私行客户、新晋钻石户及南京银行认定的其他符合标准的客户外的其他客户）、南银理财有限责任公司、九江银行股份有限公司。</w:t>
            </w:r>
          </w:p>
          <w:p w14:paraId="1A77212E">
            <w:pPr>
              <w:spacing w:line="200" w:lineRule="exact"/>
            </w:pPr>
            <w:r>
              <w:rPr>
                <w:rFonts w:ascii="方正黑体_GBK" w:hAnsi="方正黑体_GBK" w:eastAsia="方正黑体_GBK" w:cs="宋体"/>
                <w:sz w:val="18"/>
                <w:szCs w:val="18"/>
              </w:rPr>
              <w:t>A3份额：南银理财有限责任公司、南京银行股份有限公司（除私行客户、钻石客户、新晋私行客户、新晋钻石户及南京银行认定的其他符合标准的客户外的其他客户）、九江银行股份有限公司。</w:t>
            </w:r>
          </w:p>
          <w:p w14:paraId="57992F37">
            <w:pPr>
              <w:spacing w:line="200" w:lineRule="exact"/>
            </w:pPr>
            <w:r>
              <w:rPr>
                <w:rFonts w:ascii="方正黑体_GBK" w:hAnsi="方正黑体_GBK" w:eastAsia="方正黑体_GBK" w:cs="宋体"/>
                <w:sz w:val="18"/>
                <w:szCs w:val="18"/>
              </w:rPr>
              <w:t>A4份额：南京银行股份有限公司（除私行客户、钻石客户、新晋私行客户、新晋钻石户及南京银行认定的其他符合标准的客户外的其他客户）、九江银行股份有限公司。</w:t>
            </w:r>
          </w:p>
          <w:p w14:paraId="075712A5">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7C7DD7FF">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003E4872">
            <w:pPr>
              <w:spacing w:line="200" w:lineRule="exact"/>
            </w:pPr>
            <w:r>
              <w:rPr>
                <w:rFonts w:ascii="方正黑体_GBK" w:hAnsi="方正黑体_GBK" w:eastAsia="方正黑体_GBK" w:cs="宋体"/>
                <w:sz w:val="18"/>
                <w:szCs w:val="18"/>
              </w:rPr>
              <w:t>G2份额：成都银行股份有限公司。</w:t>
            </w:r>
          </w:p>
          <w:p w14:paraId="2920F3E5">
            <w:pPr>
              <w:spacing w:line="200" w:lineRule="exact"/>
            </w:pPr>
            <w:r>
              <w:rPr>
                <w:rFonts w:ascii="方正黑体_GBK" w:hAnsi="方正黑体_GBK" w:eastAsia="方正黑体_GBK" w:cs="宋体"/>
                <w:sz w:val="18"/>
                <w:szCs w:val="18"/>
              </w:rPr>
              <w:t>G3份额：成都银行股份有限公司。</w:t>
            </w:r>
          </w:p>
          <w:p w14:paraId="6B6DF5F7">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0CA21D89">
            <w:pPr>
              <w:spacing w:line="200" w:lineRule="exact"/>
            </w:pPr>
            <w:r>
              <w:rPr>
                <w:rFonts w:ascii="方正黑体_GBK" w:hAnsi="方正黑体_GBK" w:eastAsia="方正黑体_GBK" w:cs="宋体"/>
                <w:sz w:val="18"/>
                <w:szCs w:val="18"/>
              </w:rPr>
              <w:t>I2份额：南京银行股份有限公司北京分行(新客或新资金5万或代发客户)</w:t>
            </w:r>
          </w:p>
          <w:p w14:paraId="34E457C6">
            <w:pPr>
              <w:spacing w:line="200" w:lineRule="exact"/>
            </w:pPr>
            <w:r>
              <w:rPr>
                <w:rFonts w:ascii="方正黑体_GBK" w:hAnsi="方正黑体_GBK" w:eastAsia="方正黑体_GBK" w:cs="宋体"/>
                <w:sz w:val="18"/>
                <w:szCs w:val="18"/>
              </w:rPr>
              <w:t>J2份额：兴业银行股份有限公司（私行客户1万元起购）。</w:t>
            </w:r>
          </w:p>
          <w:p w14:paraId="252D5F05">
            <w:pPr>
              <w:spacing w:line="200" w:lineRule="exact"/>
            </w:pPr>
            <w:r>
              <w:rPr>
                <w:rFonts w:ascii="方正黑体_GBK" w:hAnsi="方正黑体_GBK" w:eastAsia="方正黑体_GBK" w:cs="宋体"/>
                <w:sz w:val="18"/>
                <w:szCs w:val="18"/>
              </w:rPr>
              <w:t>L2份额：兴业银行股份有限公司（私行客户100万元起购）。</w:t>
            </w:r>
          </w:p>
          <w:p w14:paraId="6B312F94">
            <w:pPr>
              <w:spacing w:line="200" w:lineRule="exact"/>
            </w:pPr>
            <w:r>
              <w:rPr>
                <w:rFonts w:ascii="方正黑体_GBK" w:hAnsi="方正黑体_GBK" w:eastAsia="方正黑体_GBK" w:cs="宋体"/>
                <w:sz w:val="18"/>
                <w:szCs w:val="18"/>
              </w:rPr>
              <w:t>J3份额：兴业银行股份有限公司（私行客户1万元起购）。</w:t>
            </w:r>
          </w:p>
          <w:p w14:paraId="28B20F1A">
            <w:pPr>
              <w:spacing w:line="200" w:lineRule="exact"/>
            </w:pPr>
            <w:r>
              <w:rPr>
                <w:rFonts w:ascii="方正黑体_GBK" w:hAnsi="方正黑体_GBK" w:eastAsia="方正黑体_GBK" w:cs="宋体"/>
                <w:sz w:val="18"/>
                <w:szCs w:val="18"/>
              </w:rPr>
              <w:t>L3份额：兴业银行股份有限公司（私行客户100万元起购）。</w:t>
            </w:r>
          </w:p>
          <w:p w14:paraId="383636C9">
            <w:pPr>
              <w:spacing w:line="200" w:lineRule="exact"/>
            </w:pPr>
            <w:r>
              <w:rPr>
                <w:rFonts w:ascii="方正黑体_GBK" w:hAnsi="方正黑体_GBK" w:eastAsia="方正黑体_GBK" w:cs="宋体"/>
                <w:sz w:val="18"/>
                <w:szCs w:val="18"/>
              </w:rPr>
              <w:t>I3份额：南京银行股份有限公司上海分行(新客或新资金5万或代发客户)</w:t>
            </w:r>
          </w:p>
          <w:p w14:paraId="34EC81C9">
            <w:pPr>
              <w:spacing w:line="200" w:lineRule="exact"/>
            </w:pPr>
            <w:r>
              <w:rPr>
                <w:rFonts w:ascii="方正黑体_GBK" w:hAnsi="方正黑体_GBK" w:eastAsia="方正黑体_GBK" w:cs="宋体"/>
                <w:sz w:val="18"/>
                <w:szCs w:val="18"/>
              </w:rPr>
              <w:t>I4份额：南京银行股份有限公司常州分行(新客或新资金5万或代发客户)</w:t>
            </w:r>
          </w:p>
          <w:p w14:paraId="56DBF88F">
            <w:pPr>
              <w:spacing w:line="200" w:lineRule="exact"/>
            </w:pPr>
            <w:r>
              <w:rPr>
                <w:rFonts w:ascii="方正黑体_GBK" w:hAnsi="方正黑体_GBK" w:eastAsia="方正黑体_GBK" w:cs="宋体"/>
                <w:sz w:val="18"/>
                <w:szCs w:val="18"/>
              </w:rPr>
              <w:t>M2份额：浙江民泰商业银行股份有限公司、嘉兴银行股份有限公司、苏州银行股份有限公司、福建海峡银行股份有限公司、宁波通商银行股份有限公司。</w:t>
            </w:r>
          </w:p>
          <w:p w14:paraId="5D112A6D">
            <w:pPr>
              <w:spacing w:line="200" w:lineRule="exact"/>
            </w:pPr>
            <w:r>
              <w:rPr>
                <w:rFonts w:ascii="方正黑体_GBK" w:hAnsi="方正黑体_GBK" w:eastAsia="方正黑体_GBK" w:cs="宋体"/>
                <w:sz w:val="18"/>
                <w:szCs w:val="18"/>
              </w:rPr>
              <w:t>M3份额：浙江民泰商业银行股份有限公司、嘉兴银行股份有限公司、苏州银行股份有限公司、福建海峡银行股份有限公司、宁波通商银行股份有限公司。</w:t>
            </w:r>
          </w:p>
          <w:p w14:paraId="6EDBA3B9">
            <w:pPr>
              <w:spacing w:line="200" w:lineRule="exact"/>
            </w:pPr>
            <w:r>
              <w:rPr>
                <w:rFonts w:ascii="方正黑体_GBK" w:hAnsi="方正黑体_GBK" w:eastAsia="方正黑体_GBK" w:cs="宋体"/>
                <w:sz w:val="18"/>
                <w:szCs w:val="18"/>
              </w:rPr>
              <w:t>O2份额：广发银行股份有限公司所有个人客户。</w:t>
            </w:r>
          </w:p>
          <w:p w14:paraId="53F77C87">
            <w:pPr>
              <w:spacing w:line="200" w:lineRule="exact"/>
            </w:pPr>
            <w:r>
              <w:rPr>
                <w:rFonts w:ascii="方正黑体_GBK" w:hAnsi="方正黑体_GBK" w:eastAsia="方正黑体_GBK" w:cs="宋体"/>
                <w:sz w:val="18"/>
                <w:szCs w:val="18"/>
              </w:rPr>
              <w:t>O3份额：广发银行股份有限公司所有个人客户。</w:t>
            </w:r>
          </w:p>
          <w:p w14:paraId="4E620D08">
            <w:pPr>
              <w:spacing w:line="200" w:lineRule="exact"/>
            </w:pPr>
            <w:r>
              <w:rPr>
                <w:rFonts w:ascii="方正黑体_GBK" w:hAnsi="方正黑体_GBK" w:eastAsia="方正黑体_GBK" w:cs="宋体"/>
                <w:sz w:val="18"/>
                <w:szCs w:val="18"/>
              </w:rPr>
              <w:t>Q1份额：台州银行股份有限公司（除白名单客户外的其他客户）</w:t>
            </w:r>
          </w:p>
          <w:p w14:paraId="489F1D45">
            <w:pPr>
              <w:spacing w:line="200" w:lineRule="exact"/>
            </w:pPr>
            <w:r>
              <w:rPr>
                <w:rFonts w:ascii="方正黑体_GBK" w:hAnsi="方正黑体_GBK" w:eastAsia="方正黑体_GBK" w:cs="宋体"/>
                <w:sz w:val="18"/>
                <w:szCs w:val="18"/>
              </w:rPr>
              <w:t>R1份额：台州银行股份有限公司白名单客户。</w:t>
            </w:r>
          </w:p>
          <w:p w14:paraId="2450D092">
            <w:pPr>
              <w:spacing w:line="200" w:lineRule="exact"/>
            </w:pPr>
            <w:r>
              <w:rPr>
                <w:rFonts w:ascii="方正黑体_GBK" w:hAnsi="方正黑体_GBK" w:eastAsia="方正黑体_GBK" w:cs="宋体"/>
                <w:sz w:val="18"/>
                <w:szCs w:val="18"/>
              </w:rPr>
              <w:t>Q2份额：台州银行股份有限公司（除白名单客户外的其他客户）</w:t>
            </w:r>
          </w:p>
          <w:p w14:paraId="00CB5FD5">
            <w:pPr>
              <w:spacing w:line="200" w:lineRule="exact"/>
            </w:pPr>
            <w:r>
              <w:rPr>
                <w:rFonts w:ascii="方正黑体_GBK" w:hAnsi="方正黑体_GBK" w:eastAsia="方正黑体_GBK" w:cs="宋体"/>
                <w:sz w:val="18"/>
                <w:szCs w:val="18"/>
              </w:rPr>
              <w:t>R2份额：台州银行股份有限公司白名单客户。</w:t>
            </w:r>
          </w:p>
          <w:p w14:paraId="0F6B1430">
            <w:pPr>
              <w:spacing w:line="200" w:lineRule="exact"/>
            </w:pPr>
            <w:r>
              <w:rPr>
                <w:rFonts w:ascii="方正黑体_GBK" w:hAnsi="方正黑体_GBK" w:eastAsia="方正黑体_GBK" w:cs="宋体"/>
                <w:sz w:val="18"/>
                <w:szCs w:val="18"/>
              </w:rPr>
              <w:t>Q3份额：台州银行股份有限公司（除白名单客户外的其他客户）</w:t>
            </w:r>
          </w:p>
          <w:p w14:paraId="24C1592A">
            <w:pPr>
              <w:spacing w:line="200" w:lineRule="exact"/>
            </w:pPr>
            <w:r>
              <w:rPr>
                <w:rFonts w:ascii="方正黑体_GBK" w:hAnsi="方正黑体_GBK" w:eastAsia="方正黑体_GBK" w:cs="宋体"/>
                <w:sz w:val="18"/>
                <w:szCs w:val="18"/>
              </w:rPr>
              <w:t>R3份额：台州银行股份有限公司白名单客户。</w:t>
            </w:r>
          </w:p>
          <w:p w14:paraId="19A44EA9">
            <w:pPr>
              <w:spacing w:line="200" w:lineRule="exact"/>
            </w:pPr>
            <w:r>
              <w:rPr>
                <w:rFonts w:ascii="方正黑体_GBK" w:hAnsi="方正黑体_GBK" w:eastAsia="方正黑体_GBK" w:cs="宋体"/>
                <w:sz w:val="18"/>
                <w:szCs w:val="18"/>
              </w:rPr>
              <w:t>G1份额：成都银行股份有限公司。</w:t>
            </w:r>
          </w:p>
          <w:p w14:paraId="52F2797A">
            <w:pPr>
              <w:spacing w:line="200" w:lineRule="exact"/>
            </w:pPr>
            <w:r>
              <w:rPr>
                <w:rFonts w:ascii="方正黑体_GBK" w:hAnsi="方正黑体_GBK" w:eastAsia="方正黑体_GBK" w:cs="宋体"/>
                <w:sz w:val="18"/>
                <w:szCs w:val="18"/>
              </w:rPr>
              <w:t>I1份额：南京银行股份有限公司上海分行(新客或新资金5万或代发客户)</w:t>
            </w:r>
          </w:p>
          <w:p w14:paraId="166B973C">
            <w:pPr>
              <w:spacing w:line="200" w:lineRule="exact"/>
            </w:pPr>
            <w:r>
              <w:rPr>
                <w:rFonts w:ascii="方正黑体_GBK" w:hAnsi="方正黑体_GBK" w:eastAsia="方正黑体_GBK" w:cs="宋体"/>
                <w:sz w:val="18"/>
                <w:szCs w:val="18"/>
              </w:rPr>
              <w:t>J1份额：兴业银行股份有限公司（私行客户1万元起购）。</w:t>
            </w:r>
          </w:p>
          <w:p w14:paraId="70E05029">
            <w:pPr>
              <w:spacing w:line="200" w:lineRule="exact"/>
            </w:pPr>
            <w:r>
              <w:rPr>
                <w:rFonts w:ascii="方正黑体_GBK" w:hAnsi="方正黑体_GBK" w:eastAsia="方正黑体_GBK" w:cs="宋体"/>
                <w:sz w:val="18"/>
                <w:szCs w:val="18"/>
              </w:rPr>
              <w:t>L1份额：兴业银行股份有限公司（私行客户100万元起购）。</w:t>
            </w:r>
          </w:p>
          <w:p w14:paraId="42C6DF02">
            <w:pPr>
              <w:spacing w:line="200" w:lineRule="exact"/>
            </w:pPr>
            <w:r>
              <w:rPr>
                <w:rFonts w:ascii="方正黑体_GBK" w:hAnsi="方正黑体_GBK" w:eastAsia="方正黑体_GBK" w:cs="宋体"/>
                <w:sz w:val="18"/>
                <w:szCs w:val="18"/>
              </w:rPr>
              <w:t>M1份额：浙江民泰商业银行股份有限公司、嘉兴银行股份有限公司、苏州银行股份有限公司（除代发与新资金外的其他客户）、福建海峡银行股份有限公司、宁波通商银行股份有限公司。</w:t>
            </w:r>
          </w:p>
          <w:p w14:paraId="7ED5FF6D">
            <w:pPr>
              <w:spacing w:line="200" w:lineRule="exact"/>
            </w:pPr>
            <w:r>
              <w:rPr>
                <w:rFonts w:ascii="方正黑体_GBK" w:hAnsi="方正黑体_GBK" w:eastAsia="方正黑体_GBK" w:cs="宋体"/>
                <w:sz w:val="18"/>
                <w:szCs w:val="18"/>
              </w:rPr>
              <w:t>N1份额：苏州银行股份有限公司（代发与新资金客户）。</w:t>
            </w:r>
          </w:p>
          <w:p w14:paraId="47F97250">
            <w:pPr>
              <w:spacing w:line="200" w:lineRule="exact"/>
            </w:pPr>
            <w:r>
              <w:rPr>
                <w:rFonts w:ascii="方正黑体_GBK" w:hAnsi="方正黑体_GBK" w:eastAsia="方正黑体_GBK" w:cs="宋体"/>
                <w:sz w:val="18"/>
                <w:szCs w:val="18"/>
              </w:rPr>
              <w:t>O1份额：广发银行股份有限公司所有个人客户。</w:t>
            </w:r>
          </w:p>
          <w:p w14:paraId="749D3264">
            <w:pPr>
              <w:spacing w:line="200" w:lineRule="exact"/>
            </w:pPr>
            <w:r>
              <w:rPr>
                <w:rFonts w:ascii="方正黑体_GBK" w:hAnsi="方正黑体_GBK" w:eastAsia="方正黑体_GBK" w:cs="宋体"/>
                <w:sz w:val="18"/>
                <w:szCs w:val="18"/>
              </w:rPr>
              <w:t>S1份额：成都农村商业银行股份有限公司。</w:t>
            </w:r>
          </w:p>
          <w:p w14:paraId="04072EDF">
            <w:pPr>
              <w:spacing w:line="200" w:lineRule="exact"/>
            </w:pPr>
            <w:r>
              <w:rPr>
                <w:rFonts w:ascii="方正黑体_GBK" w:hAnsi="方正黑体_GBK" w:eastAsia="方正黑体_GBK" w:cs="宋体"/>
                <w:sz w:val="18"/>
                <w:szCs w:val="18"/>
              </w:rPr>
              <w:t>S2份额：成都农村商业银行股份有限公司。</w:t>
            </w:r>
          </w:p>
          <w:p w14:paraId="1F07D693">
            <w:pPr>
              <w:spacing w:line="200" w:lineRule="exact"/>
            </w:pPr>
            <w:r>
              <w:rPr>
                <w:rFonts w:ascii="方正黑体_GBK" w:hAnsi="方正黑体_GBK" w:eastAsia="方正黑体_GBK" w:cs="宋体"/>
                <w:sz w:val="18"/>
                <w:szCs w:val="18"/>
              </w:rPr>
              <w:t>S3份额：成都农村商业银行股份有限公司。</w:t>
            </w:r>
          </w:p>
          <w:p w14:paraId="08BA94F9">
            <w:pPr>
              <w:spacing w:line="200" w:lineRule="exact"/>
            </w:pPr>
            <w:r>
              <w:rPr>
                <w:rFonts w:ascii="方正黑体_GBK" w:hAnsi="方正黑体_GBK" w:eastAsia="方正黑体_GBK" w:cs="宋体"/>
                <w:sz w:val="18"/>
                <w:szCs w:val="18"/>
              </w:rPr>
              <w:t>T1份额：河北银行股份有限公司（除分行财富客户外的其他客户）。</w:t>
            </w:r>
          </w:p>
          <w:p w14:paraId="2EDF5D1C">
            <w:pPr>
              <w:spacing w:line="200" w:lineRule="exact"/>
            </w:pPr>
            <w:r>
              <w:rPr>
                <w:rFonts w:ascii="方正黑体_GBK" w:hAnsi="方正黑体_GBK" w:eastAsia="方正黑体_GBK" w:cs="宋体"/>
                <w:sz w:val="18"/>
                <w:szCs w:val="18"/>
              </w:rPr>
              <w:t>T2份额：河北银行股份有限公司（除分行财富客户外的其他客户）。</w:t>
            </w:r>
          </w:p>
          <w:p w14:paraId="7AA5AAFD">
            <w:pPr>
              <w:spacing w:line="200" w:lineRule="exact"/>
            </w:pPr>
            <w:r>
              <w:rPr>
                <w:rFonts w:ascii="方正黑体_GBK" w:hAnsi="方正黑体_GBK" w:eastAsia="方正黑体_GBK" w:cs="宋体"/>
                <w:sz w:val="18"/>
                <w:szCs w:val="18"/>
              </w:rPr>
              <w:t>T3份额：河北银行股份有限公司（除分行财富客户外的其他客户）。</w:t>
            </w:r>
          </w:p>
          <w:p w14:paraId="6D6A32CC">
            <w:pPr>
              <w:spacing w:line="200" w:lineRule="exact"/>
            </w:pPr>
            <w:r>
              <w:rPr>
                <w:rFonts w:ascii="方正黑体_GBK" w:hAnsi="方正黑体_GBK" w:eastAsia="方正黑体_GBK" w:cs="宋体"/>
                <w:sz w:val="18"/>
                <w:szCs w:val="18"/>
              </w:rPr>
              <w:t>V1份额：桂林银行股份有限公司（高净值客户）</w:t>
            </w:r>
          </w:p>
          <w:p w14:paraId="5E03B5EA">
            <w:pPr>
              <w:spacing w:line="200" w:lineRule="exact"/>
            </w:pPr>
            <w:r>
              <w:rPr>
                <w:rFonts w:ascii="方正黑体_GBK" w:hAnsi="方正黑体_GBK" w:eastAsia="方正黑体_GBK" w:cs="宋体"/>
                <w:sz w:val="18"/>
                <w:szCs w:val="18"/>
              </w:rPr>
              <w:t>V2份额：桂林银行股份有限公司（高净值客户）</w:t>
            </w:r>
          </w:p>
          <w:p w14:paraId="62C55023">
            <w:pPr>
              <w:spacing w:line="200" w:lineRule="exact"/>
            </w:pPr>
            <w:r>
              <w:rPr>
                <w:rFonts w:ascii="方正黑体_GBK" w:hAnsi="方正黑体_GBK" w:eastAsia="方正黑体_GBK" w:cs="宋体"/>
                <w:sz w:val="18"/>
                <w:szCs w:val="18"/>
              </w:rPr>
              <w:t>V3份额：桂林银行股份有限公司（高净值客户）</w:t>
            </w:r>
          </w:p>
          <w:p w14:paraId="739187EB">
            <w:pPr>
              <w:spacing w:line="200" w:lineRule="exact"/>
            </w:pPr>
            <w:r>
              <w:rPr>
                <w:rFonts w:ascii="方正黑体_GBK" w:hAnsi="方正黑体_GBK" w:eastAsia="方正黑体_GBK"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194B0986">
            <w:pPr>
              <w:spacing w:line="200" w:lineRule="exact"/>
            </w:pPr>
            <w:r>
              <w:rPr>
                <w:rFonts w:ascii="方正黑体_GBK" w:hAnsi="方正黑体_GBK" w:eastAsia="方正黑体_GBK"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281ED1C2">
            <w:pPr>
              <w:spacing w:line="200" w:lineRule="exact"/>
            </w:pPr>
            <w:r>
              <w:rPr>
                <w:rFonts w:ascii="方正黑体_GBK" w:hAnsi="方正黑体_GBK" w:eastAsia="方正黑体_GBK"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6550104C">
            <w:pPr>
              <w:spacing w:line="200" w:lineRule="exact"/>
            </w:pPr>
            <w:r>
              <w:rPr>
                <w:rFonts w:ascii="方正黑体_GBK" w:hAnsi="方正黑体_GBK" w:eastAsia="方正黑体_GBK"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22637428">
            <w:pPr>
              <w:spacing w:line="200" w:lineRule="exact"/>
            </w:pPr>
            <w:r>
              <w:rPr>
                <w:rFonts w:ascii="方正黑体_GBK" w:hAnsi="方正黑体_GBK" w:eastAsia="方正黑体_GBK" w:cs="宋体"/>
                <w:sz w:val="18"/>
                <w:szCs w:val="18"/>
              </w:rPr>
              <w:t>B6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0A226183">
            <w:pPr>
              <w:spacing w:line="200" w:lineRule="exact"/>
            </w:pPr>
            <w:r>
              <w:rPr>
                <w:rFonts w:ascii="方正黑体_GBK" w:hAnsi="方正黑体_GBK" w:eastAsia="方正黑体_GBK" w:cs="宋体"/>
                <w:sz w:val="18"/>
                <w:szCs w:val="18"/>
              </w:rPr>
              <w:t>C6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59B01392">
            <w:pPr>
              <w:spacing w:line="200" w:lineRule="exact"/>
            </w:pPr>
            <w:r>
              <w:rPr>
                <w:rFonts w:ascii="方正黑体_GBK" w:hAnsi="方正黑体_GBK" w:eastAsia="方正黑体_GBK" w:cs="宋体"/>
                <w:sz w:val="18"/>
                <w:szCs w:val="18"/>
              </w:rPr>
              <w:t>D6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119CCA6A">
            <w:pPr>
              <w:spacing w:line="200" w:lineRule="exact"/>
            </w:pPr>
            <w:r>
              <w:rPr>
                <w:rFonts w:ascii="方正黑体_GBK" w:hAnsi="方正黑体_GBK" w:eastAsia="方正黑体_GBK" w:cs="宋体"/>
                <w:sz w:val="18"/>
                <w:szCs w:val="18"/>
              </w:rPr>
              <w:t>E6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33C6DBFE">
            <w:pPr>
              <w:spacing w:line="200" w:lineRule="exact"/>
            </w:pPr>
            <w:r>
              <w:rPr>
                <w:rFonts w:ascii="方正黑体_GBK" w:hAnsi="方正黑体_GBK" w:eastAsia="方正黑体_GBK" w:cs="宋体"/>
                <w:sz w:val="18"/>
                <w:szCs w:val="18"/>
              </w:rPr>
              <w:t>B7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2E9C1E06">
            <w:pPr>
              <w:spacing w:line="200" w:lineRule="exact"/>
            </w:pPr>
            <w:r>
              <w:rPr>
                <w:rFonts w:ascii="方正黑体_GBK" w:hAnsi="方正黑体_GBK" w:eastAsia="方正黑体_GBK" w:cs="宋体"/>
                <w:sz w:val="18"/>
                <w:szCs w:val="18"/>
              </w:rPr>
              <w:t>C7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101FEE95">
            <w:pPr>
              <w:spacing w:line="200" w:lineRule="exact"/>
            </w:pPr>
            <w:r>
              <w:rPr>
                <w:rFonts w:ascii="方正黑体_GBK" w:hAnsi="方正黑体_GBK" w:eastAsia="方正黑体_GBK" w:cs="宋体"/>
                <w:sz w:val="18"/>
                <w:szCs w:val="18"/>
              </w:rPr>
              <w:t>D7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2F149A05">
            <w:pPr>
              <w:spacing w:line="200" w:lineRule="exact"/>
            </w:pPr>
            <w:r>
              <w:rPr>
                <w:rFonts w:ascii="方正黑体_GBK" w:hAnsi="方正黑体_GBK" w:eastAsia="方正黑体_GBK" w:cs="宋体"/>
                <w:sz w:val="18"/>
                <w:szCs w:val="18"/>
              </w:rPr>
              <w:t>E7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70401507">
            <w:pPr>
              <w:spacing w:line="200" w:lineRule="exact"/>
            </w:pPr>
            <w:r>
              <w:rPr>
                <w:rFonts w:ascii="方正黑体_GBK" w:hAnsi="方正黑体_GBK" w:eastAsia="方正黑体_GBK" w:cs="宋体"/>
                <w:b/>
                <w:sz w:val="18"/>
                <w:szCs w:val="18"/>
              </w:rPr>
              <w:t>注：本产品不同份额针对不同的销售机构及客群进行销售。</w:t>
            </w:r>
          </w:p>
          <w:p w14:paraId="3FD6BCE2">
            <w:pPr>
              <w:spacing w:line="200" w:lineRule="exact"/>
              <w:jc w:val="left"/>
            </w:pPr>
          </w:p>
        </w:tc>
      </w:tr>
      <w:tr w14:paraId="23ED4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4426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DE9A90E">
            <w:pPr>
              <w:spacing w:line="200" w:lineRule="exact"/>
            </w:pPr>
            <w:r>
              <w:rPr>
                <w:rFonts w:ascii="方正黑体_GBK" w:hAnsi="方正黑体_GBK" w:eastAsia="方正黑体_GBK" w:cs="宋体"/>
                <w:sz w:val="18"/>
                <w:szCs w:val="18"/>
              </w:rPr>
              <w:t>A份额/F份额/A2份额/A3份额/A4份额/F2份额/F3份额/G2份额/G3份额/F4份额/I2份额/J2份额/L2份额/J3份额/L3份额/I3份额/I4份额/M2份额/M3份额/Q1份额/R1份额/Q2份额/R2份额/Q3份额/R3份额/G1份额/I1份额/J1份额/L1份额/M1份额/N1份额/S1份额/S2份额/S3份额/T1份额/T2份额/T3份额/V1份额/V2份额/V3份额/B5份额/C5份额/D5份额/E5份额/B6份额/C6份额/D6份额/E6份额/B7份额/C7份额/D7份额/E7份额：</w:t>
            </w:r>
          </w:p>
          <w:p w14:paraId="0F8B321A">
            <w:pPr>
              <w:spacing w:line="200" w:lineRule="exact"/>
            </w:pPr>
            <w:r>
              <w:rPr>
                <w:rFonts w:ascii="方正黑体_GBK" w:hAnsi="方正黑体_GBK" w:eastAsia="方正黑体_GBK" w:cs="宋体"/>
                <w:sz w:val="18"/>
                <w:szCs w:val="18"/>
              </w:rPr>
              <w:t>个人投资者投资起点金额1元人民币，以1元的整数倍递增；</w:t>
            </w:r>
          </w:p>
          <w:p w14:paraId="35B9F8BE">
            <w:pPr>
              <w:spacing w:line="200" w:lineRule="exact"/>
            </w:pPr>
            <w:r>
              <w:rPr>
                <w:rFonts w:ascii="方正黑体_GBK" w:hAnsi="方正黑体_GBK" w:eastAsia="方正黑体_GBK" w:cs="宋体"/>
                <w:sz w:val="18"/>
                <w:szCs w:val="18"/>
              </w:rPr>
              <w:t>机构投资者投资起点金额1元人民币，以1元的整数倍递增；</w:t>
            </w:r>
          </w:p>
          <w:p w14:paraId="3D02771A">
            <w:pPr>
              <w:spacing w:line="200" w:lineRule="exact"/>
            </w:pPr>
            <w:r>
              <w:rPr>
                <w:rFonts w:ascii="方正黑体_GBK" w:hAnsi="方正黑体_GBK" w:eastAsia="方正黑体_GBK" w:cs="宋体"/>
                <w:sz w:val="18"/>
                <w:szCs w:val="18"/>
              </w:rPr>
              <w:t>O2份额/O3份额/O1份额：</w:t>
            </w:r>
          </w:p>
          <w:p w14:paraId="780F90E3">
            <w:pPr>
              <w:spacing w:line="200" w:lineRule="exact"/>
            </w:pPr>
            <w:r>
              <w:rPr>
                <w:rFonts w:ascii="方正黑体_GBK" w:hAnsi="方正黑体_GBK" w:eastAsia="方正黑体_GBK" w:cs="宋体"/>
                <w:sz w:val="18"/>
                <w:szCs w:val="18"/>
              </w:rPr>
              <w:t>个人投资者投资起点金额1元人民币，以1元的整数倍递增；</w:t>
            </w:r>
          </w:p>
          <w:p w14:paraId="30CD967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0A65A3E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2E89A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5BD5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668D90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4B42AC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2C919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576C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AF48FFB">
            <w:pPr>
              <w:spacing w:line="200" w:lineRule="exact"/>
            </w:pPr>
            <w:r>
              <w:rPr>
                <w:rFonts w:ascii="方正黑体_GBK" w:hAnsi="方正黑体_GBK" w:eastAsia="方正黑体_GBK" w:cs="宋体"/>
                <w:color w:val="000000"/>
                <w:sz w:val="18"/>
                <w:szCs w:val="18"/>
              </w:rPr>
              <w:t>2019年04月17日 09:00—2019年04月23日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74797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6028E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C9F5A9">
            <w:pPr>
              <w:spacing w:line="200" w:lineRule="exact"/>
            </w:pPr>
            <w:r>
              <w:rPr>
                <w:rFonts w:ascii="方正黑体_GBK" w:hAnsi="方正黑体_GBK" w:eastAsia="方正黑体_GBK" w:cs="宋体"/>
                <w:sz w:val="18"/>
                <w:szCs w:val="18"/>
              </w:rPr>
              <w:t>认购份额=确认认购金额/1。（认购份额以去尾法保留两位小数）</w:t>
            </w:r>
          </w:p>
        </w:tc>
      </w:tr>
      <w:tr w14:paraId="443E9D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9EAF5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87D876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C3188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9729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7E4429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2019年04月24日</w:t>
            </w:r>
          </w:p>
        </w:tc>
      </w:tr>
      <w:tr w14:paraId="5FE638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8D4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6CF3B8F">
            <w:pPr>
              <w:spacing w:line="200" w:lineRule="exact"/>
            </w:pPr>
            <w:r>
              <w:rPr>
                <w:rFonts w:ascii="方正黑体_GBK" w:hAnsi="方正黑体_GBK" w:eastAsia="方正黑体_GBK" w:cs="宋体"/>
                <w:sz w:val="18"/>
                <w:szCs w:val="18"/>
              </w:rPr>
              <w:t>2019年04月24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14:paraId="522D6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8F8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6E6C6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3A0FB0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B3E3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7BC5947">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6BAE47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7EA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97CC5F">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29944D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0DCAA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3C43F0C2">
            <w:pPr>
              <w:spacing w:line="200" w:lineRule="exact"/>
            </w:pPr>
            <w:r>
              <w:rPr>
                <w:rFonts w:ascii="方正黑体_GBK" w:hAnsi="方正黑体_GBK" w:eastAsia="方正黑体_GBK" w:cs="宋体"/>
                <w:sz w:val="18"/>
                <w:szCs w:val="18"/>
              </w:rPr>
              <w:t>A份额/F份额/Q1份额/R1份额：本次开放期为2026年6月25日9：00至2026年7月1日17：00,下一个开放期为2027年7月29日9：00至2027年8月4日17：00，投资者可以提交或撤销认购/申购/赎回申请。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A2份额/F2份额/A3份额/F3份额/A4份额/F4份额:开放期2026年6月25日9：00至2026年7月1日17：00，投资者可以提交或撤销赎回申请</w:t>
            </w:r>
            <w:r>
              <w:rPr>
                <w:rFonts w:ascii="方正黑体_GBK" w:hAnsi="方正黑体_GBK" w:eastAsia="方正黑体_GBK"/>
              </w:rPr>
              <w:br w:type="textWrapping"/>
            </w:r>
            <w:r>
              <w:rPr>
                <w:rFonts w:ascii="方正黑体_GBK" w:hAnsi="方正黑体_GBK" w:eastAsia="方正黑体_GBK" w:cs="宋体"/>
                <w:sz w:val="18"/>
                <w:szCs w:val="18"/>
              </w:rPr>
              <w:t>B1份额/C1份额/D1份额/E1份额/G1份额/I1份额/I2份额/I4份额/J1份额/L1份额/M1份额/N1份额/O1份额/S1份额/T1份额/V1份额：本次开放期为2026年6月25日9：00至2026年7月1日17：00，投资者可以提交或撤销认购/申购申请；确认成功的份额均将于下一个开放期（2027年7月29日9：00至2027年8月4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A2份额/F2份额/Q2份额/R2份额：本次开放期为2026年7月2日9：00至2026年7月8日17：00,下一个开放期为2027年8月5日9：00至2027年8月11日17：00，投资者可以提交或撤销认购/申购/赎回申请。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B4份额/C4份额/D4份额/E4份额/G2份额/L2份额/M2份额/O2份额/S2份额/T2份额/V2份额：本次开放期为2026年7月2日9：00至2026年7月8日17：00，投资者可以提交或撤销认购/申购申请；确认成功的份额均将于下一个开放期（2027年8月5日9：00至2027年8月11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A3份额/F3份额/Q3份额/R3份额：本次开放期为2026年7月9日9：00至2026年7月15日17：00,下一个开放期为2027年8月12日9：00至2027年8月18日17：00，投资者可以提交或撤销认购/申购/赎回申请。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B5份额/C5份额/D5份额/E5份额/G3份额/I3份额/J3份额/L3份额/M3份额/O3份额/S3份额/T3份额/V3份额：本次开放期为2026年7月9日9：00至2026年7月15日17：00，投资者可以提交或撤销认购/申购申请；确认成功的份额均将于下一个开放期（2027年8月12日9：00至2027年8月18日17：00）由系统自动发起赎回申请。产品开放期如有调整以管理人公告为准。</w:t>
            </w:r>
            <w:r>
              <w:rPr>
                <w:rFonts w:ascii="方正黑体_GBK" w:hAnsi="方正黑体_GBK" w:eastAsia="方正黑体_GBK"/>
              </w:rPr>
              <w:br w:type="textWrapping"/>
            </w:r>
            <w:r>
              <w:rPr>
                <w:rFonts w:ascii="方正黑体_GBK" w:hAnsi="方正黑体_GBK" w:eastAsia="方正黑体_GBK" w:cs="宋体"/>
                <w:sz w:val="18"/>
                <w:szCs w:val="18"/>
              </w:rPr>
              <w:t>A4份额/F4份额：本次开放期为2026年7月16日9：00至2026年7月22日17：00,下一个开放期为2027年8月19日9：00至2027年8月25日17：00，投资者可以提交或撤销认购/申购/赎回申请。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在销售机构支持的前提下，认购/申购/赎回开放期末日17:00前可以撤销申请。</w:t>
            </w:r>
            <w:r>
              <w:rPr>
                <w:rFonts w:ascii="方正黑体_GBK" w:hAnsi="方正黑体_GBK" w:eastAsia="方正黑体_GBK"/>
              </w:rPr>
              <w:br w:type="textWrapping"/>
            </w:r>
            <w:r>
              <w:rPr>
                <w:rFonts w:ascii="方正黑体_GBK" w:hAnsi="方正黑体_GBK" w:eastAsia="方正黑体_GBK" w:cs="宋体"/>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14:paraId="56785A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51DE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649571">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729AF6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00A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9A1C731">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5BAD9D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D139E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AA5C5D">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B6D6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2290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90E21C2">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4340FE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7E55F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DF3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743747">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w:t>
            </w:r>
            <w:bookmarkStart w:id="0" w:name="_GoBack"/>
            <w:bookmarkEnd w:id="0"/>
            <w:r>
              <w:rPr>
                <w:rFonts w:ascii="方正黑体_GBK" w:hAnsi="方正黑体_GBK" w:eastAsia="方正黑体_GBK" w:cs="宋体"/>
                <w:sz w:val="18"/>
                <w:szCs w:val="18"/>
              </w:rPr>
              <w:t>。</w:t>
            </w:r>
          </w:p>
          <w:p w14:paraId="5B772948">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1ADE9F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F59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0EA58B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456BCE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FBD731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B0648B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E07ECE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740387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9A3D919">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93B98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963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E367BA7">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7DC70C2">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693A9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DB24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1FCA7DF">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595114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3A94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18CA7A9">
            <w:pPr>
              <w:spacing w:line="200" w:lineRule="exact"/>
            </w:pPr>
            <w:r>
              <w:rPr>
                <w:rFonts w:ascii="方正黑体_GBK" w:hAnsi="方正黑体_GBK" w:eastAsia="方正黑体_GBK" w:cs="宋体"/>
                <w:b/>
                <w:sz w:val="18"/>
                <w:szCs w:val="18"/>
              </w:rPr>
              <w:t>本理财产品拟投资以下备选非标准化债权类资产：</w:t>
            </w:r>
          </w:p>
          <w:p w14:paraId="4083D1C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4491A75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09FBFA7B">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4B31B1C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0F6AAE2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473815BC">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2619308F">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59F0871D">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14:paraId="57B5F9D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14:paraId="7DE32A6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14:paraId="38B571D8">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14:paraId="1AB089C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14:paraId="27DC278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14:paraId="0C4D93D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14:paraId="25F19EB0">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1549774F">
            <w:pPr>
              <w:spacing w:line="200" w:lineRule="exact"/>
              <w:jc w:val="left"/>
            </w:pPr>
            <w:r>
              <w:rPr>
                <w:rFonts w:ascii="方正黑体_GBK" w:hAnsi="方正黑体_GBK" w:eastAsia="方正黑体_GBK" w:cs="宋体"/>
                <w:sz w:val="18"/>
                <w:szCs w:val="18"/>
              </w:rPr>
              <w:t>16.  同业借款：资产类型为南银理财有限责任公司向持牌金融机构发放的同业借款，资产到期日不超过理财产品最近一次开放日，融资人为中国中信金融资产管理股份有限公司。</w:t>
            </w:r>
          </w:p>
          <w:p w14:paraId="44A6C955">
            <w:pPr>
              <w:spacing w:line="200" w:lineRule="exact"/>
              <w:jc w:val="left"/>
            </w:pPr>
            <w:r>
              <w:rPr>
                <w:rFonts w:ascii="方正黑体_GBK" w:hAnsi="方正黑体_GBK" w:eastAsia="方正黑体_GBK" w:cs="宋体"/>
                <w:sz w:val="18"/>
                <w:szCs w:val="18"/>
              </w:rPr>
              <w:t>17.  同业借款：资产类型为南银理财有限责任公司向持牌金融机构发放的同业借款，资产到期日不超过理财产品最近一次开放日，融资人为中国东方资产管理股份有限公司。</w:t>
            </w:r>
          </w:p>
          <w:p w14:paraId="300B7CE7">
            <w:pPr>
              <w:spacing w:line="200" w:lineRule="exact"/>
              <w:jc w:val="left"/>
            </w:pPr>
            <w:r>
              <w:rPr>
                <w:rFonts w:ascii="方正黑体_GBK" w:hAnsi="方正黑体_GBK" w:eastAsia="方正黑体_GBK" w:cs="宋体"/>
                <w:sz w:val="18"/>
                <w:szCs w:val="18"/>
              </w:rPr>
              <w:t>18.  同业借款：资产类型为南银理财有限责任公司向持牌金融机构发放的同业借款，资产到期日不超过理财产品最近一次开放日，融资人为中国信达资产管理股份有限公司。</w:t>
            </w:r>
          </w:p>
          <w:p w14:paraId="4FEA50DE">
            <w:pPr>
              <w:spacing w:line="200" w:lineRule="exact"/>
              <w:jc w:val="left"/>
            </w:pPr>
            <w:r>
              <w:rPr>
                <w:rFonts w:ascii="方正黑体_GBK" w:hAnsi="方正黑体_GBK" w:eastAsia="方正黑体_GBK" w:cs="宋体"/>
                <w:sz w:val="18"/>
                <w:szCs w:val="18"/>
              </w:rPr>
              <w:t>19.  同业借款：资产类型为南银理财有限责任公司向持牌金融机构发放的同业借款，资产到期日不超过理财产品最近一次开放日，融资人为中国长城资产管理股份有限公司。</w:t>
            </w:r>
          </w:p>
          <w:p w14:paraId="59030ED6">
            <w:pPr>
              <w:spacing w:line="200" w:lineRule="exact"/>
              <w:jc w:val="left"/>
            </w:pPr>
            <w:r>
              <w:rPr>
                <w:rFonts w:ascii="方正黑体_GBK" w:hAnsi="方正黑体_GBK" w:eastAsia="方正黑体_GBK"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14:paraId="2A715092">
            <w:pPr>
              <w:spacing w:line="200" w:lineRule="exact"/>
              <w:jc w:val="left"/>
            </w:pPr>
            <w:r>
              <w:rPr>
                <w:rFonts w:ascii="方正黑体_GBK" w:hAnsi="方正黑体_GBK" w:eastAsia="方正黑体_GBK"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14:paraId="2F30C9FB">
            <w:pPr>
              <w:spacing w:line="200" w:lineRule="exact"/>
              <w:jc w:val="left"/>
            </w:pPr>
            <w:r>
              <w:rPr>
                <w:rFonts w:ascii="方正黑体_GBK" w:hAnsi="方正黑体_GBK" w:eastAsia="方正黑体_GBK"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14:paraId="095F6F5B">
            <w:pPr>
              <w:spacing w:line="200" w:lineRule="exact"/>
              <w:jc w:val="left"/>
            </w:pPr>
            <w:r>
              <w:rPr>
                <w:rFonts w:ascii="方正黑体_GBK" w:hAnsi="方正黑体_GBK" w:eastAsia="方正黑体_GBK"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14:paraId="4EBC3943">
            <w:pPr>
              <w:spacing w:line="200" w:lineRule="exact"/>
              <w:jc w:val="left"/>
            </w:pPr>
            <w:r>
              <w:rPr>
                <w:rFonts w:ascii="方正黑体_GBK" w:hAnsi="方正黑体_GBK" w:eastAsia="方正黑体_GBK"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14:paraId="190F18B8">
            <w:pPr>
              <w:spacing w:line="200" w:lineRule="exact"/>
              <w:jc w:val="left"/>
            </w:pPr>
            <w:r>
              <w:rPr>
                <w:rFonts w:ascii="方正黑体_GBK" w:hAnsi="方正黑体_GBK" w:eastAsia="方正黑体_GBK"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14:paraId="4ACD25AD">
            <w:pPr>
              <w:spacing w:line="200" w:lineRule="exact"/>
              <w:jc w:val="left"/>
            </w:pPr>
            <w:r>
              <w:rPr>
                <w:rFonts w:ascii="方正黑体_GBK" w:hAnsi="方正黑体_GBK" w:eastAsia="方正黑体_GBK"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14:paraId="5802F432">
            <w:pPr>
              <w:spacing w:line="200" w:lineRule="exact"/>
              <w:jc w:val="left"/>
            </w:pPr>
            <w:r>
              <w:rPr>
                <w:rFonts w:ascii="方正黑体_GBK" w:hAnsi="方正黑体_GBK" w:eastAsia="方正黑体_GBK"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14:paraId="05504DB6">
            <w:pPr>
              <w:spacing w:line="200" w:lineRule="exact"/>
              <w:jc w:val="left"/>
            </w:pPr>
            <w:r>
              <w:rPr>
                <w:rFonts w:ascii="方正黑体_GBK" w:hAnsi="方正黑体_GBK" w:eastAsia="方正黑体_GBK"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14:paraId="2FCB9762">
            <w:pPr>
              <w:spacing w:line="200" w:lineRule="exact"/>
              <w:jc w:val="left"/>
            </w:pPr>
            <w:r>
              <w:rPr>
                <w:rFonts w:ascii="方正黑体_GBK" w:hAnsi="方正黑体_GBK" w:eastAsia="方正黑体_GBK"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14:paraId="23AE6853">
            <w:pPr>
              <w:spacing w:line="200" w:lineRule="exact"/>
              <w:jc w:val="left"/>
            </w:pPr>
            <w:r>
              <w:rPr>
                <w:rFonts w:ascii="方正黑体_GBK" w:hAnsi="方正黑体_GBK" w:eastAsia="方正黑体_GBK"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14:paraId="7B5B8AC2">
            <w:pPr>
              <w:spacing w:line="200" w:lineRule="exact"/>
              <w:jc w:val="left"/>
            </w:pPr>
            <w:r>
              <w:rPr>
                <w:rFonts w:ascii="方正黑体_GBK" w:hAnsi="方正黑体_GBK" w:eastAsia="方正黑体_GBK"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14:paraId="40AD319A">
            <w:pPr>
              <w:spacing w:line="200" w:lineRule="exact"/>
              <w:jc w:val="left"/>
            </w:pPr>
            <w:r>
              <w:rPr>
                <w:rFonts w:ascii="方正黑体_GBK" w:hAnsi="方正黑体_GBK" w:eastAsia="方正黑体_GBK"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14:paraId="2E039CEE">
            <w:pPr>
              <w:spacing w:line="200" w:lineRule="exact"/>
              <w:jc w:val="left"/>
            </w:pPr>
            <w:r>
              <w:rPr>
                <w:rFonts w:ascii="方正黑体_GBK" w:hAnsi="方正黑体_GBK" w:eastAsia="方正黑体_GBK"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14:paraId="2DBE3F58">
            <w:pPr>
              <w:spacing w:line="200" w:lineRule="exact"/>
              <w:jc w:val="left"/>
            </w:pPr>
            <w:r>
              <w:rPr>
                <w:rFonts w:ascii="方正黑体_GBK" w:hAnsi="方正黑体_GBK" w:eastAsia="方正黑体_GBK"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14:paraId="7868B245">
            <w:pPr>
              <w:spacing w:line="200" w:lineRule="exact"/>
              <w:jc w:val="left"/>
            </w:pPr>
            <w:r>
              <w:rPr>
                <w:rFonts w:ascii="方正黑体_GBK" w:hAnsi="方正黑体_GBK" w:eastAsia="方正黑体_GBK"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14:paraId="0C48D8A6">
            <w:pPr>
              <w:spacing w:line="200" w:lineRule="exact"/>
              <w:jc w:val="left"/>
            </w:pPr>
            <w:r>
              <w:rPr>
                <w:rFonts w:ascii="方正黑体_GBK" w:hAnsi="方正黑体_GBK" w:eastAsia="方正黑体_GBK"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14:paraId="0B46DCBC">
            <w:pPr>
              <w:spacing w:line="200" w:lineRule="exact"/>
              <w:jc w:val="left"/>
            </w:pPr>
            <w:r>
              <w:rPr>
                <w:rFonts w:ascii="方正黑体_GBK" w:hAnsi="方正黑体_GBK" w:eastAsia="方正黑体_GBK"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14:paraId="2FE37C84">
            <w:pPr>
              <w:spacing w:line="200" w:lineRule="exact"/>
              <w:jc w:val="left"/>
            </w:pPr>
            <w:r>
              <w:rPr>
                <w:rFonts w:ascii="方正黑体_GBK" w:hAnsi="方正黑体_GBK" w:eastAsia="方正黑体_GBK"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14:paraId="4DE600F7">
            <w:pPr>
              <w:spacing w:line="200" w:lineRule="exact"/>
              <w:jc w:val="left"/>
            </w:pPr>
            <w:r>
              <w:rPr>
                <w:rFonts w:ascii="方正黑体_GBK" w:hAnsi="方正黑体_GBK" w:eastAsia="方正黑体_GBK"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14:paraId="62680D5A">
            <w:pPr>
              <w:spacing w:line="200" w:lineRule="exact"/>
              <w:jc w:val="left"/>
            </w:pPr>
            <w:r>
              <w:rPr>
                <w:rFonts w:ascii="方正黑体_GBK" w:hAnsi="方正黑体_GBK" w:eastAsia="方正黑体_GBK"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14:paraId="05CD96B0">
            <w:pPr>
              <w:spacing w:line="200" w:lineRule="exact"/>
              <w:jc w:val="left"/>
            </w:pPr>
            <w:r>
              <w:rPr>
                <w:rFonts w:ascii="方正黑体_GBK" w:hAnsi="方正黑体_GBK" w:eastAsia="方正黑体_GBK"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14:paraId="45AD5EA4">
            <w:pPr>
              <w:spacing w:line="200" w:lineRule="exact"/>
              <w:jc w:val="left"/>
            </w:pPr>
            <w:r>
              <w:rPr>
                <w:rFonts w:ascii="方正黑体_GBK" w:hAnsi="方正黑体_GBK" w:eastAsia="方正黑体_GBK"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14:paraId="184569CD">
            <w:pPr>
              <w:spacing w:line="200" w:lineRule="exact"/>
              <w:jc w:val="left"/>
            </w:pPr>
            <w:r>
              <w:rPr>
                <w:rFonts w:ascii="方正黑体_GBK" w:hAnsi="方正黑体_GBK" w:eastAsia="方正黑体_GBK"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14:paraId="32B91EBC">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569710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9A76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99F5E36">
            <w:pPr>
              <w:spacing w:line="200" w:lineRule="exact"/>
            </w:pPr>
            <w:r>
              <w:rPr>
                <w:rFonts w:ascii="方正黑体_GBK" w:hAnsi="方正黑体_GBK" w:eastAsia="方正黑体_GBK" w:cs="宋体"/>
                <w:sz w:val="18"/>
                <w:szCs w:val="18"/>
              </w:rPr>
              <w:t>A份额：业绩比较基准为年化2.45%-2.7% 。</w:t>
            </w:r>
          </w:p>
          <w:p w14:paraId="6FAA6CD7">
            <w:pPr>
              <w:spacing w:line="200" w:lineRule="exact"/>
            </w:pPr>
            <w:r>
              <w:rPr>
                <w:rFonts w:ascii="方正黑体_GBK" w:hAnsi="方正黑体_GBK" w:eastAsia="方正黑体_GBK" w:cs="宋体"/>
                <w:sz w:val="18"/>
                <w:szCs w:val="18"/>
              </w:rPr>
              <w:t>F份额：业绩比较基准为年化2.55%-2.8% 。</w:t>
            </w:r>
          </w:p>
          <w:p w14:paraId="67F1F272">
            <w:pPr>
              <w:spacing w:line="200" w:lineRule="exact"/>
            </w:pPr>
            <w:r>
              <w:rPr>
                <w:rFonts w:ascii="方正黑体_GBK" w:hAnsi="方正黑体_GBK" w:eastAsia="方正黑体_GBK" w:cs="宋体"/>
                <w:sz w:val="18"/>
                <w:szCs w:val="18"/>
              </w:rPr>
              <w:t>A2份额：业绩比较基准为年化2.45%-2.7% 。</w:t>
            </w:r>
          </w:p>
          <w:p w14:paraId="678629F8">
            <w:pPr>
              <w:spacing w:line="200" w:lineRule="exact"/>
            </w:pPr>
            <w:r>
              <w:rPr>
                <w:rFonts w:ascii="方正黑体_GBK" w:hAnsi="方正黑体_GBK" w:eastAsia="方正黑体_GBK" w:cs="宋体"/>
                <w:sz w:val="18"/>
                <w:szCs w:val="18"/>
              </w:rPr>
              <w:t>A3份额：业绩比较基准为年化2.45%-2.7% 。</w:t>
            </w:r>
          </w:p>
          <w:p w14:paraId="12076E2D">
            <w:pPr>
              <w:spacing w:line="200" w:lineRule="exact"/>
            </w:pPr>
            <w:r>
              <w:rPr>
                <w:rFonts w:ascii="方正黑体_GBK" w:hAnsi="方正黑体_GBK" w:eastAsia="方正黑体_GBK" w:cs="宋体"/>
                <w:sz w:val="18"/>
                <w:szCs w:val="18"/>
              </w:rPr>
              <w:t>A4份额：业绩比较基准为年化2.45%-2.7% 。</w:t>
            </w:r>
          </w:p>
          <w:p w14:paraId="7E45B554">
            <w:pPr>
              <w:spacing w:line="200" w:lineRule="exact"/>
            </w:pPr>
            <w:r>
              <w:rPr>
                <w:rFonts w:ascii="方正黑体_GBK" w:hAnsi="方正黑体_GBK" w:eastAsia="方正黑体_GBK" w:cs="宋体"/>
                <w:sz w:val="18"/>
                <w:szCs w:val="18"/>
              </w:rPr>
              <w:t>F2份额：业绩比较基准为年化2.55%-2.8% 。</w:t>
            </w:r>
          </w:p>
          <w:p w14:paraId="54446B60">
            <w:pPr>
              <w:spacing w:line="200" w:lineRule="exact"/>
            </w:pPr>
            <w:r>
              <w:rPr>
                <w:rFonts w:ascii="方正黑体_GBK" w:hAnsi="方正黑体_GBK" w:eastAsia="方正黑体_GBK" w:cs="宋体"/>
                <w:sz w:val="18"/>
                <w:szCs w:val="18"/>
              </w:rPr>
              <w:t>F3份额：业绩比较基准为年化2.55%-2.8% 。</w:t>
            </w:r>
          </w:p>
          <w:p w14:paraId="25C63ECA">
            <w:pPr>
              <w:spacing w:line="200" w:lineRule="exact"/>
            </w:pPr>
            <w:r>
              <w:rPr>
                <w:rFonts w:ascii="方正黑体_GBK" w:hAnsi="方正黑体_GBK" w:eastAsia="方正黑体_GBK" w:cs="宋体"/>
                <w:sz w:val="18"/>
                <w:szCs w:val="18"/>
              </w:rPr>
              <w:t>G2份额：业绩比较基准为年化2.6%-2.85% 。</w:t>
            </w:r>
          </w:p>
          <w:p w14:paraId="40A1385A">
            <w:pPr>
              <w:spacing w:line="200" w:lineRule="exact"/>
            </w:pPr>
            <w:r>
              <w:rPr>
                <w:rFonts w:ascii="方正黑体_GBK" w:hAnsi="方正黑体_GBK" w:eastAsia="方正黑体_GBK" w:cs="宋体"/>
                <w:sz w:val="18"/>
                <w:szCs w:val="18"/>
              </w:rPr>
              <w:t>G3份额：业绩比较基准为年化2.6%-2.85% 。</w:t>
            </w:r>
          </w:p>
          <w:p w14:paraId="729B2340">
            <w:pPr>
              <w:spacing w:line="200" w:lineRule="exact"/>
            </w:pPr>
            <w:r>
              <w:rPr>
                <w:rFonts w:ascii="方正黑体_GBK" w:hAnsi="方正黑体_GBK" w:eastAsia="方正黑体_GBK" w:cs="宋体"/>
                <w:sz w:val="18"/>
                <w:szCs w:val="18"/>
              </w:rPr>
              <w:t>F4份额：业绩比较基准为年化2.55%-2.8% 。</w:t>
            </w:r>
          </w:p>
          <w:p w14:paraId="4B57821B">
            <w:pPr>
              <w:spacing w:line="200" w:lineRule="exact"/>
            </w:pPr>
            <w:r>
              <w:rPr>
                <w:rFonts w:ascii="方正黑体_GBK" w:hAnsi="方正黑体_GBK" w:eastAsia="方正黑体_GBK" w:cs="宋体"/>
                <w:sz w:val="18"/>
                <w:szCs w:val="18"/>
              </w:rPr>
              <w:t>I2份额：业绩比较基准为年化2.55%-2.8% 。</w:t>
            </w:r>
          </w:p>
          <w:p w14:paraId="65B0E8BE">
            <w:pPr>
              <w:spacing w:line="200" w:lineRule="exact"/>
            </w:pPr>
            <w:r>
              <w:rPr>
                <w:rFonts w:ascii="方正黑体_GBK" w:hAnsi="方正黑体_GBK" w:eastAsia="方正黑体_GBK" w:cs="宋体"/>
                <w:sz w:val="18"/>
                <w:szCs w:val="18"/>
              </w:rPr>
              <w:t>J2份额：业绩比较基准为年化2.6%-2.85% 。</w:t>
            </w:r>
          </w:p>
          <w:p w14:paraId="09AA8D3B">
            <w:pPr>
              <w:spacing w:line="200" w:lineRule="exact"/>
            </w:pPr>
            <w:r>
              <w:rPr>
                <w:rFonts w:ascii="方正黑体_GBK" w:hAnsi="方正黑体_GBK" w:eastAsia="方正黑体_GBK" w:cs="宋体"/>
                <w:sz w:val="18"/>
                <w:szCs w:val="18"/>
              </w:rPr>
              <w:t>L2份额：业绩比较基准为年化2.7%-2.95% 。</w:t>
            </w:r>
          </w:p>
          <w:p w14:paraId="03B56E99">
            <w:pPr>
              <w:spacing w:line="200" w:lineRule="exact"/>
            </w:pPr>
            <w:r>
              <w:rPr>
                <w:rFonts w:ascii="方正黑体_GBK" w:hAnsi="方正黑体_GBK" w:eastAsia="方正黑体_GBK" w:cs="宋体"/>
                <w:sz w:val="18"/>
                <w:szCs w:val="18"/>
              </w:rPr>
              <w:t>J3份额：业绩比较基准为年化2.6%-2.85% 。</w:t>
            </w:r>
          </w:p>
          <w:p w14:paraId="709D8318">
            <w:pPr>
              <w:spacing w:line="200" w:lineRule="exact"/>
            </w:pPr>
            <w:r>
              <w:rPr>
                <w:rFonts w:ascii="方正黑体_GBK" w:hAnsi="方正黑体_GBK" w:eastAsia="方正黑体_GBK" w:cs="宋体"/>
                <w:sz w:val="18"/>
                <w:szCs w:val="18"/>
              </w:rPr>
              <w:t>L3份额：业绩比较基准为年化2.7%-2.95% 。</w:t>
            </w:r>
          </w:p>
          <w:p w14:paraId="7E9A7E67">
            <w:pPr>
              <w:spacing w:line="200" w:lineRule="exact"/>
            </w:pPr>
            <w:r>
              <w:rPr>
                <w:rFonts w:ascii="方正黑体_GBK" w:hAnsi="方正黑体_GBK" w:eastAsia="方正黑体_GBK" w:cs="宋体"/>
                <w:sz w:val="18"/>
                <w:szCs w:val="18"/>
              </w:rPr>
              <w:t>I3份额：业绩比较基准为年化2.55%-2.8% 。</w:t>
            </w:r>
          </w:p>
          <w:p w14:paraId="64C3088C">
            <w:pPr>
              <w:spacing w:line="200" w:lineRule="exact"/>
            </w:pPr>
            <w:r>
              <w:rPr>
                <w:rFonts w:ascii="方正黑体_GBK" w:hAnsi="方正黑体_GBK" w:eastAsia="方正黑体_GBK" w:cs="宋体"/>
                <w:sz w:val="18"/>
                <w:szCs w:val="18"/>
              </w:rPr>
              <w:t>I4份额：业绩比较基准为年化2.55%-2.8% 。</w:t>
            </w:r>
          </w:p>
          <w:p w14:paraId="7F19B1DE">
            <w:pPr>
              <w:spacing w:line="200" w:lineRule="exact"/>
            </w:pPr>
            <w:r>
              <w:rPr>
                <w:rFonts w:ascii="方正黑体_GBK" w:hAnsi="方正黑体_GBK" w:eastAsia="方正黑体_GBK" w:cs="宋体"/>
                <w:sz w:val="18"/>
                <w:szCs w:val="18"/>
              </w:rPr>
              <w:t>M2份额：业绩比较基准为年化2.45%-2.7% 。</w:t>
            </w:r>
          </w:p>
          <w:p w14:paraId="57DE1F08">
            <w:pPr>
              <w:spacing w:line="200" w:lineRule="exact"/>
            </w:pPr>
            <w:r>
              <w:rPr>
                <w:rFonts w:ascii="方正黑体_GBK" w:hAnsi="方正黑体_GBK" w:eastAsia="方正黑体_GBK" w:cs="宋体"/>
                <w:sz w:val="18"/>
                <w:szCs w:val="18"/>
              </w:rPr>
              <w:t>M3份额：业绩比较基准为年化2.45%-2.7% 。</w:t>
            </w:r>
          </w:p>
          <w:p w14:paraId="003A8C00">
            <w:pPr>
              <w:spacing w:line="200" w:lineRule="exact"/>
            </w:pPr>
            <w:r>
              <w:rPr>
                <w:rFonts w:ascii="方正黑体_GBK" w:hAnsi="方正黑体_GBK" w:eastAsia="方正黑体_GBK" w:cs="宋体"/>
                <w:sz w:val="18"/>
                <w:szCs w:val="18"/>
              </w:rPr>
              <w:t>O2份额：业绩比较基准为年化2.55%-2.8% 。</w:t>
            </w:r>
          </w:p>
          <w:p w14:paraId="70F63DFB">
            <w:pPr>
              <w:spacing w:line="200" w:lineRule="exact"/>
            </w:pPr>
            <w:r>
              <w:rPr>
                <w:rFonts w:ascii="方正黑体_GBK" w:hAnsi="方正黑体_GBK" w:eastAsia="方正黑体_GBK" w:cs="宋体"/>
                <w:sz w:val="18"/>
                <w:szCs w:val="18"/>
              </w:rPr>
              <w:t>O3份额：业绩比较基准为年化2.55%-2.8% 。</w:t>
            </w:r>
          </w:p>
          <w:p w14:paraId="60AC1502">
            <w:pPr>
              <w:spacing w:line="200" w:lineRule="exact"/>
            </w:pPr>
            <w:r>
              <w:rPr>
                <w:rFonts w:ascii="方正黑体_GBK" w:hAnsi="方正黑体_GBK" w:eastAsia="方正黑体_GBK" w:cs="宋体"/>
                <w:sz w:val="18"/>
                <w:szCs w:val="18"/>
              </w:rPr>
              <w:t>Q1份额：业绩比较基准为年化2.45%-2.7% 。</w:t>
            </w:r>
          </w:p>
          <w:p w14:paraId="64D634D4">
            <w:pPr>
              <w:spacing w:line="200" w:lineRule="exact"/>
            </w:pPr>
            <w:r>
              <w:rPr>
                <w:rFonts w:ascii="方正黑体_GBK" w:hAnsi="方正黑体_GBK" w:eastAsia="方正黑体_GBK" w:cs="宋体"/>
                <w:sz w:val="18"/>
                <w:szCs w:val="18"/>
              </w:rPr>
              <w:t>R1份额：业绩比较基准为年化2.65%-2.9% 。</w:t>
            </w:r>
          </w:p>
          <w:p w14:paraId="1F4A7A78">
            <w:pPr>
              <w:spacing w:line="200" w:lineRule="exact"/>
            </w:pPr>
            <w:r>
              <w:rPr>
                <w:rFonts w:ascii="方正黑体_GBK" w:hAnsi="方正黑体_GBK" w:eastAsia="方正黑体_GBK" w:cs="宋体"/>
                <w:sz w:val="18"/>
                <w:szCs w:val="18"/>
              </w:rPr>
              <w:t>Q2份额：业绩比较基准为年化2.45%-2.7% 。</w:t>
            </w:r>
          </w:p>
          <w:p w14:paraId="2ABAB7E5">
            <w:pPr>
              <w:spacing w:line="200" w:lineRule="exact"/>
            </w:pPr>
            <w:r>
              <w:rPr>
                <w:rFonts w:ascii="方正黑体_GBK" w:hAnsi="方正黑体_GBK" w:eastAsia="方正黑体_GBK" w:cs="宋体"/>
                <w:sz w:val="18"/>
                <w:szCs w:val="18"/>
              </w:rPr>
              <w:t>R2份额：业绩比较基准为年化2.65%-2.9% 。</w:t>
            </w:r>
          </w:p>
          <w:p w14:paraId="0103BE62">
            <w:pPr>
              <w:spacing w:line="200" w:lineRule="exact"/>
            </w:pPr>
            <w:r>
              <w:rPr>
                <w:rFonts w:ascii="方正黑体_GBK" w:hAnsi="方正黑体_GBK" w:eastAsia="方正黑体_GBK" w:cs="宋体"/>
                <w:sz w:val="18"/>
                <w:szCs w:val="18"/>
              </w:rPr>
              <w:t>Q3份额：业绩比较基准为年化2.45%-2.7% 。</w:t>
            </w:r>
          </w:p>
          <w:p w14:paraId="7B727164">
            <w:pPr>
              <w:spacing w:line="200" w:lineRule="exact"/>
            </w:pPr>
            <w:r>
              <w:rPr>
                <w:rFonts w:ascii="方正黑体_GBK" w:hAnsi="方正黑体_GBK" w:eastAsia="方正黑体_GBK" w:cs="宋体"/>
                <w:sz w:val="18"/>
                <w:szCs w:val="18"/>
              </w:rPr>
              <w:t>R3份额：业绩比较基准为年化2.65%-2.9% 。</w:t>
            </w:r>
          </w:p>
          <w:p w14:paraId="1D9DA9F9">
            <w:pPr>
              <w:spacing w:line="200" w:lineRule="exact"/>
            </w:pPr>
            <w:r>
              <w:rPr>
                <w:rFonts w:ascii="方正黑体_GBK" w:hAnsi="方正黑体_GBK" w:eastAsia="方正黑体_GBK" w:cs="宋体"/>
                <w:sz w:val="18"/>
                <w:szCs w:val="18"/>
              </w:rPr>
              <w:t>G1份额：业绩比较基准为年化2.6%-2.85% 。</w:t>
            </w:r>
          </w:p>
          <w:p w14:paraId="27BA7C0E">
            <w:pPr>
              <w:spacing w:line="200" w:lineRule="exact"/>
            </w:pPr>
            <w:r>
              <w:rPr>
                <w:rFonts w:ascii="方正黑体_GBK" w:hAnsi="方正黑体_GBK" w:eastAsia="方正黑体_GBK" w:cs="宋体"/>
                <w:sz w:val="18"/>
                <w:szCs w:val="18"/>
              </w:rPr>
              <w:t>I1份额：业绩比较基准为年化2.55%-2.8% 。</w:t>
            </w:r>
          </w:p>
          <w:p w14:paraId="462E40B2">
            <w:pPr>
              <w:spacing w:line="200" w:lineRule="exact"/>
            </w:pPr>
            <w:r>
              <w:rPr>
                <w:rFonts w:ascii="方正黑体_GBK" w:hAnsi="方正黑体_GBK" w:eastAsia="方正黑体_GBK" w:cs="宋体"/>
                <w:sz w:val="18"/>
                <w:szCs w:val="18"/>
              </w:rPr>
              <w:t>J1份额：业绩比较基准为年化2.6%-2.85% 。</w:t>
            </w:r>
          </w:p>
          <w:p w14:paraId="659BE469">
            <w:pPr>
              <w:spacing w:line="200" w:lineRule="exact"/>
            </w:pPr>
            <w:r>
              <w:rPr>
                <w:rFonts w:ascii="方正黑体_GBK" w:hAnsi="方正黑体_GBK" w:eastAsia="方正黑体_GBK" w:cs="宋体"/>
                <w:sz w:val="18"/>
                <w:szCs w:val="18"/>
              </w:rPr>
              <w:t>L1份额：业绩比较基准为年化2.7%-2.95% 。</w:t>
            </w:r>
          </w:p>
          <w:p w14:paraId="26AD86ED">
            <w:pPr>
              <w:spacing w:line="200" w:lineRule="exact"/>
            </w:pPr>
            <w:r>
              <w:rPr>
                <w:rFonts w:ascii="方正黑体_GBK" w:hAnsi="方正黑体_GBK" w:eastAsia="方正黑体_GBK" w:cs="宋体"/>
                <w:sz w:val="18"/>
                <w:szCs w:val="18"/>
              </w:rPr>
              <w:t>M1份额：业绩比较基准为年化2.45%-2.7% 。</w:t>
            </w:r>
          </w:p>
          <w:p w14:paraId="249234B7">
            <w:pPr>
              <w:spacing w:line="200" w:lineRule="exact"/>
            </w:pPr>
            <w:r>
              <w:rPr>
                <w:rFonts w:ascii="方正黑体_GBK" w:hAnsi="方正黑体_GBK" w:eastAsia="方正黑体_GBK" w:cs="宋体"/>
                <w:sz w:val="18"/>
                <w:szCs w:val="18"/>
              </w:rPr>
              <w:t>N1份额：业绩比较基准为年化2.7%-2.95% 。</w:t>
            </w:r>
          </w:p>
          <w:p w14:paraId="7515202A">
            <w:pPr>
              <w:spacing w:line="200" w:lineRule="exact"/>
            </w:pPr>
            <w:r>
              <w:rPr>
                <w:rFonts w:ascii="方正黑体_GBK" w:hAnsi="方正黑体_GBK" w:eastAsia="方正黑体_GBK" w:cs="宋体"/>
                <w:sz w:val="18"/>
                <w:szCs w:val="18"/>
              </w:rPr>
              <w:t>O1份额：业绩比较基准为年化2.55%-2.8% 。</w:t>
            </w:r>
          </w:p>
          <w:p w14:paraId="10F1E4BE">
            <w:pPr>
              <w:spacing w:line="200" w:lineRule="exact"/>
            </w:pPr>
            <w:r>
              <w:rPr>
                <w:rFonts w:ascii="方正黑体_GBK" w:hAnsi="方正黑体_GBK" w:eastAsia="方正黑体_GBK" w:cs="宋体"/>
                <w:sz w:val="18"/>
                <w:szCs w:val="18"/>
              </w:rPr>
              <w:t>S1份额：业绩比较基准为年化2.6%-2.85% 。</w:t>
            </w:r>
          </w:p>
          <w:p w14:paraId="77369AD6">
            <w:pPr>
              <w:spacing w:line="200" w:lineRule="exact"/>
            </w:pPr>
            <w:r>
              <w:rPr>
                <w:rFonts w:ascii="方正黑体_GBK" w:hAnsi="方正黑体_GBK" w:eastAsia="方正黑体_GBK" w:cs="宋体"/>
                <w:sz w:val="18"/>
                <w:szCs w:val="18"/>
              </w:rPr>
              <w:t>S2份额：业绩比较基准为年化2.6%-2.85% 。</w:t>
            </w:r>
          </w:p>
          <w:p w14:paraId="760742DE">
            <w:pPr>
              <w:spacing w:line="200" w:lineRule="exact"/>
            </w:pPr>
            <w:r>
              <w:rPr>
                <w:rFonts w:ascii="方正黑体_GBK" w:hAnsi="方正黑体_GBK" w:eastAsia="方正黑体_GBK" w:cs="宋体"/>
                <w:sz w:val="18"/>
                <w:szCs w:val="18"/>
              </w:rPr>
              <w:t>S3份额：业绩比较基准为年化2.6%-2.85% 。</w:t>
            </w:r>
          </w:p>
          <w:p w14:paraId="29F1674E">
            <w:pPr>
              <w:spacing w:line="200" w:lineRule="exact"/>
            </w:pPr>
            <w:r>
              <w:rPr>
                <w:rFonts w:ascii="方正黑体_GBK" w:hAnsi="方正黑体_GBK" w:eastAsia="方正黑体_GBK" w:cs="宋体"/>
                <w:sz w:val="18"/>
                <w:szCs w:val="18"/>
              </w:rPr>
              <w:t>T1份额：业绩比较基准为年化2.6%-2.85% 。</w:t>
            </w:r>
          </w:p>
          <w:p w14:paraId="2131F317">
            <w:pPr>
              <w:spacing w:line="200" w:lineRule="exact"/>
            </w:pPr>
            <w:r>
              <w:rPr>
                <w:rFonts w:ascii="方正黑体_GBK" w:hAnsi="方正黑体_GBK" w:eastAsia="方正黑体_GBK" w:cs="宋体"/>
                <w:sz w:val="18"/>
                <w:szCs w:val="18"/>
              </w:rPr>
              <w:t>T2份额：业绩比较基准为年化2.6%-2.85% 。</w:t>
            </w:r>
          </w:p>
          <w:p w14:paraId="737DCB62">
            <w:pPr>
              <w:spacing w:line="200" w:lineRule="exact"/>
            </w:pPr>
            <w:r>
              <w:rPr>
                <w:rFonts w:ascii="方正黑体_GBK" w:hAnsi="方正黑体_GBK" w:eastAsia="方正黑体_GBK" w:cs="宋体"/>
                <w:sz w:val="18"/>
                <w:szCs w:val="18"/>
              </w:rPr>
              <w:t>T3份额：业绩比较基准为年化2.6%-2.85% 。</w:t>
            </w:r>
          </w:p>
          <w:p w14:paraId="7DCF08BA">
            <w:pPr>
              <w:spacing w:line="200" w:lineRule="exact"/>
            </w:pPr>
            <w:r>
              <w:rPr>
                <w:rFonts w:ascii="方正黑体_GBK" w:hAnsi="方正黑体_GBK" w:eastAsia="方正黑体_GBK" w:cs="宋体"/>
                <w:sz w:val="18"/>
                <w:szCs w:val="18"/>
              </w:rPr>
              <w:t>V1份额：业绩比较基准为年化2.7%-2.95% 。</w:t>
            </w:r>
          </w:p>
          <w:p w14:paraId="4E84F7BB">
            <w:pPr>
              <w:spacing w:line="200" w:lineRule="exact"/>
            </w:pPr>
            <w:r>
              <w:rPr>
                <w:rFonts w:ascii="方正黑体_GBK" w:hAnsi="方正黑体_GBK" w:eastAsia="方正黑体_GBK" w:cs="宋体"/>
                <w:sz w:val="18"/>
                <w:szCs w:val="18"/>
              </w:rPr>
              <w:t>V2份额：业绩比较基准为年化2.7%-2.95% 。</w:t>
            </w:r>
          </w:p>
          <w:p w14:paraId="69B9A90D">
            <w:pPr>
              <w:spacing w:line="200" w:lineRule="exact"/>
            </w:pPr>
            <w:r>
              <w:rPr>
                <w:rFonts w:ascii="方正黑体_GBK" w:hAnsi="方正黑体_GBK" w:eastAsia="方正黑体_GBK" w:cs="宋体"/>
                <w:sz w:val="18"/>
                <w:szCs w:val="18"/>
              </w:rPr>
              <w:t>V3份额：业绩比较基准为年化2.7%-2.95% 。</w:t>
            </w:r>
          </w:p>
          <w:p w14:paraId="37125C47">
            <w:pPr>
              <w:spacing w:line="200" w:lineRule="exact"/>
            </w:pPr>
            <w:r>
              <w:rPr>
                <w:rFonts w:ascii="方正黑体_GBK" w:hAnsi="方正黑体_GBK" w:eastAsia="方正黑体_GBK" w:cs="宋体"/>
                <w:sz w:val="18"/>
                <w:szCs w:val="18"/>
              </w:rPr>
              <w:t>B5份额：业绩比较基准为年化2.45%-2.7% 。</w:t>
            </w:r>
          </w:p>
          <w:p w14:paraId="4B23C782">
            <w:pPr>
              <w:spacing w:line="200" w:lineRule="exact"/>
            </w:pPr>
            <w:r>
              <w:rPr>
                <w:rFonts w:ascii="方正黑体_GBK" w:hAnsi="方正黑体_GBK" w:eastAsia="方正黑体_GBK" w:cs="宋体"/>
                <w:sz w:val="18"/>
                <w:szCs w:val="18"/>
              </w:rPr>
              <w:t>C5份额：业绩比较基准为年化2.5%-2.75% 。</w:t>
            </w:r>
          </w:p>
          <w:p w14:paraId="67EC72C1">
            <w:pPr>
              <w:spacing w:line="200" w:lineRule="exact"/>
            </w:pPr>
            <w:r>
              <w:rPr>
                <w:rFonts w:ascii="方正黑体_GBK" w:hAnsi="方正黑体_GBK" w:eastAsia="方正黑体_GBK" w:cs="宋体"/>
                <w:sz w:val="18"/>
                <w:szCs w:val="18"/>
              </w:rPr>
              <w:t>D5份额：业绩比较基准为年化2.55%-2.8% 。</w:t>
            </w:r>
          </w:p>
          <w:p w14:paraId="636BB7BB">
            <w:pPr>
              <w:spacing w:line="200" w:lineRule="exact"/>
            </w:pPr>
            <w:r>
              <w:rPr>
                <w:rFonts w:ascii="方正黑体_GBK" w:hAnsi="方正黑体_GBK" w:eastAsia="方正黑体_GBK" w:cs="宋体"/>
                <w:sz w:val="18"/>
                <w:szCs w:val="18"/>
              </w:rPr>
              <w:t>E5份额：业绩比较基准为年化2.65%-2.9% 。</w:t>
            </w:r>
          </w:p>
          <w:p w14:paraId="24E446C1">
            <w:pPr>
              <w:spacing w:line="200" w:lineRule="exact"/>
            </w:pPr>
            <w:r>
              <w:rPr>
                <w:rFonts w:ascii="方正黑体_GBK" w:hAnsi="方正黑体_GBK" w:eastAsia="方正黑体_GBK" w:cs="宋体"/>
                <w:sz w:val="18"/>
                <w:szCs w:val="18"/>
              </w:rPr>
              <w:t>B6份额：业绩比较基准为年化2.45%-2.7% 。</w:t>
            </w:r>
          </w:p>
          <w:p w14:paraId="08CC37D6">
            <w:pPr>
              <w:spacing w:line="200" w:lineRule="exact"/>
            </w:pPr>
            <w:r>
              <w:rPr>
                <w:rFonts w:ascii="方正黑体_GBK" w:hAnsi="方正黑体_GBK" w:eastAsia="方正黑体_GBK" w:cs="宋体"/>
                <w:sz w:val="18"/>
                <w:szCs w:val="18"/>
              </w:rPr>
              <w:t>C6份额：业绩比较基准为年化2.5%-2.75% 。</w:t>
            </w:r>
          </w:p>
          <w:p w14:paraId="44AE617C">
            <w:pPr>
              <w:spacing w:line="200" w:lineRule="exact"/>
            </w:pPr>
            <w:r>
              <w:rPr>
                <w:rFonts w:ascii="方正黑体_GBK" w:hAnsi="方正黑体_GBK" w:eastAsia="方正黑体_GBK" w:cs="宋体"/>
                <w:sz w:val="18"/>
                <w:szCs w:val="18"/>
              </w:rPr>
              <w:t>D6份额：业绩比较基准为年化2.55%-2.8% 。</w:t>
            </w:r>
          </w:p>
          <w:p w14:paraId="5B9D1B4E">
            <w:pPr>
              <w:spacing w:line="200" w:lineRule="exact"/>
            </w:pPr>
            <w:r>
              <w:rPr>
                <w:rFonts w:ascii="方正黑体_GBK" w:hAnsi="方正黑体_GBK" w:eastAsia="方正黑体_GBK" w:cs="宋体"/>
                <w:sz w:val="18"/>
                <w:szCs w:val="18"/>
              </w:rPr>
              <w:t>E6份额：业绩比较基准为年化2.65%-2.9% 。</w:t>
            </w:r>
          </w:p>
          <w:p w14:paraId="3340FF6B">
            <w:pPr>
              <w:spacing w:line="200" w:lineRule="exact"/>
            </w:pPr>
            <w:r>
              <w:rPr>
                <w:rFonts w:ascii="方正黑体_GBK" w:hAnsi="方正黑体_GBK" w:eastAsia="方正黑体_GBK" w:cs="宋体"/>
                <w:sz w:val="18"/>
                <w:szCs w:val="18"/>
              </w:rPr>
              <w:t>B7份额：业绩比较基准为年化2.45%-2.7% 。</w:t>
            </w:r>
          </w:p>
          <w:p w14:paraId="5F1BA421">
            <w:pPr>
              <w:spacing w:line="200" w:lineRule="exact"/>
            </w:pPr>
            <w:r>
              <w:rPr>
                <w:rFonts w:ascii="方正黑体_GBK" w:hAnsi="方正黑体_GBK" w:eastAsia="方正黑体_GBK" w:cs="宋体"/>
                <w:sz w:val="18"/>
                <w:szCs w:val="18"/>
              </w:rPr>
              <w:t>C7份额：业绩比较基准为年化2.5%-2.75% 。</w:t>
            </w:r>
          </w:p>
          <w:p w14:paraId="624A2F6B">
            <w:pPr>
              <w:spacing w:line="200" w:lineRule="exact"/>
            </w:pPr>
            <w:r>
              <w:rPr>
                <w:rFonts w:ascii="方正黑体_GBK" w:hAnsi="方正黑体_GBK" w:eastAsia="方正黑体_GBK" w:cs="宋体"/>
                <w:sz w:val="18"/>
                <w:szCs w:val="18"/>
              </w:rPr>
              <w:t>D7份额：业绩比较基准为年化2.55%-2.8% 。</w:t>
            </w:r>
          </w:p>
          <w:p w14:paraId="0F9F96C9">
            <w:pPr>
              <w:spacing w:line="200" w:lineRule="exact"/>
            </w:pPr>
            <w:r>
              <w:rPr>
                <w:rFonts w:ascii="方正黑体_GBK" w:hAnsi="方正黑体_GBK" w:eastAsia="方正黑体_GBK" w:cs="宋体"/>
                <w:sz w:val="18"/>
                <w:szCs w:val="18"/>
              </w:rPr>
              <w:t>E7份额：业绩比较基准为年化2.65%-2.9% 。</w:t>
            </w:r>
          </w:p>
          <w:p w14:paraId="21FBA87B">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FB43F23">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EFBBC8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4A48F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2D326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7655D25">
            <w:pPr>
              <w:spacing w:line="200" w:lineRule="exact"/>
            </w:pPr>
            <w:r>
              <w:rPr>
                <w:rFonts w:ascii="方正黑体_GBK" w:hAnsi="方正黑体_GBK" w:eastAsia="方正黑体_GBK" w:cs="宋体"/>
                <w:b/>
                <w:sz w:val="18"/>
                <w:szCs w:val="18"/>
              </w:rPr>
              <w:t>认/申购费：本理财产品暂不收取认/申购费。</w:t>
            </w:r>
          </w:p>
          <w:p w14:paraId="62D0B831">
            <w:pPr>
              <w:spacing w:line="200" w:lineRule="exact"/>
            </w:pPr>
            <w:r>
              <w:rPr>
                <w:rFonts w:ascii="方正黑体_GBK" w:hAnsi="方正黑体_GBK" w:eastAsia="方正黑体_GBK" w:cs="宋体"/>
                <w:b/>
                <w:sz w:val="18"/>
                <w:szCs w:val="18"/>
              </w:rPr>
              <w:t>赎回费：本理财产品暂不收取赎回费。</w:t>
            </w:r>
          </w:p>
          <w:p w14:paraId="015C1F5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448E881">
            <w:pPr>
              <w:spacing w:line="200" w:lineRule="exact"/>
            </w:pPr>
            <w:r>
              <w:rPr>
                <w:rFonts w:ascii="方正黑体_GBK" w:hAnsi="方正黑体_GBK" w:eastAsia="方正黑体_GBK" w:cs="宋体"/>
                <w:b/>
                <w:sz w:val="18"/>
                <w:szCs w:val="18"/>
              </w:rPr>
              <w:t>A份额：销售费年化0.2%</w:t>
            </w:r>
          </w:p>
          <w:p w14:paraId="246E1EBE">
            <w:pPr>
              <w:spacing w:line="200" w:lineRule="exact"/>
            </w:pPr>
            <w:r>
              <w:rPr>
                <w:rFonts w:ascii="方正黑体_GBK" w:hAnsi="方正黑体_GBK" w:eastAsia="方正黑体_GBK" w:cs="宋体"/>
                <w:b/>
                <w:sz w:val="18"/>
                <w:szCs w:val="18"/>
              </w:rPr>
              <w:t>F份额：销售费年化0.15%</w:t>
            </w:r>
          </w:p>
          <w:p w14:paraId="533097E2">
            <w:pPr>
              <w:spacing w:line="200" w:lineRule="exact"/>
            </w:pPr>
            <w:r>
              <w:rPr>
                <w:rFonts w:ascii="方正黑体_GBK" w:hAnsi="方正黑体_GBK" w:eastAsia="方正黑体_GBK" w:cs="宋体"/>
                <w:b/>
                <w:sz w:val="18"/>
                <w:szCs w:val="18"/>
              </w:rPr>
              <w:t>A2份额：销售费年化0.2%</w:t>
            </w:r>
          </w:p>
          <w:p w14:paraId="29992576">
            <w:pPr>
              <w:spacing w:line="200" w:lineRule="exact"/>
            </w:pPr>
            <w:r>
              <w:rPr>
                <w:rFonts w:ascii="方正黑体_GBK" w:hAnsi="方正黑体_GBK" w:eastAsia="方正黑体_GBK" w:cs="宋体"/>
                <w:b/>
                <w:sz w:val="18"/>
                <w:szCs w:val="18"/>
              </w:rPr>
              <w:t>A3份额：销售费年化0.2%</w:t>
            </w:r>
          </w:p>
          <w:p w14:paraId="48845CBC">
            <w:pPr>
              <w:spacing w:line="200" w:lineRule="exact"/>
            </w:pPr>
            <w:r>
              <w:rPr>
                <w:rFonts w:ascii="方正黑体_GBK" w:hAnsi="方正黑体_GBK" w:eastAsia="方正黑体_GBK" w:cs="宋体"/>
                <w:b/>
                <w:sz w:val="18"/>
                <w:szCs w:val="18"/>
              </w:rPr>
              <w:t>A4份额：销售费年化0.2%</w:t>
            </w:r>
          </w:p>
          <w:p w14:paraId="68FA4694">
            <w:pPr>
              <w:spacing w:line="200" w:lineRule="exact"/>
            </w:pPr>
            <w:r>
              <w:rPr>
                <w:rFonts w:ascii="方正黑体_GBK" w:hAnsi="方正黑体_GBK" w:eastAsia="方正黑体_GBK" w:cs="宋体"/>
                <w:b/>
                <w:sz w:val="18"/>
                <w:szCs w:val="18"/>
              </w:rPr>
              <w:t>F2份额：销售费年化0.15%</w:t>
            </w:r>
          </w:p>
          <w:p w14:paraId="563CD3DE">
            <w:pPr>
              <w:spacing w:line="200" w:lineRule="exact"/>
            </w:pPr>
            <w:r>
              <w:rPr>
                <w:rFonts w:ascii="方正黑体_GBK" w:hAnsi="方正黑体_GBK" w:eastAsia="方正黑体_GBK" w:cs="宋体"/>
                <w:b/>
                <w:sz w:val="18"/>
                <w:szCs w:val="18"/>
              </w:rPr>
              <w:t>F3份额：销售费年化0.15%</w:t>
            </w:r>
          </w:p>
          <w:p w14:paraId="25B8F2B7">
            <w:pPr>
              <w:spacing w:line="200" w:lineRule="exact"/>
            </w:pPr>
            <w:r>
              <w:rPr>
                <w:rFonts w:ascii="方正黑体_GBK" w:hAnsi="方正黑体_GBK" w:eastAsia="方正黑体_GBK" w:cs="宋体"/>
                <w:b/>
                <w:sz w:val="18"/>
                <w:szCs w:val="18"/>
              </w:rPr>
              <w:t>G2份额：销售费年化0.1%</w:t>
            </w:r>
          </w:p>
          <w:p w14:paraId="75DDD3F2">
            <w:pPr>
              <w:spacing w:line="200" w:lineRule="exact"/>
            </w:pPr>
            <w:r>
              <w:rPr>
                <w:rFonts w:ascii="方正黑体_GBK" w:hAnsi="方正黑体_GBK" w:eastAsia="方正黑体_GBK" w:cs="宋体"/>
                <w:b/>
                <w:sz w:val="18"/>
                <w:szCs w:val="18"/>
              </w:rPr>
              <w:t>G3份额：销售费年化0.1%</w:t>
            </w:r>
          </w:p>
          <w:p w14:paraId="1D7A46DA">
            <w:pPr>
              <w:spacing w:line="200" w:lineRule="exact"/>
            </w:pPr>
            <w:r>
              <w:rPr>
                <w:rFonts w:ascii="方正黑体_GBK" w:hAnsi="方正黑体_GBK" w:eastAsia="方正黑体_GBK" w:cs="宋体"/>
                <w:b/>
                <w:sz w:val="18"/>
                <w:szCs w:val="18"/>
              </w:rPr>
              <w:t>F4份额：销售费年化0.15%</w:t>
            </w:r>
          </w:p>
          <w:p w14:paraId="74E47D0A">
            <w:pPr>
              <w:spacing w:line="200" w:lineRule="exact"/>
            </w:pPr>
            <w:r>
              <w:rPr>
                <w:rFonts w:ascii="方正黑体_GBK" w:hAnsi="方正黑体_GBK" w:eastAsia="方正黑体_GBK" w:cs="宋体"/>
                <w:b/>
                <w:sz w:val="18"/>
                <w:szCs w:val="18"/>
              </w:rPr>
              <w:t>I2份额：销售费年化0.15%</w:t>
            </w:r>
          </w:p>
          <w:p w14:paraId="3721B188">
            <w:pPr>
              <w:spacing w:line="200" w:lineRule="exact"/>
            </w:pPr>
            <w:r>
              <w:rPr>
                <w:rFonts w:ascii="方正黑体_GBK" w:hAnsi="方正黑体_GBK" w:eastAsia="方正黑体_GBK" w:cs="宋体"/>
                <w:b/>
                <w:sz w:val="18"/>
                <w:szCs w:val="18"/>
              </w:rPr>
              <w:t>J2份额：销售费年化0.15%</w:t>
            </w:r>
          </w:p>
          <w:p w14:paraId="54A7538D">
            <w:pPr>
              <w:spacing w:line="200" w:lineRule="exact"/>
            </w:pPr>
            <w:r>
              <w:rPr>
                <w:rFonts w:ascii="方正黑体_GBK" w:hAnsi="方正黑体_GBK" w:eastAsia="方正黑体_GBK" w:cs="宋体"/>
                <w:b/>
                <w:sz w:val="18"/>
                <w:szCs w:val="18"/>
              </w:rPr>
              <w:t>L2份额：销售费年化0.05%</w:t>
            </w:r>
          </w:p>
          <w:p w14:paraId="7AD94D29">
            <w:pPr>
              <w:spacing w:line="200" w:lineRule="exact"/>
            </w:pPr>
            <w:r>
              <w:rPr>
                <w:rFonts w:ascii="方正黑体_GBK" w:hAnsi="方正黑体_GBK" w:eastAsia="方正黑体_GBK" w:cs="宋体"/>
                <w:b/>
                <w:sz w:val="18"/>
                <w:szCs w:val="18"/>
              </w:rPr>
              <w:t>J3份额：销售费年化0.15%</w:t>
            </w:r>
          </w:p>
          <w:p w14:paraId="00DAC831">
            <w:pPr>
              <w:spacing w:line="200" w:lineRule="exact"/>
            </w:pPr>
            <w:r>
              <w:rPr>
                <w:rFonts w:ascii="方正黑体_GBK" w:hAnsi="方正黑体_GBK" w:eastAsia="方正黑体_GBK" w:cs="宋体"/>
                <w:b/>
                <w:sz w:val="18"/>
                <w:szCs w:val="18"/>
              </w:rPr>
              <w:t>L3份额：销售费年化0.05%</w:t>
            </w:r>
          </w:p>
          <w:p w14:paraId="0AEE00F9">
            <w:pPr>
              <w:spacing w:line="200" w:lineRule="exact"/>
            </w:pPr>
            <w:r>
              <w:rPr>
                <w:rFonts w:ascii="方正黑体_GBK" w:hAnsi="方正黑体_GBK" w:eastAsia="方正黑体_GBK" w:cs="宋体"/>
                <w:b/>
                <w:sz w:val="18"/>
                <w:szCs w:val="18"/>
              </w:rPr>
              <w:t>I3份额：销售费年化0.15%</w:t>
            </w:r>
          </w:p>
          <w:p w14:paraId="324184CC">
            <w:pPr>
              <w:spacing w:line="200" w:lineRule="exact"/>
            </w:pPr>
            <w:r>
              <w:rPr>
                <w:rFonts w:ascii="方正黑体_GBK" w:hAnsi="方正黑体_GBK" w:eastAsia="方正黑体_GBK" w:cs="宋体"/>
                <w:b/>
                <w:sz w:val="18"/>
                <w:szCs w:val="18"/>
              </w:rPr>
              <w:t>I4份额：销售费年化0.15%</w:t>
            </w:r>
          </w:p>
          <w:p w14:paraId="771F0597">
            <w:pPr>
              <w:spacing w:line="200" w:lineRule="exact"/>
            </w:pPr>
            <w:r>
              <w:rPr>
                <w:rFonts w:ascii="方正黑体_GBK" w:hAnsi="方正黑体_GBK" w:eastAsia="方正黑体_GBK" w:cs="宋体"/>
                <w:b/>
                <w:sz w:val="18"/>
                <w:szCs w:val="18"/>
              </w:rPr>
              <w:t>M2份额：销售费年化0.2%</w:t>
            </w:r>
          </w:p>
          <w:p w14:paraId="538290F0">
            <w:pPr>
              <w:spacing w:line="200" w:lineRule="exact"/>
            </w:pPr>
            <w:r>
              <w:rPr>
                <w:rFonts w:ascii="方正黑体_GBK" w:hAnsi="方正黑体_GBK" w:eastAsia="方正黑体_GBK" w:cs="宋体"/>
                <w:b/>
                <w:sz w:val="18"/>
                <w:szCs w:val="18"/>
              </w:rPr>
              <w:t>M3份额：销售费年化0.2%</w:t>
            </w:r>
          </w:p>
          <w:p w14:paraId="055AF442">
            <w:pPr>
              <w:spacing w:line="200" w:lineRule="exact"/>
            </w:pPr>
            <w:r>
              <w:rPr>
                <w:rFonts w:ascii="方正黑体_GBK" w:hAnsi="方正黑体_GBK" w:eastAsia="方正黑体_GBK" w:cs="宋体"/>
                <w:b/>
                <w:sz w:val="18"/>
                <w:szCs w:val="18"/>
              </w:rPr>
              <w:t>O2份额：销售费年化0.2%</w:t>
            </w:r>
          </w:p>
          <w:p w14:paraId="7505DD3B">
            <w:pPr>
              <w:spacing w:line="200" w:lineRule="exact"/>
            </w:pPr>
            <w:r>
              <w:rPr>
                <w:rFonts w:ascii="方正黑体_GBK" w:hAnsi="方正黑体_GBK" w:eastAsia="方正黑体_GBK" w:cs="宋体"/>
                <w:b/>
                <w:sz w:val="18"/>
                <w:szCs w:val="18"/>
              </w:rPr>
              <w:t>O3份额：销售费年化0.2%</w:t>
            </w:r>
          </w:p>
          <w:p w14:paraId="15E95999">
            <w:pPr>
              <w:spacing w:line="200" w:lineRule="exact"/>
            </w:pPr>
            <w:r>
              <w:rPr>
                <w:rFonts w:ascii="方正黑体_GBK" w:hAnsi="方正黑体_GBK" w:eastAsia="方正黑体_GBK" w:cs="宋体"/>
                <w:b/>
                <w:sz w:val="18"/>
                <w:szCs w:val="18"/>
              </w:rPr>
              <w:t>Q1份额：销售费年化0.2%</w:t>
            </w:r>
          </w:p>
          <w:p w14:paraId="08C2E114">
            <w:pPr>
              <w:spacing w:line="200" w:lineRule="exact"/>
            </w:pPr>
            <w:r>
              <w:rPr>
                <w:rFonts w:ascii="方正黑体_GBK" w:hAnsi="方正黑体_GBK" w:eastAsia="方正黑体_GBK" w:cs="宋体"/>
                <w:b/>
                <w:sz w:val="18"/>
                <w:szCs w:val="18"/>
              </w:rPr>
              <w:t>R1份额：销售费年化0.05%</w:t>
            </w:r>
          </w:p>
          <w:p w14:paraId="71FCC6A4">
            <w:pPr>
              <w:spacing w:line="200" w:lineRule="exact"/>
            </w:pPr>
            <w:r>
              <w:rPr>
                <w:rFonts w:ascii="方正黑体_GBK" w:hAnsi="方正黑体_GBK" w:eastAsia="方正黑体_GBK" w:cs="宋体"/>
                <w:b/>
                <w:sz w:val="18"/>
                <w:szCs w:val="18"/>
              </w:rPr>
              <w:t>Q2份额：销售费年化0.2%</w:t>
            </w:r>
          </w:p>
          <w:p w14:paraId="77F1BB27">
            <w:pPr>
              <w:spacing w:line="200" w:lineRule="exact"/>
            </w:pPr>
            <w:r>
              <w:rPr>
                <w:rFonts w:ascii="方正黑体_GBK" w:hAnsi="方正黑体_GBK" w:eastAsia="方正黑体_GBK" w:cs="宋体"/>
                <w:b/>
                <w:sz w:val="18"/>
                <w:szCs w:val="18"/>
              </w:rPr>
              <w:t>R2份额：销售费年化0.05%</w:t>
            </w:r>
          </w:p>
          <w:p w14:paraId="64F1E182">
            <w:pPr>
              <w:spacing w:line="200" w:lineRule="exact"/>
            </w:pPr>
            <w:r>
              <w:rPr>
                <w:rFonts w:ascii="方正黑体_GBK" w:hAnsi="方正黑体_GBK" w:eastAsia="方正黑体_GBK" w:cs="宋体"/>
                <w:b/>
                <w:sz w:val="18"/>
                <w:szCs w:val="18"/>
              </w:rPr>
              <w:t>Q3份额：销售费年化0.2%</w:t>
            </w:r>
          </w:p>
          <w:p w14:paraId="3CF83645">
            <w:pPr>
              <w:spacing w:line="200" w:lineRule="exact"/>
            </w:pPr>
            <w:r>
              <w:rPr>
                <w:rFonts w:ascii="方正黑体_GBK" w:hAnsi="方正黑体_GBK" w:eastAsia="方正黑体_GBK" w:cs="宋体"/>
                <w:b/>
                <w:sz w:val="18"/>
                <w:szCs w:val="18"/>
              </w:rPr>
              <w:t>R3份额：销售费年化0.05%</w:t>
            </w:r>
          </w:p>
          <w:p w14:paraId="0E64C102">
            <w:pPr>
              <w:spacing w:line="200" w:lineRule="exact"/>
            </w:pPr>
            <w:r>
              <w:rPr>
                <w:rFonts w:ascii="方正黑体_GBK" w:hAnsi="方正黑体_GBK" w:eastAsia="方正黑体_GBK" w:cs="宋体"/>
                <w:b/>
                <w:sz w:val="18"/>
                <w:szCs w:val="18"/>
              </w:rPr>
              <w:t>G1份额：销售费年化0.1%</w:t>
            </w:r>
          </w:p>
          <w:p w14:paraId="129589D1">
            <w:pPr>
              <w:spacing w:line="200" w:lineRule="exact"/>
            </w:pPr>
            <w:r>
              <w:rPr>
                <w:rFonts w:ascii="方正黑体_GBK" w:hAnsi="方正黑体_GBK" w:eastAsia="方正黑体_GBK" w:cs="宋体"/>
                <w:b/>
                <w:sz w:val="18"/>
                <w:szCs w:val="18"/>
              </w:rPr>
              <w:t>I1份额：销售费年化0.15%</w:t>
            </w:r>
          </w:p>
          <w:p w14:paraId="1BD5DD67">
            <w:pPr>
              <w:spacing w:line="200" w:lineRule="exact"/>
            </w:pPr>
            <w:r>
              <w:rPr>
                <w:rFonts w:ascii="方正黑体_GBK" w:hAnsi="方正黑体_GBK" w:eastAsia="方正黑体_GBK" w:cs="宋体"/>
                <w:b/>
                <w:sz w:val="18"/>
                <w:szCs w:val="18"/>
              </w:rPr>
              <w:t>J1份额：销售费年化0.15%</w:t>
            </w:r>
          </w:p>
          <w:p w14:paraId="07E5BB79">
            <w:pPr>
              <w:spacing w:line="200" w:lineRule="exact"/>
            </w:pPr>
            <w:r>
              <w:rPr>
                <w:rFonts w:ascii="方正黑体_GBK" w:hAnsi="方正黑体_GBK" w:eastAsia="方正黑体_GBK" w:cs="宋体"/>
                <w:b/>
                <w:sz w:val="18"/>
                <w:szCs w:val="18"/>
              </w:rPr>
              <w:t>L1份额：销售费年化0.05%</w:t>
            </w:r>
          </w:p>
          <w:p w14:paraId="7D53C1D2">
            <w:pPr>
              <w:spacing w:line="200" w:lineRule="exact"/>
            </w:pPr>
            <w:r>
              <w:rPr>
                <w:rFonts w:ascii="方正黑体_GBK" w:hAnsi="方正黑体_GBK" w:eastAsia="方正黑体_GBK" w:cs="宋体"/>
                <w:b/>
                <w:sz w:val="18"/>
                <w:szCs w:val="18"/>
              </w:rPr>
              <w:t>M1份额：销售费年化0.2%</w:t>
            </w:r>
          </w:p>
          <w:p w14:paraId="4EFE60BC">
            <w:pPr>
              <w:spacing w:line="200" w:lineRule="exact"/>
            </w:pPr>
            <w:r>
              <w:rPr>
                <w:rFonts w:ascii="方正黑体_GBK" w:hAnsi="方正黑体_GBK" w:eastAsia="方正黑体_GBK" w:cs="宋体"/>
                <w:b/>
                <w:sz w:val="18"/>
                <w:szCs w:val="18"/>
              </w:rPr>
              <w:t>N1份额：销售费年化0.05%</w:t>
            </w:r>
          </w:p>
          <w:p w14:paraId="3BDF7D8F">
            <w:pPr>
              <w:spacing w:line="200" w:lineRule="exact"/>
            </w:pPr>
            <w:r>
              <w:rPr>
                <w:rFonts w:ascii="方正黑体_GBK" w:hAnsi="方正黑体_GBK" w:eastAsia="方正黑体_GBK" w:cs="宋体"/>
                <w:b/>
                <w:sz w:val="18"/>
                <w:szCs w:val="18"/>
              </w:rPr>
              <w:t>O1份额：销售费年化0.2%</w:t>
            </w:r>
          </w:p>
          <w:p w14:paraId="6301179D">
            <w:pPr>
              <w:spacing w:line="200" w:lineRule="exact"/>
            </w:pPr>
            <w:r>
              <w:rPr>
                <w:rFonts w:ascii="方正黑体_GBK" w:hAnsi="方正黑体_GBK" w:eastAsia="方正黑体_GBK" w:cs="宋体"/>
                <w:b/>
                <w:sz w:val="18"/>
                <w:szCs w:val="18"/>
              </w:rPr>
              <w:t>S1份额：销售费年化0.1%</w:t>
            </w:r>
          </w:p>
          <w:p w14:paraId="25B767E8">
            <w:pPr>
              <w:spacing w:line="200" w:lineRule="exact"/>
            </w:pPr>
            <w:r>
              <w:rPr>
                <w:rFonts w:ascii="方正黑体_GBK" w:hAnsi="方正黑体_GBK" w:eastAsia="方正黑体_GBK" w:cs="宋体"/>
                <w:b/>
                <w:sz w:val="18"/>
                <w:szCs w:val="18"/>
              </w:rPr>
              <w:t>S2份额：销售费年化0.1%</w:t>
            </w:r>
          </w:p>
          <w:p w14:paraId="24559149">
            <w:pPr>
              <w:spacing w:line="200" w:lineRule="exact"/>
            </w:pPr>
            <w:r>
              <w:rPr>
                <w:rFonts w:ascii="方正黑体_GBK" w:hAnsi="方正黑体_GBK" w:eastAsia="方正黑体_GBK" w:cs="宋体"/>
                <w:b/>
                <w:sz w:val="18"/>
                <w:szCs w:val="18"/>
              </w:rPr>
              <w:t>S3份额：销售费年化0.1%</w:t>
            </w:r>
          </w:p>
          <w:p w14:paraId="53121731">
            <w:pPr>
              <w:spacing w:line="200" w:lineRule="exact"/>
            </w:pPr>
            <w:r>
              <w:rPr>
                <w:rFonts w:ascii="方正黑体_GBK" w:hAnsi="方正黑体_GBK" w:eastAsia="方正黑体_GBK" w:cs="宋体"/>
                <w:b/>
                <w:sz w:val="18"/>
                <w:szCs w:val="18"/>
              </w:rPr>
              <w:t>T1份额：销售费年化0.1%</w:t>
            </w:r>
          </w:p>
          <w:p w14:paraId="39F8D918">
            <w:pPr>
              <w:spacing w:line="200" w:lineRule="exact"/>
            </w:pPr>
            <w:r>
              <w:rPr>
                <w:rFonts w:ascii="方正黑体_GBK" w:hAnsi="方正黑体_GBK" w:eastAsia="方正黑体_GBK" w:cs="宋体"/>
                <w:b/>
                <w:sz w:val="18"/>
                <w:szCs w:val="18"/>
              </w:rPr>
              <w:t>T2份额：销售费年化0.1%</w:t>
            </w:r>
          </w:p>
          <w:p w14:paraId="5C42EF37">
            <w:pPr>
              <w:spacing w:line="200" w:lineRule="exact"/>
            </w:pPr>
            <w:r>
              <w:rPr>
                <w:rFonts w:ascii="方正黑体_GBK" w:hAnsi="方正黑体_GBK" w:eastAsia="方正黑体_GBK" w:cs="宋体"/>
                <w:b/>
                <w:sz w:val="18"/>
                <w:szCs w:val="18"/>
              </w:rPr>
              <w:t>T3份额：销售费年化0.1%</w:t>
            </w:r>
          </w:p>
          <w:p w14:paraId="62762841">
            <w:pPr>
              <w:spacing w:line="200" w:lineRule="exact"/>
            </w:pPr>
            <w:r>
              <w:rPr>
                <w:rFonts w:ascii="方正黑体_GBK" w:hAnsi="方正黑体_GBK" w:eastAsia="方正黑体_GBK" w:cs="宋体"/>
                <w:b/>
                <w:sz w:val="18"/>
                <w:szCs w:val="18"/>
              </w:rPr>
              <w:t>V1份额：销售费年化0.05%</w:t>
            </w:r>
          </w:p>
          <w:p w14:paraId="770A0F07">
            <w:pPr>
              <w:spacing w:line="200" w:lineRule="exact"/>
            </w:pPr>
            <w:r>
              <w:rPr>
                <w:rFonts w:ascii="方正黑体_GBK" w:hAnsi="方正黑体_GBK" w:eastAsia="方正黑体_GBK" w:cs="宋体"/>
                <w:b/>
                <w:sz w:val="18"/>
                <w:szCs w:val="18"/>
              </w:rPr>
              <w:t>V2份额：销售费年化0.05%</w:t>
            </w:r>
          </w:p>
          <w:p w14:paraId="7E9D685B">
            <w:pPr>
              <w:spacing w:line="200" w:lineRule="exact"/>
            </w:pPr>
            <w:r>
              <w:rPr>
                <w:rFonts w:ascii="方正黑体_GBK" w:hAnsi="方正黑体_GBK" w:eastAsia="方正黑体_GBK" w:cs="宋体"/>
                <w:b/>
                <w:sz w:val="18"/>
                <w:szCs w:val="18"/>
              </w:rPr>
              <w:t>V3份额：销售费年化0.05%</w:t>
            </w:r>
          </w:p>
          <w:p w14:paraId="78238392">
            <w:pPr>
              <w:spacing w:line="200" w:lineRule="exact"/>
            </w:pPr>
            <w:r>
              <w:rPr>
                <w:rFonts w:ascii="方正黑体_GBK" w:hAnsi="方正黑体_GBK" w:eastAsia="方正黑体_GBK" w:cs="宋体"/>
                <w:b/>
                <w:sz w:val="18"/>
                <w:szCs w:val="18"/>
              </w:rPr>
              <w:t>B5份额：销售费年化0.2%</w:t>
            </w:r>
          </w:p>
          <w:p w14:paraId="0331B0A6">
            <w:pPr>
              <w:spacing w:line="200" w:lineRule="exact"/>
            </w:pPr>
            <w:r>
              <w:rPr>
                <w:rFonts w:ascii="方正黑体_GBK" w:hAnsi="方正黑体_GBK" w:eastAsia="方正黑体_GBK" w:cs="宋体"/>
                <w:b/>
                <w:sz w:val="18"/>
                <w:szCs w:val="18"/>
              </w:rPr>
              <w:t>C5份额：销售费年化0.15%</w:t>
            </w:r>
          </w:p>
          <w:p w14:paraId="5B685326">
            <w:pPr>
              <w:spacing w:line="200" w:lineRule="exact"/>
            </w:pPr>
            <w:r>
              <w:rPr>
                <w:rFonts w:ascii="方正黑体_GBK" w:hAnsi="方正黑体_GBK" w:eastAsia="方正黑体_GBK" w:cs="宋体"/>
                <w:b/>
                <w:sz w:val="18"/>
                <w:szCs w:val="18"/>
              </w:rPr>
              <w:t>D5份额：销售费年化0.15%</w:t>
            </w:r>
          </w:p>
          <w:p w14:paraId="22037FC1">
            <w:pPr>
              <w:spacing w:line="200" w:lineRule="exact"/>
            </w:pPr>
            <w:r>
              <w:rPr>
                <w:rFonts w:ascii="方正黑体_GBK" w:hAnsi="方正黑体_GBK" w:eastAsia="方正黑体_GBK" w:cs="宋体"/>
                <w:b/>
                <w:sz w:val="18"/>
                <w:szCs w:val="18"/>
              </w:rPr>
              <w:t>E5份额：销售费年化0.05%</w:t>
            </w:r>
          </w:p>
          <w:p w14:paraId="4C9FB5DF">
            <w:pPr>
              <w:spacing w:line="200" w:lineRule="exact"/>
            </w:pPr>
            <w:r>
              <w:rPr>
                <w:rFonts w:ascii="方正黑体_GBK" w:hAnsi="方正黑体_GBK" w:eastAsia="方正黑体_GBK" w:cs="宋体"/>
                <w:b/>
                <w:sz w:val="18"/>
                <w:szCs w:val="18"/>
              </w:rPr>
              <w:t>B6份额：销售费年化0.2%</w:t>
            </w:r>
          </w:p>
          <w:p w14:paraId="6A1817F1">
            <w:pPr>
              <w:spacing w:line="200" w:lineRule="exact"/>
            </w:pPr>
            <w:r>
              <w:rPr>
                <w:rFonts w:ascii="方正黑体_GBK" w:hAnsi="方正黑体_GBK" w:eastAsia="方正黑体_GBK" w:cs="宋体"/>
                <w:b/>
                <w:sz w:val="18"/>
                <w:szCs w:val="18"/>
              </w:rPr>
              <w:t>C6份额：销售费年化0.15%</w:t>
            </w:r>
          </w:p>
          <w:p w14:paraId="0863BE8A">
            <w:pPr>
              <w:spacing w:line="200" w:lineRule="exact"/>
            </w:pPr>
            <w:r>
              <w:rPr>
                <w:rFonts w:ascii="方正黑体_GBK" w:hAnsi="方正黑体_GBK" w:eastAsia="方正黑体_GBK" w:cs="宋体"/>
                <w:b/>
                <w:sz w:val="18"/>
                <w:szCs w:val="18"/>
              </w:rPr>
              <w:t>D6份额：销售费年化0.15%</w:t>
            </w:r>
          </w:p>
          <w:p w14:paraId="73CB8A5D">
            <w:pPr>
              <w:spacing w:line="200" w:lineRule="exact"/>
            </w:pPr>
            <w:r>
              <w:rPr>
                <w:rFonts w:ascii="方正黑体_GBK" w:hAnsi="方正黑体_GBK" w:eastAsia="方正黑体_GBK" w:cs="宋体"/>
                <w:b/>
                <w:sz w:val="18"/>
                <w:szCs w:val="18"/>
              </w:rPr>
              <w:t>E6份额：销售费年化0.05%</w:t>
            </w:r>
          </w:p>
          <w:p w14:paraId="56FAFF65">
            <w:pPr>
              <w:spacing w:line="200" w:lineRule="exact"/>
            </w:pPr>
            <w:r>
              <w:rPr>
                <w:rFonts w:ascii="方正黑体_GBK" w:hAnsi="方正黑体_GBK" w:eastAsia="方正黑体_GBK" w:cs="宋体"/>
                <w:b/>
                <w:sz w:val="18"/>
                <w:szCs w:val="18"/>
              </w:rPr>
              <w:t>B7份额：销售费年化0.2%</w:t>
            </w:r>
          </w:p>
          <w:p w14:paraId="043710A3">
            <w:pPr>
              <w:spacing w:line="200" w:lineRule="exact"/>
            </w:pPr>
            <w:r>
              <w:rPr>
                <w:rFonts w:ascii="方正黑体_GBK" w:hAnsi="方正黑体_GBK" w:eastAsia="方正黑体_GBK" w:cs="宋体"/>
                <w:b/>
                <w:sz w:val="18"/>
                <w:szCs w:val="18"/>
              </w:rPr>
              <w:t>C7份额：销售费年化0.15%</w:t>
            </w:r>
          </w:p>
          <w:p w14:paraId="6FB80B37">
            <w:pPr>
              <w:spacing w:line="200" w:lineRule="exact"/>
            </w:pPr>
            <w:r>
              <w:rPr>
                <w:rFonts w:ascii="方正黑体_GBK" w:hAnsi="方正黑体_GBK" w:eastAsia="方正黑体_GBK" w:cs="宋体"/>
                <w:b/>
                <w:sz w:val="18"/>
                <w:szCs w:val="18"/>
              </w:rPr>
              <w:t>D7份额：销售费年化0.15%</w:t>
            </w:r>
          </w:p>
          <w:p w14:paraId="53EC41B7">
            <w:pPr>
              <w:spacing w:line="200" w:lineRule="exact"/>
            </w:pPr>
            <w:r>
              <w:rPr>
                <w:rFonts w:ascii="方正黑体_GBK" w:hAnsi="方正黑体_GBK" w:eastAsia="方正黑体_GBK" w:cs="宋体"/>
                <w:b/>
                <w:sz w:val="18"/>
                <w:szCs w:val="18"/>
              </w:rPr>
              <w:t>E7份额：销售费年化0.05%</w:t>
            </w:r>
          </w:p>
          <w:p w14:paraId="6418A950">
            <w:pPr>
              <w:spacing w:line="200" w:lineRule="exact"/>
            </w:pPr>
            <w:r>
              <w:rPr>
                <w:rFonts w:ascii="方正黑体_GBK" w:hAnsi="方正黑体_GBK" w:eastAsia="方正黑体_GBK" w:cs="宋体"/>
                <w:b/>
                <w:sz w:val="18"/>
                <w:szCs w:val="18"/>
              </w:rPr>
              <w:t>每日计提的销售费=前一日理财产品资产净值×年化销售费率÷365</w:t>
            </w:r>
          </w:p>
          <w:p w14:paraId="6D45D74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30A01EE">
            <w:pPr>
              <w:spacing w:line="200" w:lineRule="exact"/>
            </w:pPr>
            <w:r>
              <w:rPr>
                <w:rFonts w:ascii="方正黑体_GBK" w:hAnsi="方正黑体_GBK" w:eastAsia="方正黑体_GBK" w:cs="宋体"/>
                <w:b/>
                <w:sz w:val="18"/>
                <w:szCs w:val="18"/>
              </w:rPr>
              <w:t>A份额：固定管理费年化0.2%</w:t>
            </w:r>
          </w:p>
          <w:p w14:paraId="53C2948D">
            <w:pPr>
              <w:spacing w:line="200" w:lineRule="exact"/>
            </w:pPr>
            <w:r>
              <w:rPr>
                <w:rFonts w:ascii="方正黑体_GBK" w:hAnsi="方正黑体_GBK" w:eastAsia="方正黑体_GBK" w:cs="宋体"/>
                <w:b/>
                <w:sz w:val="18"/>
                <w:szCs w:val="18"/>
              </w:rPr>
              <w:t>F份额：固定管理费年化0.15%</w:t>
            </w:r>
          </w:p>
          <w:p w14:paraId="746A3202">
            <w:pPr>
              <w:spacing w:line="200" w:lineRule="exact"/>
            </w:pPr>
            <w:r>
              <w:rPr>
                <w:rFonts w:ascii="方正黑体_GBK" w:hAnsi="方正黑体_GBK" w:eastAsia="方正黑体_GBK" w:cs="宋体"/>
                <w:b/>
                <w:sz w:val="18"/>
                <w:szCs w:val="18"/>
              </w:rPr>
              <w:t>A2份额：固定管理费年化0.2%</w:t>
            </w:r>
          </w:p>
          <w:p w14:paraId="1CF13BDF">
            <w:pPr>
              <w:spacing w:line="200" w:lineRule="exact"/>
            </w:pPr>
            <w:r>
              <w:rPr>
                <w:rFonts w:ascii="方正黑体_GBK" w:hAnsi="方正黑体_GBK" w:eastAsia="方正黑体_GBK" w:cs="宋体"/>
                <w:b/>
                <w:sz w:val="18"/>
                <w:szCs w:val="18"/>
              </w:rPr>
              <w:t>A3份额：固定管理费年化0.2%</w:t>
            </w:r>
          </w:p>
          <w:p w14:paraId="68E87054">
            <w:pPr>
              <w:spacing w:line="200" w:lineRule="exact"/>
            </w:pPr>
            <w:r>
              <w:rPr>
                <w:rFonts w:ascii="方正黑体_GBK" w:hAnsi="方正黑体_GBK" w:eastAsia="方正黑体_GBK" w:cs="宋体"/>
                <w:b/>
                <w:sz w:val="18"/>
                <w:szCs w:val="18"/>
              </w:rPr>
              <w:t>A4份额：固定管理费年化0.2%</w:t>
            </w:r>
          </w:p>
          <w:p w14:paraId="727A017C">
            <w:pPr>
              <w:spacing w:line="200" w:lineRule="exact"/>
            </w:pPr>
            <w:r>
              <w:rPr>
                <w:rFonts w:ascii="方正黑体_GBK" w:hAnsi="方正黑体_GBK" w:eastAsia="方正黑体_GBK" w:cs="宋体"/>
                <w:b/>
                <w:sz w:val="18"/>
                <w:szCs w:val="18"/>
              </w:rPr>
              <w:t>F2份额：固定管理费年化0.15%</w:t>
            </w:r>
          </w:p>
          <w:p w14:paraId="555755D6">
            <w:pPr>
              <w:spacing w:line="200" w:lineRule="exact"/>
            </w:pPr>
            <w:r>
              <w:rPr>
                <w:rFonts w:ascii="方正黑体_GBK" w:hAnsi="方正黑体_GBK" w:eastAsia="方正黑体_GBK" w:cs="宋体"/>
                <w:b/>
                <w:sz w:val="18"/>
                <w:szCs w:val="18"/>
              </w:rPr>
              <w:t>F3份额：固定管理费年化0.15%</w:t>
            </w:r>
          </w:p>
          <w:p w14:paraId="650D6900">
            <w:pPr>
              <w:spacing w:line="200" w:lineRule="exact"/>
            </w:pPr>
            <w:r>
              <w:rPr>
                <w:rFonts w:ascii="方正黑体_GBK" w:hAnsi="方正黑体_GBK" w:eastAsia="方正黑体_GBK" w:cs="宋体"/>
                <w:b/>
                <w:sz w:val="18"/>
                <w:szCs w:val="18"/>
              </w:rPr>
              <w:t>G2份额：固定管理费年化0.15%</w:t>
            </w:r>
          </w:p>
          <w:p w14:paraId="3ABDE2E6">
            <w:pPr>
              <w:spacing w:line="200" w:lineRule="exact"/>
            </w:pPr>
            <w:r>
              <w:rPr>
                <w:rFonts w:ascii="方正黑体_GBK" w:hAnsi="方正黑体_GBK" w:eastAsia="方正黑体_GBK" w:cs="宋体"/>
                <w:b/>
                <w:sz w:val="18"/>
                <w:szCs w:val="18"/>
              </w:rPr>
              <w:t>G3份额：固定管理费年化0.15%</w:t>
            </w:r>
          </w:p>
          <w:p w14:paraId="0932EA02">
            <w:pPr>
              <w:spacing w:line="200" w:lineRule="exact"/>
            </w:pPr>
            <w:r>
              <w:rPr>
                <w:rFonts w:ascii="方正黑体_GBK" w:hAnsi="方正黑体_GBK" w:eastAsia="方正黑体_GBK" w:cs="宋体"/>
                <w:b/>
                <w:sz w:val="18"/>
                <w:szCs w:val="18"/>
              </w:rPr>
              <w:t>F4份额：固定管理费年化0.15%</w:t>
            </w:r>
          </w:p>
          <w:p w14:paraId="21A0813D">
            <w:pPr>
              <w:spacing w:line="200" w:lineRule="exact"/>
            </w:pPr>
            <w:r>
              <w:rPr>
                <w:rFonts w:ascii="方正黑体_GBK" w:hAnsi="方正黑体_GBK" w:eastAsia="方正黑体_GBK" w:cs="宋体"/>
                <w:b/>
                <w:sz w:val="18"/>
                <w:szCs w:val="18"/>
              </w:rPr>
              <w:t>I2份额：固定管理费年化0.15%</w:t>
            </w:r>
          </w:p>
          <w:p w14:paraId="23DED86C">
            <w:pPr>
              <w:spacing w:line="200" w:lineRule="exact"/>
            </w:pPr>
            <w:r>
              <w:rPr>
                <w:rFonts w:ascii="方正黑体_GBK" w:hAnsi="方正黑体_GBK" w:eastAsia="方正黑体_GBK" w:cs="宋体"/>
                <w:b/>
                <w:sz w:val="18"/>
                <w:szCs w:val="18"/>
              </w:rPr>
              <w:t>J2份额：固定管理费年化0.1%</w:t>
            </w:r>
          </w:p>
          <w:p w14:paraId="53F1E3AE">
            <w:pPr>
              <w:spacing w:line="200" w:lineRule="exact"/>
            </w:pPr>
            <w:r>
              <w:rPr>
                <w:rFonts w:ascii="方正黑体_GBK" w:hAnsi="方正黑体_GBK" w:eastAsia="方正黑体_GBK" w:cs="宋体"/>
                <w:b/>
                <w:sz w:val="18"/>
                <w:szCs w:val="18"/>
              </w:rPr>
              <w:t>L2份额：固定管理费年化0.1%</w:t>
            </w:r>
          </w:p>
          <w:p w14:paraId="0D28DFA9">
            <w:pPr>
              <w:spacing w:line="200" w:lineRule="exact"/>
            </w:pPr>
            <w:r>
              <w:rPr>
                <w:rFonts w:ascii="方正黑体_GBK" w:hAnsi="方正黑体_GBK" w:eastAsia="方正黑体_GBK" w:cs="宋体"/>
                <w:b/>
                <w:sz w:val="18"/>
                <w:szCs w:val="18"/>
              </w:rPr>
              <w:t>J3份额：固定管理费年化0.1%</w:t>
            </w:r>
          </w:p>
          <w:p w14:paraId="48371AD5">
            <w:pPr>
              <w:spacing w:line="200" w:lineRule="exact"/>
            </w:pPr>
            <w:r>
              <w:rPr>
                <w:rFonts w:ascii="方正黑体_GBK" w:hAnsi="方正黑体_GBK" w:eastAsia="方正黑体_GBK" w:cs="宋体"/>
                <w:b/>
                <w:sz w:val="18"/>
                <w:szCs w:val="18"/>
              </w:rPr>
              <w:t>L3份额：固定管理费年化0.1%</w:t>
            </w:r>
          </w:p>
          <w:p w14:paraId="0F916391">
            <w:pPr>
              <w:spacing w:line="200" w:lineRule="exact"/>
            </w:pPr>
            <w:r>
              <w:rPr>
                <w:rFonts w:ascii="方正黑体_GBK" w:hAnsi="方正黑体_GBK" w:eastAsia="方正黑体_GBK" w:cs="宋体"/>
                <w:b/>
                <w:sz w:val="18"/>
                <w:szCs w:val="18"/>
              </w:rPr>
              <w:t>I3份额：固定管理费年化0.15%</w:t>
            </w:r>
          </w:p>
          <w:p w14:paraId="774A960F">
            <w:pPr>
              <w:spacing w:line="200" w:lineRule="exact"/>
            </w:pPr>
            <w:r>
              <w:rPr>
                <w:rFonts w:ascii="方正黑体_GBK" w:hAnsi="方正黑体_GBK" w:eastAsia="方正黑体_GBK" w:cs="宋体"/>
                <w:b/>
                <w:sz w:val="18"/>
                <w:szCs w:val="18"/>
              </w:rPr>
              <w:t>I4份额：固定管理费年化0.15%</w:t>
            </w:r>
          </w:p>
          <w:p w14:paraId="3ACAEFBD">
            <w:pPr>
              <w:spacing w:line="200" w:lineRule="exact"/>
            </w:pPr>
            <w:r>
              <w:rPr>
                <w:rFonts w:ascii="方正黑体_GBK" w:hAnsi="方正黑体_GBK" w:eastAsia="方正黑体_GBK" w:cs="宋体"/>
                <w:b/>
                <w:sz w:val="18"/>
                <w:szCs w:val="18"/>
              </w:rPr>
              <w:t>M2份额：固定管理费年化0.2%</w:t>
            </w:r>
          </w:p>
          <w:p w14:paraId="6DC619D1">
            <w:pPr>
              <w:spacing w:line="200" w:lineRule="exact"/>
            </w:pPr>
            <w:r>
              <w:rPr>
                <w:rFonts w:ascii="方正黑体_GBK" w:hAnsi="方正黑体_GBK" w:eastAsia="方正黑体_GBK" w:cs="宋体"/>
                <w:b/>
                <w:sz w:val="18"/>
                <w:szCs w:val="18"/>
              </w:rPr>
              <w:t>M3份额：固定管理费年化0.2%</w:t>
            </w:r>
          </w:p>
          <w:p w14:paraId="6C0C8F06">
            <w:pPr>
              <w:spacing w:line="200" w:lineRule="exact"/>
            </w:pPr>
            <w:r>
              <w:rPr>
                <w:rFonts w:ascii="方正黑体_GBK" w:hAnsi="方正黑体_GBK" w:eastAsia="方正黑体_GBK" w:cs="宋体"/>
                <w:b/>
                <w:sz w:val="18"/>
                <w:szCs w:val="18"/>
              </w:rPr>
              <w:t>O2份额：固定管理费年化0.1%</w:t>
            </w:r>
          </w:p>
          <w:p w14:paraId="28485EEF">
            <w:pPr>
              <w:spacing w:line="200" w:lineRule="exact"/>
            </w:pPr>
            <w:r>
              <w:rPr>
                <w:rFonts w:ascii="方正黑体_GBK" w:hAnsi="方正黑体_GBK" w:eastAsia="方正黑体_GBK" w:cs="宋体"/>
                <w:b/>
                <w:sz w:val="18"/>
                <w:szCs w:val="18"/>
              </w:rPr>
              <w:t>O3份额：固定管理费年化0.1%</w:t>
            </w:r>
          </w:p>
          <w:p w14:paraId="1C299474">
            <w:pPr>
              <w:spacing w:line="200" w:lineRule="exact"/>
            </w:pPr>
            <w:r>
              <w:rPr>
                <w:rFonts w:ascii="方正黑体_GBK" w:hAnsi="方正黑体_GBK" w:eastAsia="方正黑体_GBK" w:cs="宋体"/>
                <w:b/>
                <w:sz w:val="18"/>
                <w:szCs w:val="18"/>
              </w:rPr>
              <w:t>Q1份额：固定管理费年化0.2%</w:t>
            </w:r>
          </w:p>
          <w:p w14:paraId="0718E524">
            <w:pPr>
              <w:spacing w:line="200" w:lineRule="exact"/>
            </w:pPr>
            <w:r>
              <w:rPr>
                <w:rFonts w:ascii="方正黑体_GBK" w:hAnsi="方正黑体_GBK" w:eastAsia="方正黑体_GBK" w:cs="宋体"/>
                <w:b/>
                <w:sz w:val="18"/>
                <w:szCs w:val="18"/>
              </w:rPr>
              <w:t>R1份额：固定管理费年化0.15%</w:t>
            </w:r>
          </w:p>
          <w:p w14:paraId="5C974A7B">
            <w:pPr>
              <w:spacing w:line="200" w:lineRule="exact"/>
            </w:pPr>
            <w:r>
              <w:rPr>
                <w:rFonts w:ascii="方正黑体_GBK" w:hAnsi="方正黑体_GBK" w:eastAsia="方正黑体_GBK" w:cs="宋体"/>
                <w:b/>
                <w:sz w:val="18"/>
                <w:szCs w:val="18"/>
              </w:rPr>
              <w:t>Q2份额：固定管理费年化0.2%</w:t>
            </w:r>
          </w:p>
          <w:p w14:paraId="15178DB4">
            <w:pPr>
              <w:spacing w:line="200" w:lineRule="exact"/>
            </w:pPr>
            <w:r>
              <w:rPr>
                <w:rFonts w:ascii="方正黑体_GBK" w:hAnsi="方正黑体_GBK" w:eastAsia="方正黑体_GBK" w:cs="宋体"/>
                <w:b/>
                <w:sz w:val="18"/>
                <w:szCs w:val="18"/>
              </w:rPr>
              <w:t>R2份额：固定管理费年化0.15%</w:t>
            </w:r>
          </w:p>
          <w:p w14:paraId="40E214E3">
            <w:pPr>
              <w:spacing w:line="200" w:lineRule="exact"/>
            </w:pPr>
            <w:r>
              <w:rPr>
                <w:rFonts w:ascii="方正黑体_GBK" w:hAnsi="方正黑体_GBK" w:eastAsia="方正黑体_GBK" w:cs="宋体"/>
                <w:b/>
                <w:sz w:val="18"/>
                <w:szCs w:val="18"/>
              </w:rPr>
              <w:t>Q3份额：固定管理费年化0.2%</w:t>
            </w:r>
          </w:p>
          <w:p w14:paraId="5E156F05">
            <w:pPr>
              <w:spacing w:line="200" w:lineRule="exact"/>
            </w:pPr>
            <w:r>
              <w:rPr>
                <w:rFonts w:ascii="方正黑体_GBK" w:hAnsi="方正黑体_GBK" w:eastAsia="方正黑体_GBK" w:cs="宋体"/>
                <w:b/>
                <w:sz w:val="18"/>
                <w:szCs w:val="18"/>
              </w:rPr>
              <w:t>R3份额：固定管理费年化0.15%</w:t>
            </w:r>
          </w:p>
          <w:p w14:paraId="7BEA2856">
            <w:pPr>
              <w:spacing w:line="200" w:lineRule="exact"/>
            </w:pPr>
            <w:r>
              <w:rPr>
                <w:rFonts w:ascii="方正黑体_GBK" w:hAnsi="方正黑体_GBK" w:eastAsia="方正黑体_GBK" w:cs="宋体"/>
                <w:b/>
                <w:sz w:val="18"/>
                <w:szCs w:val="18"/>
              </w:rPr>
              <w:t>G1份额：固定管理费年化0.15%</w:t>
            </w:r>
          </w:p>
          <w:p w14:paraId="656F2889">
            <w:pPr>
              <w:spacing w:line="200" w:lineRule="exact"/>
            </w:pPr>
            <w:r>
              <w:rPr>
                <w:rFonts w:ascii="方正黑体_GBK" w:hAnsi="方正黑体_GBK" w:eastAsia="方正黑体_GBK" w:cs="宋体"/>
                <w:b/>
                <w:sz w:val="18"/>
                <w:szCs w:val="18"/>
              </w:rPr>
              <w:t>I1份额：固定管理费年化0.15%</w:t>
            </w:r>
          </w:p>
          <w:p w14:paraId="6ACCFAA8">
            <w:pPr>
              <w:spacing w:line="200" w:lineRule="exact"/>
            </w:pPr>
            <w:r>
              <w:rPr>
                <w:rFonts w:ascii="方正黑体_GBK" w:hAnsi="方正黑体_GBK" w:eastAsia="方正黑体_GBK" w:cs="宋体"/>
                <w:b/>
                <w:sz w:val="18"/>
                <w:szCs w:val="18"/>
              </w:rPr>
              <w:t>J1份额：固定管理费年化0.1%</w:t>
            </w:r>
          </w:p>
          <w:p w14:paraId="52A93928">
            <w:pPr>
              <w:spacing w:line="200" w:lineRule="exact"/>
            </w:pPr>
            <w:r>
              <w:rPr>
                <w:rFonts w:ascii="方正黑体_GBK" w:hAnsi="方正黑体_GBK" w:eastAsia="方正黑体_GBK" w:cs="宋体"/>
                <w:b/>
                <w:sz w:val="18"/>
                <w:szCs w:val="18"/>
              </w:rPr>
              <w:t>L1份额：固定管理费年化0.1%</w:t>
            </w:r>
          </w:p>
          <w:p w14:paraId="495392E3">
            <w:pPr>
              <w:spacing w:line="200" w:lineRule="exact"/>
            </w:pPr>
            <w:r>
              <w:rPr>
                <w:rFonts w:ascii="方正黑体_GBK" w:hAnsi="方正黑体_GBK" w:eastAsia="方正黑体_GBK" w:cs="宋体"/>
                <w:b/>
                <w:sz w:val="18"/>
                <w:szCs w:val="18"/>
              </w:rPr>
              <w:t>M1份额：固定管理费年化0.2%</w:t>
            </w:r>
          </w:p>
          <w:p w14:paraId="1775F2C6">
            <w:pPr>
              <w:spacing w:line="200" w:lineRule="exact"/>
            </w:pPr>
            <w:r>
              <w:rPr>
                <w:rFonts w:ascii="方正黑体_GBK" w:hAnsi="方正黑体_GBK" w:eastAsia="方正黑体_GBK" w:cs="宋体"/>
                <w:b/>
                <w:sz w:val="18"/>
                <w:szCs w:val="18"/>
              </w:rPr>
              <w:t>N1份额：固定管理费年化0.1%</w:t>
            </w:r>
          </w:p>
          <w:p w14:paraId="0A84BB6A">
            <w:pPr>
              <w:spacing w:line="200" w:lineRule="exact"/>
            </w:pPr>
            <w:r>
              <w:rPr>
                <w:rFonts w:ascii="方正黑体_GBK" w:hAnsi="方正黑体_GBK" w:eastAsia="方正黑体_GBK" w:cs="宋体"/>
                <w:b/>
                <w:sz w:val="18"/>
                <w:szCs w:val="18"/>
              </w:rPr>
              <w:t>O1份额：固定管理费年化0.1%</w:t>
            </w:r>
          </w:p>
          <w:p w14:paraId="7ED242B9">
            <w:pPr>
              <w:spacing w:line="200" w:lineRule="exact"/>
            </w:pPr>
            <w:r>
              <w:rPr>
                <w:rFonts w:ascii="方正黑体_GBK" w:hAnsi="方正黑体_GBK" w:eastAsia="方正黑体_GBK" w:cs="宋体"/>
                <w:b/>
                <w:sz w:val="18"/>
                <w:szCs w:val="18"/>
              </w:rPr>
              <w:t>S1份额：固定管理费年化0.15%</w:t>
            </w:r>
          </w:p>
          <w:p w14:paraId="27F9F9AF">
            <w:pPr>
              <w:spacing w:line="200" w:lineRule="exact"/>
            </w:pPr>
            <w:r>
              <w:rPr>
                <w:rFonts w:ascii="方正黑体_GBK" w:hAnsi="方正黑体_GBK" w:eastAsia="方正黑体_GBK" w:cs="宋体"/>
                <w:b/>
                <w:sz w:val="18"/>
                <w:szCs w:val="18"/>
              </w:rPr>
              <w:t>S2份额：固定管理费年化0.15%</w:t>
            </w:r>
          </w:p>
          <w:p w14:paraId="1BB23BFE">
            <w:pPr>
              <w:spacing w:line="200" w:lineRule="exact"/>
            </w:pPr>
            <w:r>
              <w:rPr>
                <w:rFonts w:ascii="方正黑体_GBK" w:hAnsi="方正黑体_GBK" w:eastAsia="方正黑体_GBK" w:cs="宋体"/>
                <w:b/>
                <w:sz w:val="18"/>
                <w:szCs w:val="18"/>
              </w:rPr>
              <w:t>S3份额：固定管理费年化0.15%</w:t>
            </w:r>
          </w:p>
          <w:p w14:paraId="256AD3FB">
            <w:pPr>
              <w:spacing w:line="200" w:lineRule="exact"/>
            </w:pPr>
            <w:r>
              <w:rPr>
                <w:rFonts w:ascii="方正黑体_GBK" w:hAnsi="方正黑体_GBK" w:eastAsia="方正黑体_GBK" w:cs="宋体"/>
                <w:b/>
                <w:sz w:val="18"/>
                <w:szCs w:val="18"/>
              </w:rPr>
              <w:t>T1份额：固定管理费年化0.15%</w:t>
            </w:r>
          </w:p>
          <w:p w14:paraId="2A13456E">
            <w:pPr>
              <w:spacing w:line="200" w:lineRule="exact"/>
            </w:pPr>
            <w:r>
              <w:rPr>
                <w:rFonts w:ascii="方正黑体_GBK" w:hAnsi="方正黑体_GBK" w:eastAsia="方正黑体_GBK" w:cs="宋体"/>
                <w:b/>
                <w:sz w:val="18"/>
                <w:szCs w:val="18"/>
              </w:rPr>
              <w:t>T2份额：固定管理费年化0.15%</w:t>
            </w:r>
          </w:p>
          <w:p w14:paraId="60567F6F">
            <w:pPr>
              <w:spacing w:line="200" w:lineRule="exact"/>
            </w:pPr>
            <w:r>
              <w:rPr>
                <w:rFonts w:ascii="方正黑体_GBK" w:hAnsi="方正黑体_GBK" w:eastAsia="方正黑体_GBK" w:cs="宋体"/>
                <w:b/>
                <w:sz w:val="18"/>
                <w:szCs w:val="18"/>
              </w:rPr>
              <w:t>T3份额：固定管理费年化0.15%</w:t>
            </w:r>
          </w:p>
          <w:p w14:paraId="7393BEA6">
            <w:pPr>
              <w:spacing w:line="200" w:lineRule="exact"/>
            </w:pPr>
            <w:r>
              <w:rPr>
                <w:rFonts w:ascii="方正黑体_GBK" w:hAnsi="方正黑体_GBK" w:eastAsia="方正黑体_GBK" w:cs="宋体"/>
                <w:b/>
                <w:sz w:val="18"/>
                <w:szCs w:val="18"/>
              </w:rPr>
              <w:t>V1份额：固定管理费年化0.1%</w:t>
            </w:r>
          </w:p>
          <w:p w14:paraId="49777665">
            <w:pPr>
              <w:spacing w:line="200" w:lineRule="exact"/>
            </w:pPr>
            <w:r>
              <w:rPr>
                <w:rFonts w:ascii="方正黑体_GBK" w:hAnsi="方正黑体_GBK" w:eastAsia="方正黑体_GBK" w:cs="宋体"/>
                <w:b/>
                <w:sz w:val="18"/>
                <w:szCs w:val="18"/>
              </w:rPr>
              <w:t>V2份额：固定管理费年化0.1%</w:t>
            </w:r>
          </w:p>
          <w:p w14:paraId="1CAB1AFE">
            <w:pPr>
              <w:spacing w:line="200" w:lineRule="exact"/>
            </w:pPr>
            <w:r>
              <w:rPr>
                <w:rFonts w:ascii="方正黑体_GBK" w:hAnsi="方正黑体_GBK" w:eastAsia="方正黑体_GBK" w:cs="宋体"/>
                <w:b/>
                <w:sz w:val="18"/>
                <w:szCs w:val="18"/>
              </w:rPr>
              <w:t>V3份额：固定管理费年化0.1%</w:t>
            </w:r>
          </w:p>
          <w:p w14:paraId="645894D2">
            <w:pPr>
              <w:spacing w:line="200" w:lineRule="exact"/>
            </w:pPr>
            <w:r>
              <w:rPr>
                <w:rFonts w:ascii="方正黑体_GBK" w:hAnsi="方正黑体_GBK" w:eastAsia="方正黑体_GBK" w:cs="宋体"/>
                <w:b/>
                <w:sz w:val="18"/>
                <w:szCs w:val="18"/>
              </w:rPr>
              <w:t>B5份额：固定管理费年化0.2%</w:t>
            </w:r>
          </w:p>
          <w:p w14:paraId="74B1FCED">
            <w:pPr>
              <w:spacing w:line="200" w:lineRule="exact"/>
            </w:pPr>
            <w:r>
              <w:rPr>
                <w:rFonts w:ascii="方正黑体_GBK" w:hAnsi="方正黑体_GBK" w:eastAsia="方正黑体_GBK" w:cs="宋体"/>
                <w:b/>
                <w:sz w:val="18"/>
                <w:szCs w:val="18"/>
              </w:rPr>
              <w:t>C5份额：固定管理费年化0.2%</w:t>
            </w:r>
          </w:p>
          <w:p w14:paraId="737669ED">
            <w:pPr>
              <w:spacing w:line="200" w:lineRule="exact"/>
            </w:pPr>
            <w:r>
              <w:rPr>
                <w:rFonts w:ascii="方正黑体_GBK" w:hAnsi="方正黑体_GBK" w:eastAsia="方正黑体_GBK" w:cs="宋体"/>
                <w:b/>
                <w:sz w:val="18"/>
                <w:szCs w:val="18"/>
              </w:rPr>
              <w:t>D5份额：固定管理费年化0.15%</w:t>
            </w:r>
          </w:p>
          <w:p w14:paraId="6713CA3E">
            <w:pPr>
              <w:spacing w:line="200" w:lineRule="exact"/>
            </w:pPr>
            <w:r>
              <w:rPr>
                <w:rFonts w:ascii="方正黑体_GBK" w:hAnsi="方正黑体_GBK" w:eastAsia="方正黑体_GBK" w:cs="宋体"/>
                <w:b/>
                <w:sz w:val="18"/>
                <w:szCs w:val="18"/>
              </w:rPr>
              <w:t>E5份额：固定管理费年化0.15%</w:t>
            </w:r>
          </w:p>
          <w:p w14:paraId="2C06F205">
            <w:pPr>
              <w:spacing w:line="200" w:lineRule="exact"/>
            </w:pPr>
            <w:r>
              <w:rPr>
                <w:rFonts w:ascii="方正黑体_GBK" w:hAnsi="方正黑体_GBK" w:eastAsia="方正黑体_GBK" w:cs="宋体"/>
                <w:b/>
                <w:sz w:val="18"/>
                <w:szCs w:val="18"/>
              </w:rPr>
              <w:t>B6份额：固定管理费年化0.2%</w:t>
            </w:r>
          </w:p>
          <w:p w14:paraId="0E487945">
            <w:pPr>
              <w:spacing w:line="200" w:lineRule="exact"/>
            </w:pPr>
            <w:r>
              <w:rPr>
                <w:rFonts w:ascii="方正黑体_GBK" w:hAnsi="方正黑体_GBK" w:eastAsia="方正黑体_GBK" w:cs="宋体"/>
                <w:b/>
                <w:sz w:val="18"/>
                <w:szCs w:val="18"/>
              </w:rPr>
              <w:t>C6份额：固定管理费年化0.2%</w:t>
            </w:r>
          </w:p>
          <w:p w14:paraId="13017624">
            <w:pPr>
              <w:spacing w:line="200" w:lineRule="exact"/>
            </w:pPr>
            <w:r>
              <w:rPr>
                <w:rFonts w:ascii="方正黑体_GBK" w:hAnsi="方正黑体_GBK" w:eastAsia="方正黑体_GBK" w:cs="宋体"/>
                <w:b/>
                <w:sz w:val="18"/>
                <w:szCs w:val="18"/>
              </w:rPr>
              <w:t>D6份额：固定管理费年化0.15%</w:t>
            </w:r>
          </w:p>
          <w:p w14:paraId="0EC660C1">
            <w:pPr>
              <w:spacing w:line="200" w:lineRule="exact"/>
            </w:pPr>
            <w:r>
              <w:rPr>
                <w:rFonts w:ascii="方正黑体_GBK" w:hAnsi="方正黑体_GBK" w:eastAsia="方正黑体_GBK" w:cs="宋体"/>
                <w:b/>
                <w:sz w:val="18"/>
                <w:szCs w:val="18"/>
              </w:rPr>
              <w:t>E6份额：固定管理费年化0.15%</w:t>
            </w:r>
          </w:p>
          <w:p w14:paraId="6AD30419">
            <w:pPr>
              <w:spacing w:line="200" w:lineRule="exact"/>
            </w:pPr>
            <w:r>
              <w:rPr>
                <w:rFonts w:ascii="方正黑体_GBK" w:hAnsi="方正黑体_GBK" w:eastAsia="方正黑体_GBK" w:cs="宋体"/>
                <w:b/>
                <w:sz w:val="18"/>
                <w:szCs w:val="18"/>
              </w:rPr>
              <w:t>B7份额：固定管理费年化0.2%</w:t>
            </w:r>
          </w:p>
          <w:p w14:paraId="65441CDF">
            <w:pPr>
              <w:spacing w:line="200" w:lineRule="exact"/>
            </w:pPr>
            <w:r>
              <w:rPr>
                <w:rFonts w:ascii="方正黑体_GBK" w:hAnsi="方正黑体_GBK" w:eastAsia="方正黑体_GBK" w:cs="宋体"/>
                <w:b/>
                <w:sz w:val="18"/>
                <w:szCs w:val="18"/>
              </w:rPr>
              <w:t>C7份额：固定管理费年化0.2%</w:t>
            </w:r>
          </w:p>
          <w:p w14:paraId="5B5B526B">
            <w:pPr>
              <w:spacing w:line="200" w:lineRule="exact"/>
            </w:pPr>
            <w:r>
              <w:rPr>
                <w:rFonts w:ascii="方正黑体_GBK" w:hAnsi="方正黑体_GBK" w:eastAsia="方正黑体_GBK" w:cs="宋体"/>
                <w:b/>
                <w:sz w:val="18"/>
                <w:szCs w:val="18"/>
              </w:rPr>
              <w:t>D7份额：固定管理费年化0.15%</w:t>
            </w:r>
          </w:p>
          <w:p w14:paraId="2492D532">
            <w:pPr>
              <w:spacing w:line="200" w:lineRule="exact"/>
            </w:pPr>
            <w:r>
              <w:rPr>
                <w:rFonts w:ascii="方正黑体_GBK" w:hAnsi="方正黑体_GBK" w:eastAsia="方正黑体_GBK" w:cs="宋体"/>
                <w:b/>
                <w:sz w:val="18"/>
                <w:szCs w:val="18"/>
              </w:rPr>
              <w:t>E7份额：固定管理费年化0.15%</w:t>
            </w:r>
          </w:p>
          <w:p w14:paraId="4570583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F9E3976">
            <w:pPr>
              <w:spacing w:line="200" w:lineRule="exact"/>
            </w:pPr>
            <w:r>
              <w:rPr>
                <w:rFonts w:ascii="方正黑体_GBK" w:hAnsi="方正黑体_GBK" w:eastAsia="方正黑体_GBK" w:cs="宋体"/>
                <w:b/>
                <w:sz w:val="18"/>
                <w:szCs w:val="18"/>
              </w:rPr>
              <w:t>托管费：</w:t>
            </w:r>
          </w:p>
          <w:p w14:paraId="5B319615">
            <w:pPr>
              <w:spacing w:line="200" w:lineRule="exact"/>
            </w:pPr>
            <w:r>
              <w:rPr>
                <w:rFonts w:ascii="方正黑体_GBK" w:hAnsi="方正黑体_GBK" w:eastAsia="方正黑体_GBK" w:cs="宋体"/>
                <w:b/>
                <w:sz w:val="18"/>
                <w:szCs w:val="18"/>
              </w:rPr>
              <w:t>A份额，F份额，A2份额，A3份额，A4份额，F2份额，F3份额，G2份额，G3份额，F4份额，I2份额，J2份额，L2份额，J3份额，L3份额，I3份额，I4份额，M2份额，M3份额，O2份额，O3份额，Q1份额，R1份额，Q2份额，R2份额，Q3份额，R3份额，G1份额，I1份额，J1份额，L1份额，M1份额，N1份额，O1份额，S1份额，S2份额，S3份额，T1份额，T2份额，T3份额，V1份额，V2份额，V3份额，B5份额，C5份额，D5份额，E5份额，B6份额，C6份额，D6份额，E6份额，B7份额，C7份额，D7份额，E7份额：</w:t>
            </w:r>
          </w:p>
          <w:p w14:paraId="2C91F4A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48C9873">
            <w:pPr>
              <w:spacing w:line="200" w:lineRule="exact"/>
            </w:pPr>
            <w:r>
              <w:rPr>
                <w:rFonts w:ascii="方正黑体_GBK" w:hAnsi="方正黑体_GBK" w:eastAsia="方正黑体_GBK" w:cs="宋体"/>
                <w:b/>
                <w:sz w:val="18"/>
                <w:szCs w:val="18"/>
              </w:rPr>
              <w:t>每日计提的托管费=前一日理财产品资产净值×年化托管费率÷365</w:t>
            </w:r>
          </w:p>
          <w:p w14:paraId="25FCFE0B">
            <w:pPr>
              <w:spacing w:line="200" w:lineRule="exact"/>
            </w:pPr>
            <w:r>
              <w:rPr>
                <w:rFonts w:ascii="方正黑体_GBK" w:hAnsi="方正黑体_GBK" w:eastAsia="方正黑体_GBK" w:cs="宋体"/>
                <w:b/>
                <w:sz w:val="18"/>
                <w:szCs w:val="18"/>
              </w:rPr>
              <w:t>业绩报酬：</w:t>
            </w:r>
          </w:p>
          <w:p w14:paraId="4AFC3409">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75563A8F">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3101A7E">
            <w:pPr>
              <w:spacing w:line="200" w:lineRule="exact"/>
            </w:pPr>
            <w:r>
              <w:rPr>
                <w:rFonts w:ascii="方正黑体_GBK" w:hAnsi="方正黑体_GBK" w:eastAsia="方正黑体_GBK"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8B359C0">
            <w:pPr>
              <w:spacing w:line="200" w:lineRule="exact"/>
            </w:pPr>
            <w:r>
              <w:rPr>
                <w:rFonts w:ascii="方正黑体_GBK" w:hAnsi="方正黑体_GBK" w:eastAsia="方正黑体_GBK"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25FF3CB">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CC48775">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D1EC27">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4067BDFB">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1942CD1">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6A5DE35">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5C2FA97">
            <w:pPr>
              <w:spacing w:line="200" w:lineRule="exact"/>
            </w:pPr>
            <w:r>
              <w:rPr>
                <w:rFonts w:ascii="方正黑体_GBK" w:hAnsi="方正黑体_GBK" w:eastAsia="方正黑体_GBK" w:cs="宋体"/>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95DB9F">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BA63DAD">
            <w:pPr>
              <w:spacing w:line="200" w:lineRule="exact"/>
            </w:pPr>
            <w:r>
              <w:rPr>
                <w:rFonts w:ascii="方正黑体_GBK" w:hAnsi="方正黑体_GBK" w:eastAsia="方正黑体_GBK" w:cs="宋体"/>
                <w:b/>
                <w:sz w:val="18"/>
                <w:szCs w:val="18"/>
              </w:rPr>
              <w:t>L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2889E3CE">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0511CF4">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4AF6A531">
            <w:pPr>
              <w:spacing w:line="200" w:lineRule="exact"/>
            </w:pPr>
            <w:r>
              <w:rPr>
                <w:rFonts w:ascii="方正黑体_GBK" w:hAnsi="方正黑体_GBK" w:eastAsia="方正黑体_GBK" w:cs="宋体"/>
                <w:b/>
                <w:sz w:val="18"/>
                <w:szCs w:val="18"/>
              </w:rPr>
              <w:t>I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1B6F8A">
            <w:pPr>
              <w:spacing w:line="200" w:lineRule="exact"/>
            </w:pPr>
            <w:r>
              <w:rPr>
                <w:rFonts w:ascii="方正黑体_GBK" w:hAnsi="方正黑体_GBK" w:eastAsia="方正黑体_GBK" w:cs="宋体"/>
                <w:b/>
                <w:sz w:val="18"/>
                <w:szCs w:val="18"/>
              </w:rPr>
              <w:t>I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D157D0A">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354078B">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A419879">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880020">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88806F">
            <w:pPr>
              <w:spacing w:line="200" w:lineRule="exact"/>
            </w:pPr>
            <w:r>
              <w:rPr>
                <w:rFonts w:ascii="方正黑体_GBK" w:hAnsi="方正黑体_GBK" w:eastAsia="方正黑体_GBK"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F26159E">
            <w:pPr>
              <w:spacing w:line="200" w:lineRule="exact"/>
            </w:pPr>
            <w:r>
              <w:rPr>
                <w:rFonts w:ascii="方正黑体_GBK" w:hAnsi="方正黑体_GBK" w:eastAsia="方正黑体_GBK"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754D5E9E">
            <w:pPr>
              <w:spacing w:line="200" w:lineRule="exact"/>
            </w:pPr>
            <w:r>
              <w:rPr>
                <w:rFonts w:ascii="方正黑体_GBK" w:hAnsi="方正黑体_GBK" w:eastAsia="方正黑体_GBK"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D8FAF8D">
            <w:pPr>
              <w:spacing w:line="200" w:lineRule="exact"/>
            </w:pPr>
            <w:r>
              <w:rPr>
                <w:rFonts w:ascii="方正黑体_GBK" w:hAnsi="方正黑体_GBK" w:eastAsia="方正黑体_GBK"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4172EFF">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33E6425">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A137907">
            <w:pPr>
              <w:spacing w:line="200" w:lineRule="exact"/>
            </w:pPr>
            <w:r>
              <w:rPr>
                <w:rFonts w:ascii="方正黑体_GBK" w:hAnsi="方正黑体_GBK" w:eastAsia="方正黑体_GBK"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17A5E84">
            <w:pPr>
              <w:spacing w:line="200" w:lineRule="exact"/>
            </w:pPr>
            <w:r>
              <w:rPr>
                <w:rFonts w:ascii="方正黑体_GBK" w:hAnsi="方正黑体_GBK" w:eastAsia="方正黑体_GBK"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FB1E4D">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88DD5D1">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03CFA80">
            <w:pPr>
              <w:spacing w:line="200" w:lineRule="exact"/>
            </w:pPr>
            <w:r>
              <w:rPr>
                <w:rFonts w:ascii="方正黑体_GBK" w:hAnsi="方正黑体_GBK" w:eastAsia="方正黑体_GBK"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04B97E5">
            <w:pPr>
              <w:spacing w:line="200" w:lineRule="exact"/>
            </w:pPr>
            <w:r>
              <w:rPr>
                <w:rFonts w:ascii="方正黑体_GBK" w:hAnsi="方正黑体_GBK" w:eastAsia="方正黑体_GBK"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0822FF07">
            <w:pPr>
              <w:spacing w:line="200" w:lineRule="exact"/>
            </w:pPr>
            <w:r>
              <w:rPr>
                <w:rFonts w:ascii="方正黑体_GBK" w:hAnsi="方正黑体_GBK" w:eastAsia="方正黑体_GBK"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6241D18">
            <w:pPr>
              <w:spacing w:line="200" w:lineRule="exact"/>
            </w:pPr>
            <w:r>
              <w:rPr>
                <w:rFonts w:ascii="方正黑体_GBK" w:hAnsi="方正黑体_GBK" w:eastAsia="方正黑体_GBK"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EA9A48C">
            <w:pPr>
              <w:spacing w:line="200" w:lineRule="exact"/>
            </w:pPr>
            <w:r>
              <w:rPr>
                <w:rFonts w:ascii="方正黑体_GBK" w:hAnsi="方正黑体_GBK" w:eastAsia="方正黑体_GBK"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5ED7F89">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6CE63CA">
            <w:pPr>
              <w:spacing w:line="200" w:lineRule="exact"/>
            </w:pPr>
            <w:r>
              <w:rPr>
                <w:rFonts w:ascii="方正黑体_GBK" w:hAnsi="方正黑体_GBK" w:eastAsia="方正黑体_GBK"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CF91CF7">
            <w:pPr>
              <w:spacing w:line="200" w:lineRule="exact"/>
            </w:pPr>
            <w:r>
              <w:rPr>
                <w:rFonts w:ascii="方正黑体_GBK" w:hAnsi="方正黑体_GBK" w:eastAsia="方正黑体_GBK"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5737694">
            <w:pPr>
              <w:spacing w:line="200" w:lineRule="exact"/>
            </w:pPr>
            <w:r>
              <w:rPr>
                <w:rFonts w:ascii="方正黑体_GBK" w:hAnsi="方正黑体_GBK" w:eastAsia="方正黑体_GBK"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F9779CB">
            <w:pPr>
              <w:spacing w:line="200" w:lineRule="exact"/>
            </w:pPr>
            <w:r>
              <w:rPr>
                <w:rFonts w:ascii="方正黑体_GBK" w:hAnsi="方正黑体_GBK" w:eastAsia="方正黑体_GBK" w:cs="宋体"/>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47B3946">
            <w:pPr>
              <w:spacing w:line="200" w:lineRule="exact"/>
            </w:pPr>
            <w:r>
              <w:rPr>
                <w:rFonts w:ascii="方正黑体_GBK" w:hAnsi="方正黑体_GBK" w:eastAsia="方正黑体_GBK" w:cs="宋体"/>
                <w:b/>
                <w:sz w:val="18"/>
                <w:szCs w:val="18"/>
              </w:rPr>
              <w:t>V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10A371D3">
            <w:pPr>
              <w:spacing w:line="200" w:lineRule="exact"/>
            </w:pPr>
            <w:r>
              <w:rPr>
                <w:rFonts w:ascii="方正黑体_GBK" w:hAnsi="方正黑体_GBK" w:eastAsia="方正黑体_GBK" w:cs="宋体"/>
                <w:b/>
                <w:sz w:val="18"/>
                <w:szCs w:val="18"/>
              </w:rPr>
              <w:t>V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7567BD17">
            <w:pPr>
              <w:spacing w:line="200" w:lineRule="exact"/>
            </w:pPr>
            <w:r>
              <w:rPr>
                <w:rFonts w:ascii="方正黑体_GBK" w:hAnsi="方正黑体_GBK" w:eastAsia="方正黑体_GBK"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4D92A16">
            <w:pPr>
              <w:spacing w:line="200" w:lineRule="exact"/>
            </w:pPr>
            <w:r>
              <w:rPr>
                <w:rFonts w:ascii="方正黑体_GBK" w:hAnsi="方正黑体_GBK" w:eastAsia="方正黑体_GBK"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1AF5A29">
            <w:pPr>
              <w:spacing w:line="200" w:lineRule="exact"/>
            </w:pPr>
            <w:r>
              <w:rPr>
                <w:rFonts w:ascii="方正黑体_GBK" w:hAnsi="方正黑体_GBK" w:eastAsia="方正黑体_GBK"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34A64A3">
            <w:pPr>
              <w:spacing w:line="200" w:lineRule="exact"/>
            </w:pPr>
            <w:r>
              <w:rPr>
                <w:rFonts w:ascii="方正黑体_GBK" w:hAnsi="方正黑体_GBK" w:eastAsia="方正黑体_GBK"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3DF8855">
            <w:pPr>
              <w:spacing w:line="200" w:lineRule="exact"/>
            </w:pPr>
            <w:r>
              <w:rPr>
                <w:rFonts w:ascii="方正黑体_GBK" w:hAnsi="方正黑体_GBK" w:eastAsia="方正黑体_GBK" w:cs="宋体"/>
                <w:b/>
                <w:sz w:val="18"/>
                <w:szCs w:val="18"/>
              </w:rPr>
              <w:t>B6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71F7BCB">
            <w:pPr>
              <w:spacing w:line="200" w:lineRule="exact"/>
            </w:pPr>
            <w:r>
              <w:rPr>
                <w:rFonts w:ascii="方正黑体_GBK" w:hAnsi="方正黑体_GBK" w:eastAsia="方正黑体_GBK" w:cs="宋体"/>
                <w:b/>
                <w:sz w:val="18"/>
                <w:szCs w:val="18"/>
              </w:rPr>
              <w:t>C6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5448DD2D">
            <w:pPr>
              <w:spacing w:line="200" w:lineRule="exact"/>
            </w:pPr>
            <w:r>
              <w:rPr>
                <w:rFonts w:ascii="方正黑体_GBK" w:hAnsi="方正黑体_GBK" w:eastAsia="方正黑体_GBK" w:cs="宋体"/>
                <w:b/>
                <w:sz w:val="18"/>
                <w:szCs w:val="18"/>
              </w:rPr>
              <w:t>D6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747DAE">
            <w:pPr>
              <w:spacing w:line="200" w:lineRule="exact"/>
            </w:pPr>
            <w:r>
              <w:rPr>
                <w:rFonts w:ascii="方正黑体_GBK" w:hAnsi="方正黑体_GBK" w:eastAsia="方正黑体_GBK" w:cs="宋体"/>
                <w:b/>
                <w:sz w:val="18"/>
                <w:szCs w:val="18"/>
              </w:rPr>
              <w:t>E6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2FEEBCD">
            <w:pPr>
              <w:spacing w:line="200" w:lineRule="exact"/>
            </w:pPr>
            <w:r>
              <w:rPr>
                <w:rFonts w:ascii="方正黑体_GBK" w:hAnsi="方正黑体_GBK" w:eastAsia="方正黑体_GBK" w:cs="宋体"/>
                <w:b/>
                <w:sz w:val="18"/>
                <w:szCs w:val="18"/>
              </w:rPr>
              <w:t>B7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8D7BEAE">
            <w:pPr>
              <w:spacing w:line="200" w:lineRule="exact"/>
            </w:pPr>
            <w:r>
              <w:rPr>
                <w:rFonts w:ascii="方正黑体_GBK" w:hAnsi="方正黑体_GBK" w:eastAsia="方正黑体_GBK" w:cs="宋体"/>
                <w:b/>
                <w:sz w:val="18"/>
                <w:szCs w:val="18"/>
              </w:rPr>
              <w:t>C7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A67872A">
            <w:pPr>
              <w:spacing w:line="200" w:lineRule="exact"/>
            </w:pPr>
            <w:r>
              <w:rPr>
                <w:rFonts w:ascii="方正黑体_GBK" w:hAnsi="方正黑体_GBK" w:eastAsia="方正黑体_GBK" w:cs="宋体"/>
                <w:b/>
                <w:sz w:val="18"/>
                <w:szCs w:val="18"/>
              </w:rPr>
              <w:t>D7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C19A012">
            <w:pPr>
              <w:spacing w:line="200" w:lineRule="exact"/>
            </w:pPr>
            <w:r>
              <w:rPr>
                <w:rFonts w:ascii="方正黑体_GBK" w:hAnsi="方正黑体_GBK" w:eastAsia="方正黑体_GBK" w:cs="宋体"/>
                <w:b/>
                <w:sz w:val="18"/>
                <w:szCs w:val="18"/>
              </w:rPr>
              <w:t>E7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1B9930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A91AAF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55013A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13859B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AB8FB72">
            <w:pPr>
              <w:spacing w:line="200" w:lineRule="exact"/>
            </w:pPr>
            <w:r>
              <w:rPr>
                <w:rFonts w:ascii="方正黑体_GBK" w:hAnsi="方正黑体_GBK" w:eastAsia="方正黑体_GBK" w:cs="宋体"/>
                <w:b/>
                <w:sz w:val="18"/>
                <w:szCs w:val="18"/>
              </w:rPr>
              <w:t>计算本区间业绩报酬的公式如下：</w:t>
            </w:r>
          </w:p>
          <w:p w14:paraId="285D1AC0">
            <w:pPr>
              <w:spacing w:line="200" w:lineRule="exact"/>
            </w:pPr>
            <w:r>
              <w:rPr>
                <w:rFonts w:ascii="方正黑体_GBK" w:hAnsi="方正黑体_GBK" w:eastAsia="方正黑体_GBK" w:cs="宋体"/>
                <w:b/>
                <w:sz w:val="18"/>
                <w:szCs w:val="18"/>
              </w:rPr>
              <w:t>A={B-C*D*(1+E*F/365)}*G。</w:t>
            </w:r>
          </w:p>
          <w:p w14:paraId="1085BCA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9B903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D83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BAB40E9">
            <w:pPr>
              <w:spacing w:line="200" w:lineRule="exact"/>
              <w:jc w:val="left"/>
            </w:pPr>
            <w:r>
              <w:rPr>
                <w:rFonts w:ascii="方正黑体_GBK" w:hAnsi="方正黑体_GBK" w:eastAsia="方正黑体_GBK" w:cs="宋体"/>
                <w:color w:val="000000"/>
                <w:sz w:val="18"/>
                <w:szCs w:val="18"/>
              </w:rPr>
              <w:t>具体参见本理财产品风险揭示书。</w:t>
            </w:r>
          </w:p>
          <w:p w14:paraId="74E5E018">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32452D21">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DEC71EE">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50581A7C">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66F67539">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30DDB0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BA7E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E56D4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4B6DE3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F3FE2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4A75E0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CE6699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D373DA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7ADEEE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7BB349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502B2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1F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B4B54C4">
            <w:pPr>
              <w:spacing w:line="200" w:lineRule="exact"/>
              <w:jc w:val="left"/>
            </w:pPr>
            <w:r>
              <w:rPr>
                <w:rFonts w:ascii="方正黑体_GBK" w:hAnsi="方正黑体_GBK" w:eastAsia="方正黑体_GBK"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14:paraId="49174BFD">
            <w:pPr>
              <w:spacing w:line="200" w:lineRule="exact"/>
              <w:jc w:val="left"/>
            </w:pPr>
            <w:r>
              <w:rPr>
                <w:rFonts w:ascii="方正黑体_GBK" w:hAnsi="方正黑体_GBK" w:eastAsia="方正黑体_GBK" w:cs="宋体"/>
                <w:sz w:val="18"/>
                <w:szCs w:val="18"/>
              </w:rPr>
              <w:t>销售机构主要职责如下：</w:t>
            </w:r>
          </w:p>
          <w:p w14:paraId="5B5D977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A4A523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E36480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B2229C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A815AE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857E99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752A7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99CC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E6AA706">
            <w:pPr>
              <w:spacing w:line="200" w:lineRule="exact"/>
            </w:pPr>
            <w:r>
              <w:rPr>
                <w:rFonts w:ascii="方正黑体_GBK" w:hAnsi="方正黑体_GBK" w:eastAsia="方正黑体_GBK" w:cs="宋体"/>
                <w:sz w:val="18"/>
                <w:szCs w:val="18"/>
              </w:rPr>
              <w:t>本理财产品托管人为南京银行股份有限公司，主要职责如下：</w:t>
            </w:r>
          </w:p>
          <w:p w14:paraId="7A48F529">
            <w:pPr>
              <w:spacing w:line="200" w:lineRule="exact"/>
            </w:pPr>
            <w:r>
              <w:rPr>
                <w:rFonts w:ascii="方正黑体_GBK" w:hAnsi="方正黑体_GBK" w:eastAsia="方正黑体_GBK" w:cs="宋体"/>
                <w:sz w:val="18"/>
                <w:szCs w:val="18"/>
              </w:rPr>
              <w:t>1.安全保管理财产品财产；</w:t>
            </w:r>
          </w:p>
          <w:p w14:paraId="51B34AA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8B5AF16">
            <w:pPr>
              <w:spacing w:line="200" w:lineRule="exact"/>
            </w:pPr>
            <w:r>
              <w:rPr>
                <w:rFonts w:ascii="方正黑体_GBK" w:hAnsi="方正黑体_GBK" w:eastAsia="方正黑体_GBK" w:cs="宋体"/>
                <w:sz w:val="18"/>
                <w:szCs w:val="18"/>
              </w:rPr>
              <w:t>3.按照托管协议约定和管理人的投资指令，及时办理清算、交割事宜；</w:t>
            </w:r>
          </w:p>
          <w:p w14:paraId="197D0C1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09576D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5E024D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05BED28">
            <w:pPr>
              <w:spacing w:line="200" w:lineRule="exact"/>
            </w:pPr>
            <w:r>
              <w:rPr>
                <w:rFonts w:ascii="方正黑体_GBK" w:hAnsi="方正黑体_GBK" w:eastAsia="方正黑体_GBK" w:cs="宋体"/>
                <w:sz w:val="18"/>
                <w:szCs w:val="18"/>
              </w:rPr>
              <w:t>7.理财托管业务活动的记录、账册、报表和其他相关资料保存20年以上；</w:t>
            </w:r>
          </w:p>
          <w:p w14:paraId="404E6D7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A78C91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844E7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CA6D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FA68C21">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上述投资合作机构主要职责对应如下，具体职责以管理人与投资合作机构签署的合同为准。</w:t>
            </w:r>
          </w:p>
          <w:p w14:paraId="6672897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w:t>
            </w:r>
          </w:p>
          <w:p w14:paraId="27F7B44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E70712F">
            <w:pPr>
              <w:spacing w:line="200" w:lineRule="exact"/>
            </w:pPr>
            <w:r>
              <w:rPr>
                <w:rFonts w:ascii="方正黑体_GBK" w:hAnsi="方正黑体_GBK" w:eastAsia="方正黑体_GBK" w:cs="宋体"/>
                <w:sz w:val="18"/>
                <w:szCs w:val="18"/>
              </w:rPr>
              <w:t>上述投资合作机构简介：</w:t>
            </w:r>
          </w:p>
          <w:p w14:paraId="32C0722B">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29A7CE7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D8C8B1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9EDC885">
            <w:pPr>
              <w:spacing w:line="200" w:lineRule="exact"/>
            </w:pPr>
            <w:r>
              <w:rPr>
                <w:rFonts w:ascii="方正黑体_GBK" w:hAnsi="方正黑体_GBK" w:eastAsia="方正黑体_GBK" w:cs="宋体"/>
                <w:sz w:val="18"/>
                <w:szCs w:val="18"/>
              </w:rPr>
              <w:t>广东粤财信托有限公司成立于1985年03月07日，注册资本金380000万元。</w:t>
            </w:r>
          </w:p>
          <w:p w14:paraId="7CBC2EBC">
            <w:pPr>
              <w:spacing w:line="200" w:lineRule="exact"/>
            </w:pPr>
            <w:r>
              <w:rPr>
                <w:rFonts w:ascii="方正黑体_GBK" w:hAnsi="方正黑体_GBK" w:eastAsia="方正黑体_GBK" w:cs="宋体"/>
                <w:sz w:val="18"/>
                <w:szCs w:val="18"/>
              </w:rPr>
              <w:t>国寿投资保险资产管理有限公司成立于1994年06月01日，注册资本金 370000万元。</w:t>
            </w:r>
          </w:p>
          <w:p w14:paraId="0632EBA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DFCB38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11ED8F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07DFAB3">
            <w:pPr>
              <w:spacing w:line="200" w:lineRule="exact"/>
            </w:pPr>
            <w:r>
              <w:rPr>
                <w:rFonts w:ascii="方正黑体_GBK" w:hAnsi="方正黑体_GBK" w:eastAsia="方正黑体_GBK" w:cs="宋体"/>
                <w:sz w:val="18"/>
                <w:szCs w:val="18"/>
              </w:rPr>
              <w:t>华鑫国际信托有限公司成立于1984年06月01日，注册资本金73.95亿元。</w:t>
            </w:r>
          </w:p>
          <w:p w14:paraId="16C50773">
            <w:pPr>
              <w:spacing w:line="200" w:lineRule="exact"/>
            </w:pPr>
            <w:r>
              <w:rPr>
                <w:rFonts w:ascii="方正黑体_GBK" w:hAnsi="方正黑体_GBK" w:eastAsia="方正黑体_GBK" w:cs="宋体"/>
                <w:sz w:val="18"/>
                <w:szCs w:val="18"/>
              </w:rPr>
              <w:t>建信保险资产管理有限公司成立于2016年04月27日，注册资本金3亿元。</w:t>
            </w:r>
          </w:p>
          <w:p w14:paraId="67ADFE31">
            <w:pPr>
              <w:spacing w:line="200" w:lineRule="exact"/>
            </w:pPr>
            <w:r>
              <w:rPr>
                <w:rFonts w:ascii="方正黑体_GBK" w:hAnsi="方正黑体_GBK" w:eastAsia="方正黑体_GBK" w:cs="宋体"/>
                <w:sz w:val="18"/>
                <w:szCs w:val="18"/>
              </w:rPr>
              <w:t>交银国际信托有限公司成立于1983年11月23日，注册资本金57.65亿元。</w:t>
            </w:r>
          </w:p>
          <w:p w14:paraId="150B6C1C">
            <w:pPr>
              <w:spacing w:line="200" w:lineRule="exact"/>
            </w:pPr>
            <w:r>
              <w:rPr>
                <w:rFonts w:ascii="方正黑体_GBK" w:hAnsi="方正黑体_GBK" w:eastAsia="方正黑体_GBK" w:cs="宋体"/>
                <w:sz w:val="18"/>
                <w:szCs w:val="18"/>
              </w:rPr>
              <w:t>上海国际信托有限公司成立于1981年05月06日，注册资本金50亿元。</w:t>
            </w:r>
          </w:p>
          <w:p w14:paraId="2BAD36F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D53BDF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3A06418">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0386E4F5">
            <w:pPr>
              <w:spacing w:line="200" w:lineRule="exact"/>
            </w:pPr>
            <w:r>
              <w:rPr>
                <w:rFonts w:ascii="方正黑体_GBK" w:hAnsi="方正黑体_GBK" w:eastAsia="方正黑体_GBK" w:cs="宋体"/>
                <w:sz w:val="18"/>
                <w:szCs w:val="18"/>
              </w:rPr>
              <w:t>中诚信托有限责任公司成立于1995年11月20日，注册资本金48.5亿元。</w:t>
            </w:r>
          </w:p>
          <w:p w14:paraId="0D77DFE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F5AA01D">
            <w:pPr>
              <w:spacing w:line="200" w:lineRule="exact"/>
            </w:pPr>
            <w:r>
              <w:rPr>
                <w:rFonts w:ascii="方正黑体_GBK" w:hAnsi="方正黑体_GBK" w:eastAsia="方正黑体_GBK" w:cs="宋体"/>
                <w:sz w:val="18"/>
                <w:szCs w:val="18"/>
              </w:rPr>
              <w:t>中粮信托有限责任公司成立于2009年07月27日，注册资本金28.3亿元。</w:t>
            </w:r>
          </w:p>
          <w:p w14:paraId="7A4E047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2A9C729">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60A457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5FAB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39F40C62">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08E6BBBA">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6D59250B">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7EC47E52">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63E0EE9B">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5F2702B3">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5769D2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73F2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6C3504C">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58C3AB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9F8A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2E9381F6">
            <w:pPr>
              <w:spacing w:line="200" w:lineRule="exact"/>
            </w:pPr>
            <w:r>
              <w:rPr>
                <w:rFonts w:ascii="方正黑体_GBK" w:hAnsi="方正黑体_GBK" w:eastAsia="方正黑体_GBK" w:cs="宋体"/>
                <w:sz w:val="18"/>
                <w:szCs w:val="18"/>
              </w:rPr>
              <w:t>发生下列情形时，管理人可暂停接受投资者认申购申请：</w:t>
            </w:r>
          </w:p>
          <w:p w14:paraId="2FE5B1E2">
            <w:pPr>
              <w:spacing w:line="200" w:lineRule="exact"/>
            </w:pPr>
            <w:r>
              <w:rPr>
                <w:rFonts w:ascii="方正黑体_GBK" w:hAnsi="方正黑体_GBK" w:eastAsia="方正黑体_GBK" w:cs="宋体"/>
                <w:sz w:val="18"/>
                <w:szCs w:val="18"/>
              </w:rPr>
              <w:t>1.因不可抗力导致理财产品无法正常运作；</w:t>
            </w:r>
          </w:p>
          <w:p w14:paraId="5E29F678">
            <w:pPr>
              <w:spacing w:line="200" w:lineRule="exact"/>
            </w:pPr>
            <w:r>
              <w:rPr>
                <w:rFonts w:ascii="方正黑体_GBK" w:hAnsi="方正黑体_GBK" w:eastAsia="方正黑体_GBK" w:cs="宋体"/>
                <w:sz w:val="18"/>
                <w:szCs w:val="18"/>
              </w:rPr>
              <w:t>2.因监管政策、市场发生重大变化，导致理财产品无法正常运作；</w:t>
            </w:r>
          </w:p>
          <w:p w14:paraId="03818B94">
            <w:pPr>
              <w:spacing w:line="200" w:lineRule="exact"/>
            </w:pPr>
            <w:r>
              <w:rPr>
                <w:rFonts w:ascii="方正黑体_GBK" w:hAnsi="方正黑体_GBK" w:eastAsia="方正黑体_GBK" w:cs="宋体"/>
                <w:sz w:val="18"/>
                <w:szCs w:val="18"/>
              </w:rPr>
              <w:t>3.管理人认为需要暂停认申购的其他情形。</w:t>
            </w:r>
          </w:p>
          <w:p w14:paraId="5EEAECB4">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780B66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7E6A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1F0D918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33A00F1">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50ED1D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5A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4BC944C">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462BD3C">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1B92EB59">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5B87D3EC">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3B9A02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3DFF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BA2020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684018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08EEA9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BE17CA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3A187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0D53B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DF6392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E5C38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39C61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DA3B3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52DEF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A29BF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08DC9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71CEC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3C6EF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0809E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BF991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BA37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06FE27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50A56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1AA83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E1BDB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A4EE7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F7AD8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5480C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413A1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BA15D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61C61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C0260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3345C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910D6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D61DD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9E3693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319B08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南银理财珠联璧合安稳1904一年定开公募人民币理财产品</w:t>
      </w:r>
      <w:r>
        <w:rPr>
          <w:rFonts w:hint="eastAsia" w:ascii="方正黑体_GBK" w:hAnsi="方正黑体_GBK" w:eastAsia="方正黑体_GBK"/>
          <w:vanish w:val="0"/>
          <w:color w:val="3D3D3D"/>
          <w:kern w:val="0"/>
          <w:sz w:val="15"/>
          <w:szCs w:val="15"/>
        </w:rPr>
        <w:t>。</w:t>
      </w:r>
    </w:p>
    <w:p w14:paraId="2242A9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94AE0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D357D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5748B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B40CB5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1544A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7FDB8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69701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A9C8A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3140C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0ADB1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E4496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5C9E7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BDDB0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85E26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B800F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C6A13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846BE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2AAF96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CA38C6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8A3F0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56D85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AAA47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DE44E2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F0445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1A67C4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198FB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751A01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6C420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8A10CEB">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25224438">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7F576F7D">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4D760756">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54A2B3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6B6AF25">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79FCB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A9E7106">
      <w:pPr>
        <w:spacing w:line="200" w:lineRule="exact"/>
        <w:ind w:firstLine="300"/>
        <w:jc w:val="both"/>
      </w:pPr>
      <w:r>
        <w:rPr>
          <w:rFonts w:ascii="方正黑体_GBK" w:hAnsi="方正黑体_GBK" w:eastAsia="方正黑体_GBK" w:cs="宋体"/>
          <w:sz w:val="15"/>
          <w:szCs w:val="20"/>
        </w:rPr>
        <w:t>（一）估值日</w:t>
      </w:r>
    </w:p>
    <w:p w14:paraId="45AEBBFC">
      <w:pPr>
        <w:spacing w:line="200" w:lineRule="exact"/>
        <w:ind w:firstLine="300"/>
        <w:jc w:val="both"/>
      </w:pPr>
      <w:r>
        <w:rPr>
          <w:rFonts w:ascii="方正黑体_GBK" w:hAnsi="方正黑体_GBK" w:eastAsia="方正黑体_GBK" w:cs="宋体"/>
          <w:sz w:val="15"/>
          <w:szCs w:val="20"/>
        </w:rPr>
        <w:t>本理财产品每个工作日进行估值。</w:t>
      </w:r>
    </w:p>
    <w:p w14:paraId="262072C2">
      <w:pPr>
        <w:spacing w:line="200" w:lineRule="exact"/>
        <w:ind w:firstLine="300"/>
        <w:jc w:val="both"/>
      </w:pPr>
      <w:r>
        <w:rPr>
          <w:rFonts w:ascii="方正黑体_GBK" w:hAnsi="方正黑体_GBK" w:eastAsia="方正黑体_GBK" w:cs="宋体"/>
          <w:sz w:val="15"/>
          <w:szCs w:val="20"/>
        </w:rPr>
        <w:t>（二）估值对象</w:t>
      </w:r>
    </w:p>
    <w:p w14:paraId="5CB0EE28">
      <w:pPr>
        <w:spacing w:line="200" w:lineRule="exact"/>
        <w:ind w:firstLine="300"/>
        <w:jc w:val="both"/>
      </w:pPr>
      <w:r>
        <w:rPr>
          <w:rFonts w:ascii="方正黑体_GBK" w:hAnsi="方正黑体_GBK" w:eastAsia="方正黑体_GBK" w:cs="宋体"/>
          <w:sz w:val="15"/>
          <w:szCs w:val="20"/>
        </w:rPr>
        <w:t>本理财产品所拥有的所有资产及负债。</w:t>
      </w:r>
    </w:p>
    <w:p w14:paraId="24D45056">
      <w:pPr>
        <w:spacing w:line="200" w:lineRule="exact"/>
        <w:ind w:firstLine="300"/>
        <w:jc w:val="both"/>
      </w:pPr>
      <w:r>
        <w:rPr>
          <w:rFonts w:ascii="方正黑体_GBK" w:hAnsi="方正黑体_GBK" w:eastAsia="方正黑体_GBK" w:cs="宋体"/>
          <w:sz w:val="15"/>
          <w:szCs w:val="20"/>
        </w:rPr>
        <w:t>（三）估值目的</w:t>
      </w:r>
    </w:p>
    <w:p w14:paraId="21CD29D6">
      <w:pPr>
        <w:spacing w:line="200" w:lineRule="exact"/>
        <w:ind w:firstLine="300"/>
        <w:jc w:val="both"/>
      </w:pPr>
      <w:r>
        <w:rPr>
          <w:rFonts w:ascii="方正黑体_GBK" w:hAnsi="方正黑体_GBK" w:eastAsia="方正黑体_GBK" w:cs="宋体"/>
          <w:sz w:val="15"/>
          <w:szCs w:val="20"/>
        </w:rPr>
        <w:t>客观、准确反映理财产品的价值。</w:t>
      </w:r>
    </w:p>
    <w:p w14:paraId="656929E7">
      <w:pPr>
        <w:spacing w:line="200" w:lineRule="exact"/>
        <w:ind w:firstLine="300"/>
        <w:jc w:val="both"/>
      </w:pPr>
      <w:r>
        <w:rPr>
          <w:rFonts w:ascii="方正黑体_GBK" w:hAnsi="方正黑体_GBK" w:eastAsia="方正黑体_GBK" w:cs="宋体"/>
          <w:sz w:val="15"/>
          <w:szCs w:val="20"/>
        </w:rPr>
        <w:t>（四）估值原则</w:t>
      </w:r>
    </w:p>
    <w:p w14:paraId="7832EBEE">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729853F7">
      <w:pPr>
        <w:spacing w:line="200" w:lineRule="exact"/>
        <w:ind w:firstLine="300"/>
        <w:jc w:val="both"/>
      </w:pPr>
      <w:r>
        <w:rPr>
          <w:rFonts w:ascii="方正黑体_GBK" w:hAnsi="方正黑体_GBK" w:eastAsia="方正黑体_GBK" w:cs="宋体"/>
          <w:sz w:val="15"/>
          <w:szCs w:val="20"/>
        </w:rPr>
        <w:t>（五）估值方法</w:t>
      </w:r>
    </w:p>
    <w:p w14:paraId="6CAA9B23">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FDAB193">
      <w:pPr>
        <w:spacing w:line="200" w:lineRule="exact"/>
        <w:ind w:firstLine="280"/>
        <w:jc w:val="left"/>
      </w:pPr>
      <w:r>
        <w:rPr>
          <w:rFonts w:ascii="方正黑体_GBK" w:hAnsi="方正黑体_GBK" w:eastAsia="方正黑体_GBK" w:cs="宋体"/>
          <w:sz w:val="15"/>
          <w:szCs w:val="20"/>
        </w:rPr>
        <w:t>1.银行存款、回购等货币市场工具</w:t>
      </w:r>
    </w:p>
    <w:p w14:paraId="5306A363">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45268023">
      <w:pPr>
        <w:spacing w:line="200" w:lineRule="exact"/>
        <w:ind w:firstLine="280"/>
        <w:jc w:val="left"/>
      </w:pPr>
      <w:r>
        <w:rPr>
          <w:rFonts w:ascii="方正黑体_GBK" w:hAnsi="方正黑体_GBK" w:eastAsia="方正黑体_GBK" w:cs="宋体"/>
          <w:color w:val="3D3D3D"/>
          <w:sz w:val="15"/>
          <w:szCs w:val="20"/>
        </w:rPr>
        <w:t>2.债券类资产</w:t>
      </w:r>
    </w:p>
    <w:p w14:paraId="5AABC8FA">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121BB788">
      <w:pPr>
        <w:spacing w:line="200" w:lineRule="exact"/>
        <w:ind w:firstLine="280"/>
        <w:jc w:val="left"/>
      </w:pPr>
      <w:r>
        <w:rPr>
          <w:rFonts w:ascii="方正黑体_GBK" w:hAnsi="方正黑体_GBK" w:eastAsia="方正黑体_GBK" w:cs="宋体"/>
          <w:color w:val="3D3D3D"/>
          <w:sz w:val="15"/>
          <w:szCs w:val="20"/>
        </w:rPr>
        <w:t>3.非标准化债权类资产</w:t>
      </w:r>
    </w:p>
    <w:p w14:paraId="36D6D0B1">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7CA04884">
      <w:pPr>
        <w:spacing w:line="200" w:lineRule="exact"/>
        <w:ind w:firstLine="280"/>
        <w:jc w:val="left"/>
      </w:pPr>
      <w:r>
        <w:rPr>
          <w:rFonts w:ascii="方正黑体_GBK" w:hAnsi="方正黑体_GBK" w:eastAsia="方正黑体_GBK" w:cs="宋体"/>
          <w:color w:val="3D3D3D"/>
          <w:sz w:val="15"/>
          <w:szCs w:val="20"/>
        </w:rPr>
        <w:t>4.证券投资基金</w:t>
      </w:r>
    </w:p>
    <w:p w14:paraId="1069B6E4">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4B62A691">
      <w:pPr>
        <w:spacing w:line="200" w:lineRule="exact"/>
        <w:ind w:firstLine="280"/>
        <w:jc w:val="left"/>
      </w:pPr>
      <w:r>
        <w:rPr>
          <w:rFonts w:ascii="方正黑体_GBK" w:hAnsi="方正黑体_GBK" w:eastAsia="方正黑体_GBK" w:cs="宋体"/>
          <w:color w:val="3D3D3D"/>
          <w:sz w:val="15"/>
          <w:szCs w:val="20"/>
        </w:rPr>
        <w:t>5.股权类资产</w:t>
      </w:r>
    </w:p>
    <w:p w14:paraId="567CE699">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7A5F650">
      <w:pPr>
        <w:spacing w:line="200" w:lineRule="exact"/>
        <w:ind w:firstLine="280"/>
        <w:jc w:val="left"/>
      </w:pPr>
      <w:r>
        <w:rPr>
          <w:rFonts w:ascii="方正黑体_GBK" w:hAnsi="方正黑体_GBK" w:eastAsia="方正黑体_GBK" w:cs="宋体"/>
          <w:color w:val="3D3D3D"/>
          <w:sz w:val="15"/>
          <w:szCs w:val="20"/>
        </w:rPr>
        <w:t>6.资管计划、信托计划等资产</w:t>
      </w:r>
    </w:p>
    <w:p w14:paraId="7F7D901A">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0B849312">
      <w:pPr>
        <w:spacing w:line="200" w:lineRule="exact"/>
        <w:ind w:firstLine="280"/>
        <w:jc w:val="left"/>
      </w:pPr>
      <w:r>
        <w:rPr>
          <w:rFonts w:ascii="方正黑体_GBK" w:hAnsi="方正黑体_GBK" w:eastAsia="方正黑体_GBK" w:cs="宋体"/>
          <w:color w:val="3D3D3D"/>
          <w:sz w:val="15"/>
          <w:szCs w:val="20"/>
        </w:rPr>
        <w:t>7.其他资产</w:t>
      </w:r>
    </w:p>
    <w:p w14:paraId="022DFDF5">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7137FC6A">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E11F1EE">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1F7FE5DA">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545DB176">
      <w:pPr>
        <w:spacing w:line="200" w:lineRule="exact"/>
        <w:ind w:firstLine="300"/>
        <w:jc w:val="both"/>
      </w:pPr>
      <w:r>
        <w:rPr>
          <w:rFonts w:ascii="方正黑体_GBK" w:hAnsi="方正黑体_GBK" w:eastAsia="方正黑体_GBK" w:cs="宋体"/>
          <w:sz w:val="15"/>
          <w:szCs w:val="20"/>
        </w:rPr>
        <w:t>（六）估值错误及暂停估值</w:t>
      </w:r>
    </w:p>
    <w:p w14:paraId="3730351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0DEC57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3F387F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4B7D7F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C591FF4">
      <w:pPr>
        <w:pStyle w:val="29"/>
        <w:keepNext w:val="0"/>
        <w:keepLines w:val="0"/>
        <w:pageBreakBefore w:val="0"/>
        <w:widowControl/>
        <w:numPr>
          <w:ilvl w:val="0"/>
          <w:numId w:val="3"/>
        </w:numPr>
        <w:suppressLineNumbers w:val="0"/>
        <w:suppressAutoHyphens w:val="0"/>
        <w:spacing w:line="200" w:lineRule="exact"/>
        <w:ind w:left="0" w:firstLine="301" w:firstLineChars="200"/>
        <w:rPr>
          <w:rFonts w:hint="eastAsia" w:ascii="方正黑体_GBK" w:hAnsi="方正黑体_GBK" w:eastAsia="方正黑体_GBK"/>
          <w:color w:val="3D3D3D"/>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68B0FA0">
      <w:pPr>
        <w:spacing w:line="200" w:lineRule="exact"/>
        <w:ind w:firstLine="300"/>
      </w:pPr>
      <w:r>
        <w:rPr>
          <w:rFonts w:ascii="方正黑体_GBK" w:hAnsi="方正黑体_GBK" w:eastAsia="方正黑体_GBK" w:cs="宋体"/>
          <w:color w:val="3D3D3D"/>
          <w:sz w:val="15"/>
          <w:szCs w:val="20"/>
        </w:rPr>
        <w:t>1.净值信息</w:t>
      </w:r>
    </w:p>
    <w:p w14:paraId="533BA81B">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按月</w:t>
      </w:r>
      <w:r>
        <w:rPr>
          <w:rFonts w:ascii="方正黑体_GBK" w:hAnsi="方正黑体_GBK" w:eastAsia="方正黑体_GBK" w:cs="宋体"/>
          <w:color w:val="3D3D3D"/>
          <w:sz w:val="15"/>
          <w:szCs w:val="20"/>
        </w:rPr>
        <w:t>向投资者披露净值。</w:t>
      </w:r>
    </w:p>
    <w:p w14:paraId="39AEA4A6">
      <w:pPr>
        <w:spacing w:line="200" w:lineRule="exact"/>
        <w:ind w:firstLine="300"/>
      </w:pPr>
      <w:r>
        <w:rPr>
          <w:rFonts w:ascii="方正黑体_GBK" w:hAnsi="方正黑体_GBK" w:eastAsia="方正黑体_GBK" w:cs="宋体"/>
          <w:color w:val="3D3D3D"/>
          <w:sz w:val="15"/>
          <w:szCs w:val="20"/>
        </w:rPr>
        <w:t>2.产品发行公告</w:t>
      </w:r>
    </w:p>
    <w:p w14:paraId="79B4FC56">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7E7A0E37">
      <w:pPr>
        <w:spacing w:line="200" w:lineRule="exact"/>
        <w:ind w:firstLine="300"/>
      </w:pPr>
      <w:r>
        <w:rPr>
          <w:rFonts w:ascii="方正黑体_GBK" w:hAnsi="方正黑体_GBK" w:eastAsia="方正黑体_GBK" w:cs="宋体"/>
          <w:color w:val="3D3D3D"/>
          <w:sz w:val="15"/>
          <w:szCs w:val="20"/>
        </w:rPr>
        <w:t>3.定期报告</w:t>
      </w:r>
    </w:p>
    <w:p w14:paraId="74825128">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70E8B7E9">
      <w:pPr>
        <w:spacing w:line="200" w:lineRule="exact"/>
        <w:ind w:firstLine="300"/>
      </w:pPr>
      <w:r>
        <w:rPr>
          <w:rFonts w:ascii="方正黑体_GBK" w:hAnsi="方正黑体_GBK" w:eastAsia="方正黑体_GBK" w:cs="宋体"/>
          <w:color w:val="3D3D3D"/>
          <w:sz w:val="15"/>
          <w:szCs w:val="20"/>
        </w:rPr>
        <w:t>4.到期公告</w:t>
      </w:r>
    </w:p>
    <w:p w14:paraId="23035A8B">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6688D66A">
      <w:pPr>
        <w:spacing w:line="200" w:lineRule="exact"/>
        <w:ind w:firstLine="300"/>
      </w:pPr>
      <w:r>
        <w:rPr>
          <w:rFonts w:ascii="方正黑体_GBK" w:hAnsi="方正黑体_GBK" w:eastAsia="方正黑体_GBK" w:cs="宋体"/>
          <w:color w:val="3D3D3D"/>
          <w:sz w:val="15"/>
          <w:szCs w:val="20"/>
        </w:rPr>
        <w:t>5.重大事项公告</w:t>
      </w:r>
    </w:p>
    <w:p w14:paraId="17D102AB">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5E87D2C1">
      <w:pPr>
        <w:spacing w:line="200" w:lineRule="exact"/>
        <w:ind w:firstLine="300"/>
      </w:pPr>
      <w:r>
        <w:rPr>
          <w:rFonts w:ascii="方正黑体_GBK" w:hAnsi="方正黑体_GBK" w:eastAsia="方正黑体_GBK" w:cs="宋体"/>
          <w:color w:val="3D3D3D"/>
          <w:sz w:val="15"/>
          <w:szCs w:val="20"/>
        </w:rPr>
        <w:t>6.临时公告</w:t>
      </w:r>
    </w:p>
    <w:p w14:paraId="5F9836B3">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4ED7533E">
      <w:pPr>
        <w:spacing w:line="200" w:lineRule="exact"/>
        <w:ind w:firstLine="300"/>
      </w:pPr>
      <w:r>
        <w:rPr>
          <w:rFonts w:ascii="方正黑体_GBK" w:hAnsi="方正黑体_GBK" w:eastAsia="方正黑体_GBK" w:cs="宋体"/>
          <w:color w:val="3D3D3D"/>
          <w:sz w:val="15"/>
          <w:szCs w:val="20"/>
        </w:rPr>
        <w:t>7.关联交易信息披露</w:t>
      </w:r>
    </w:p>
    <w:p w14:paraId="462C3A5B">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69ACB1AE">
      <w:pPr>
        <w:spacing w:line="200" w:lineRule="exact"/>
        <w:ind w:firstLine="300"/>
      </w:pPr>
      <w:r>
        <w:rPr>
          <w:rFonts w:ascii="方正黑体_GBK" w:hAnsi="方正黑体_GBK" w:eastAsia="方正黑体_GBK" w:cs="宋体"/>
          <w:color w:val="3D3D3D"/>
          <w:sz w:val="15"/>
          <w:szCs w:val="20"/>
        </w:rPr>
        <w:t>8.账单</w:t>
      </w:r>
    </w:p>
    <w:p w14:paraId="3ECAAE9C">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339A5C8C">
      <w:pPr>
        <w:spacing w:line="200" w:lineRule="exact"/>
        <w:ind w:firstLine="301"/>
      </w:pPr>
      <w:r>
        <w:rPr>
          <w:rFonts w:ascii="方正黑体_GBK" w:hAnsi="方正黑体_GBK" w:eastAsia="方正黑体_GBK" w:cs="宋体"/>
          <w:b/>
          <w:sz w:val="15"/>
          <w:szCs w:val="20"/>
        </w:rPr>
        <w:t>9.在本理财产品存续期内：</w:t>
      </w:r>
    </w:p>
    <w:p w14:paraId="2129FE3B">
      <w:pPr>
        <w:spacing w:line="200" w:lineRule="exact"/>
        <w:ind w:firstLine="301"/>
      </w:pPr>
      <w:r>
        <w:rPr>
          <w:rFonts w:ascii="方正黑体_GBK" w:hAnsi="方正黑体_GBK" w:eastAsia="方正黑体_GBK"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D17B87E">
      <w:pPr>
        <w:spacing w:line="200" w:lineRule="exact"/>
        <w:ind w:firstLine="301"/>
      </w:pPr>
      <w:r>
        <w:rPr>
          <w:rFonts w:ascii="方正黑体_GBK" w:hAnsi="方正黑体_GBK" w:eastAsia="方正黑体_GBK"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C6A8E0B">
      <w:pPr>
        <w:spacing w:line="200" w:lineRule="exact"/>
        <w:ind w:firstLine="300"/>
      </w:pPr>
      <w:r>
        <w:rPr>
          <w:rFonts w:ascii="方正黑体_GBK" w:hAnsi="方正黑体_GBK" w:eastAsia="方正黑体_GBK" w:cs="宋体"/>
          <w:color w:val="3D3D3D"/>
          <w:sz w:val="15"/>
          <w:szCs w:val="20"/>
        </w:rPr>
        <w:t>10.其他公告</w:t>
      </w:r>
    </w:p>
    <w:p w14:paraId="534C54FD">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5AE1CF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62051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6201D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C57E7B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CF718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63F152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046C2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C82AC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11699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7A3D8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77BD3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AE366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E62AD7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7B8B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58765686"/>
    <w:multiLevelType w:val="multilevel"/>
    <w:tmpl w:val="58765686"/>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7DEC2089"/>
    <w:multiLevelType w:val="multilevel"/>
    <w:tmpl w:val="7DEC2089"/>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4F450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d5ec73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9f4f3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bb6eb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a6a35a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65ce120"/>
    <w:uiPriority w:val="0"/>
  </w:style>
  <w:style w:type="paragraph" w:customStyle="1" w:styleId="20">
    <w:name w:val="toc 1661eadb3"/>
    <w:basedOn w:val="15"/>
    <w:next w:val="1"/>
    <w:autoRedefine/>
    <w:qFormat/>
    <w:uiPriority w:val="0"/>
  </w:style>
  <w:style w:type="paragraph" w:customStyle="1" w:styleId="21">
    <w:name w:val="toc 2e68cf34e"/>
    <w:basedOn w:val="15"/>
    <w:next w:val="1"/>
    <w:autoRedefine/>
    <w:uiPriority w:val="0"/>
    <w:pPr>
      <w:ind w:left="420"/>
    </w:pPr>
  </w:style>
  <w:style w:type="paragraph" w:customStyle="1" w:styleId="22">
    <w:name w:val="toc 3aa11376f"/>
    <w:basedOn w:val="15"/>
    <w:next w:val="1"/>
    <w:autoRedefine/>
    <w:uiPriority w:val="0"/>
    <w:pPr>
      <w:ind w:left="840"/>
    </w:pPr>
  </w:style>
  <w:style w:type="paragraph" w:customStyle="1" w:styleId="23">
    <w:name w:val="toc 4e0ee2b1a"/>
    <w:basedOn w:val="15"/>
    <w:next w:val="1"/>
    <w:autoRedefine/>
    <w:uiPriority w:val="0"/>
    <w:pPr>
      <w:ind w:left="1260"/>
    </w:pPr>
  </w:style>
  <w:style w:type="paragraph" w:customStyle="1" w:styleId="24">
    <w:name w:val="toc 5d5614516"/>
    <w:basedOn w:val="15"/>
    <w:next w:val="1"/>
    <w:autoRedefine/>
    <w:qFormat/>
    <w:uiPriority w:val="0"/>
    <w:pPr>
      <w:ind w:left="1680"/>
    </w:pPr>
  </w:style>
  <w:style w:type="paragraph" w:customStyle="1" w:styleId="25">
    <w:name w:val="header96089950"/>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5108251"/>
    <w:basedOn w:val="15"/>
    <w:qFormat/>
    <w:uiPriority w:val="0"/>
    <w:pPr>
      <w:tabs>
        <w:tab w:val="center" w:pos="4153"/>
        <w:tab w:val="right" w:pos="8307"/>
      </w:tabs>
      <w:adjustRightInd/>
      <w:snapToGrid w:val="0"/>
      <w:contextualSpacing w:val="0"/>
      <w:jc w:val="left"/>
    </w:pPr>
    <w:rPr>
      <w:sz w:val="18"/>
    </w:rPr>
  </w:style>
  <w:style w:type="character" w:customStyle="1" w:styleId="27">
    <w:name w:val="Stronga52ae60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cb0054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c967fce"/>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04432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c18966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9d838f"/>
    <w:qFormat/>
    <w:uiPriority w:val="0"/>
  </w:style>
  <w:style w:type="paragraph" w:customStyle="1" w:styleId="34">
    <w:name w:val="Normal Indent4cec758e"/>
    <w:basedOn w:val="29"/>
    <w:uiPriority w:val="0"/>
    <w:pPr>
      <w:ind w:firstLine="200" w:firstLineChars="200"/>
    </w:pPr>
  </w:style>
  <w:style w:type="paragraph" w:customStyle="1" w:styleId="35">
    <w:name w:val="toc 501ca9a64"/>
    <w:basedOn w:val="29"/>
    <w:next w:val="1"/>
    <w:qFormat/>
    <w:uiPriority w:val="0"/>
    <w:pPr>
      <w:ind w:left="1680"/>
    </w:pPr>
  </w:style>
  <w:style w:type="paragraph" w:customStyle="1" w:styleId="36">
    <w:name w:val="toc 32dabf2fc"/>
    <w:basedOn w:val="29"/>
    <w:next w:val="1"/>
    <w:uiPriority w:val="0"/>
    <w:pPr>
      <w:ind w:left="840"/>
    </w:pPr>
  </w:style>
  <w:style w:type="paragraph" w:customStyle="1" w:styleId="37">
    <w:name w:val="footer092ff57c"/>
    <w:basedOn w:val="29"/>
    <w:uiPriority w:val="0"/>
    <w:pPr>
      <w:tabs>
        <w:tab w:val="center" w:pos="4153"/>
        <w:tab w:val="right" w:pos="8307"/>
      </w:tabs>
      <w:adjustRightInd/>
      <w:snapToGrid w:val="0"/>
      <w:contextualSpacing w:val="0"/>
      <w:jc w:val="left"/>
    </w:pPr>
    <w:rPr>
      <w:sz w:val="18"/>
    </w:rPr>
  </w:style>
  <w:style w:type="paragraph" w:customStyle="1" w:styleId="38">
    <w:name w:val="headerb3721c5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5ca98c7"/>
    <w:basedOn w:val="29"/>
    <w:next w:val="1"/>
    <w:uiPriority w:val="0"/>
  </w:style>
  <w:style w:type="paragraph" w:customStyle="1" w:styleId="40">
    <w:name w:val="toc 4cdb9d35e"/>
    <w:basedOn w:val="29"/>
    <w:next w:val="1"/>
    <w:uiPriority w:val="0"/>
    <w:pPr>
      <w:ind w:left="1260"/>
    </w:pPr>
  </w:style>
  <w:style w:type="paragraph" w:customStyle="1" w:styleId="41">
    <w:name w:val="toc 2df30c62e"/>
    <w:basedOn w:val="29"/>
    <w:next w:val="1"/>
    <w:uiPriority w:val="0"/>
    <w:pPr>
      <w:ind w:left="420"/>
    </w:pPr>
  </w:style>
  <w:style w:type="paragraph" w:customStyle="1" w:styleId="42">
    <w:name w:val="Normal (Web)5e191a5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c22309e3c22309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1f671b891f671b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f8268a92f8268a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ea688467ea6884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66efa16d66efa1"/>
    <w:qFormat/>
    <w:uiPriority w:val="0"/>
  </w:style>
  <w:style w:type="paragraph" w:customStyle="1" w:styleId="49">
    <w:name w:val="引文目录1fc761df9fc761df9"/>
    <w:basedOn w:val="44"/>
    <w:next w:val="1"/>
    <w:uiPriority w:val="0"/>
    <w:pPr>
      <w:ind w:left="200" w:leftChars="200"/>
    </w:pPr>
  </w:style>
  <w:style w:type="paragraph" w:customStyle="1" w:styleId="50">
    <w:name w:val="toc 505fc73da05fc73da"/>
    <w:basedOn w:val="44"/>
    <w:next w:val="1"/>
    <w:uiPriority w:val="0"/>
    <w:pPr>
      <w:ind w:left="1680"/>
    </w:pPr>
  </w:style>
  <w:style w:type="paragraph" w:customStyle="1" w:styleId="51">
    <w:name w:val="toc 31b05b4361b05b436"/>
    <w:basedOn w:val="44"/>
    <w:next w:val="1"/>
    <w:uiPriority w:val="0"/>
    <w:pPr>
      <w:ind w:left="840"/>
    </w:pPr>
  </w:style>
  <w:style w:type="paragraph" w:customStyle="1" w:styleId="52">
    <w:name w:val="footerfddd35a1fddd35a1"/>
    <w:basedOn w:val="44"/>
    <w:uiPriority w:val="0"/>
    <w:pPr>
      <w:tabs>
        <w:tab w:val="center" w:pos="4153"/>
        <w:tab w:val="right" w:pos="8307"/>
      </w:tabs>
      <w:adjustRightInd/>
      <w:snapToGrid w:val="0"/>
      <w:contextualSpacing w:val="0"/>
      <w:jc w:val="left"/>
    </w:pPr>
    <w:rPr>
      <w:sz w:val="18"/>
    </w:rPr>
  </w:style>
  <w:style w:type="paragraph" w:customStyle="1" w:styleId="53">
    <w:name w:val="headereb3946b0eb3946b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2933e4432933e44"/>
    <w:basedOn w:val="44"/>
    <w:next w:val="1"/>
    <w:uiPriority w:val="0"/>
  </w:style>
  <w:style w:type="paragraph" w:customStyle="1" w:styleId="55">
    <w:name w:val="toc 44ad21a064ad21a06"/>
    <w:basedOn w:val="44"/>
    <w:next w:val="1"/>
    <w:uiPriority w:val="0"/>
    <w:pPr>
      <w:ind w:left="1260"/>
    </w:pPr>
  </w:style>
  <w:style w:type="paragraph" w:customStyle="1" w:styleId="56">
    <w:name w:val="toc 2540020d2540020d2"/>
    <w:basedOn w:val="44"/>
    <w:next w:val="1"/>
    <w:uiPriority w:val="0"/>
    <w:pPr>
      <w:ind w:left="420"/>
    </w:pPr>
  </w:style>
  <w:style w:type="paragraph" w:customStyle="1" w:styleId="57">
    <w:name w:val="列出段落14166a0634166a06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4074</Words>
  <Characters>4086</Characters>
  <Lines>81</Lines>
  <Paragraphs>27</Paragraphs>
  <TotalTime>9</TotalTime>
  <ScaleCrop>false</ScaleCrop>
  <LinksUpToDate>false</LinksUpToDate>
  <CharactersWithSpaces>4087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PC</cp:lastModifiedBy>
  <dcterms:modified xsi:type="dcterms:W3CDTF">2026-06-18T07:47:37Z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