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4F89D5">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084B9B8B">
      <w:pPr>
        <w:adjustRightInd w:val="0"/>
        <w:spacing w:line="360" w:lineRule="auto"/>
        <w:jc w:val="center"/>
        <w:rPr>
          <w:rStyle w:val="27"/>
          <w:rFonts w:ascii="宋体" w:hAnsi="宋体"/>
          <w:sz w:val="32"/>
          <w:szCs w:val="32"/>
        </w:rPr>
      </w:pPr>
    </w:p>
    <w:p w14:paraId="0654ABC7">
      <w:pPr>
        <w:adjustRightInd w:val="0"/>
        <w:spacing w:line="360" w:lineRule="auto"/>
        <w:jc w:val="center"/>
        <w:rPr>
          <w:rStyle w:val="27"/>
          <w:rFonts w:ascii="宋体" w:hAnsi="宋体"/>
          <w:sz w:val="32"/>
          <w:szCs w:val="32"/>
        </w:rPr>
      </w:pPr>
    </w:p>
    <w:p w14:paraId="13C18B34">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30CBED76">
      <w:pPr>
        <w:adjustRightInd w:val="0"/>
        <w:spacing w:line="360" w:lineRule="auto"/>
        <w:jc w:val="center"/>
        <w:rPr>
          <w:rStyle w:val="27"/>
          <w:rFonts w:ascii="宋体" w:hAnsi="宋体"/>
          <w:sz w:val="32"/>
          <w:szCs w:val="32"/>
        </w:rPr>
      </w:pPr>
    </w:p>
    <w:p w14:paraId="563A1C8C">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lang w:eastAsia="zh-CN"/>
        </w:rPr>
        <w:t>【兴银理财稳利恒盈封闭式2026年850期固收类理财产品】</w:t>
      </w:r>
      <w:permEnd w:id="0"/>
    </w:p>
    <w:p w14:paraId="5F364D7A">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14:paraId="67973F6D">
      <w:pPr>
        <w:adjustRightInd w:val="0"/>
        <w:spacing w:line="360" w:lineRule="auto"/>
        <w:jc w:val="center"/>
        <w:rPr>
          <w:rStyle w:val="27"/>
          <w:rFonts w:ascii="宋体" w:hAnsi="宋体"/>
          <w:sz w:val="32"/>
          <w:szCs w:val="32"/>
        </w:rPr>
      </w:pPr>
    </w:p>
    <w:p w14:paraId="2EF4A54A">
      <w:pPr>
        <w:adjustRightInd w:val="0"/>
        <w:spacing w:line="360" w:lineRule="auto"/>
        <w:jc w:val="center"/>
        <w:rPr>
          <w:rStyle w:val="27"/>
          <w:rFonts w:ascii="黑体" w:hAnsi="黑体" w:eastAsia="黑体"/>
          <w:bCs w:val="0"/>
          <w:sz w:val="28"/>
          <w:szCs w:val="28"/>
        </w:rPr>
      </w:pPr>
    </w:p>
    <w:p w14:paraId="3E7944A4">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14:paraId="7358A37E">
      <w:pPr>
        <w:adjustRightInd w:val="0"/>
        <w:spacing w:line="360" w:lineRule="auto"/>
        <w:jc w:val="center"/>
        <w:rPr>
          <w:rStyle w:val="27"/>
          <w:rFonts w:ascii="宋体" w:hAnsi="宋体"/>
          <w:sz w:val="32"/>
          <w:szCs w:val="32"/>
        </w:rPr>
      </w:pPr>
    </w:p>
    <w:p w14:paraId="6F7272AC">
      <w:pPr>
        <w:adjustRightInd w:val="0"/>
        <w:spacing w:line="360" w:lineRule="auto"/>
        <w:jc w:val="center"/>
        <w:rPr>
          <w:rStyle w:val="27"/>
          <w:rFonts w:ascii="宋体" w:hAnsi="宋体"/>
          <w:sz w:val="32"/>
          <w:szCs w:val="32"/>
        </w:rPr>
      </w:pPr>
    </w:p>
    <w:p w14:paraId="3BCD6817">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【2026】年【6】月</w:t>
      </w:r>
      <w:permEnd w:id="1"/>
    </w:p>
    <w:p w14:paraId="396E117D">
      <w:pPr>
        <w:adjustRightInd w:val="0"/>
        <w:spacing w:line="360" w:lineRule="auto"/>
        <w:jc w:val="center"/>
        <w:rPr>
          <w:rStyle w:val="27"/>
          <w:rFonts w:ascii="宋体" w:hAnsi="宋体"/>
          <w:sz w:val="32"/>
          <w:szCs w:val="32"/>
        </w:rPr>
      </w:pPr>
    </w:p>
    <w:p w14:paraId="0E8A9AC1">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14:paraId="33CD6D79">
          <w:pPr>
            <w:pStyle w:val="48"/>
            <w:spacing w:line="360" w:lineRule="auto"/>
            <w:jc w:val="center"/>
          </w:pPr>
          <w:permStart w:id="2" w:edGrp="everyone"/>
          <w:bookmarkStart w:id="0" w:name="_Toc78276587"/>
          <w:r>
            <w:rPr>
              <w:lang w:val="zh-CN"/>
            </w:rPr>
            <w:t>目录</w:t>
          </w:r>
        </w:p>
        <w:p w14:paraId="2BA1B789">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14:paraId="5178678B">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14:paraId="4FE838BF">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14:paraId="6170919E">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14:paraId="280F5B67">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14:paraId="4CF00EA7">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14:paraId="653286FD">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14:paraId="2E0D4AC5">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14:paraId="5EEFB0B8">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14:paraId="602C7ED3">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14:paraId="75C7CE05">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14:paraId="45B80365">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14:paraId="18E90433">
          <w:pPr>
            <w:spacing w:line="360" w:lineRule="auto"/>
          </w:pPr>
          <w:r>
            <w:fldChar w:fldCharType="end"/>
          </w:r>
        </w:p>
      </w:sdtContent>
    </w:sdt>
    <w:permEnd w:id="2"/>
    <w:p w14:paraId="4AE4AD9A">
      <w:pPr>
        <w:rPr>
          <w:rFonts w:ascii="Times New Roman"/>
          <w:sz w:val="30"/>
        </w:rPr>
      </w:pPr>
      <w:r>
        <w:rPr>
          <w:rFonts w:ascii="Times New Roman"/>
          <w:sz w:val="30"/>
        </w:rPr>
        <w:br w:type="page"/>
      </w:r>
    </w:p>
    <w:p w14:paraId="60DBF629">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14:paraId="6D344EF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14:paraId="777DDB55">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14:paraId="1057E86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14:paraId="44A2488B">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中国工商银行股份有限公司（以下简称“工商银行”）。工商银行成立于1984年，于1998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14:paraId="7A941FEB">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14:paraId="21B9F1C6">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14:paraId="507BBB8B">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14:paraId="58D3EA54">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14:paraId="6AB9BB6F">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14:paraId="4F699F0A">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14:paraId="5E05BE05">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14:paraId="7ACBBD26">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（6）专业投资者：根据监管规定，指符合下列条件之一的投资者：</w:t>
      </w:r>
    </w:p>
    <w:p w14:paraId="06551A1B">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1）银行业金融机构、保险业金融机构、金融控股公司、证券基金期货经营机构、私募基金管理人；</w:t>
      </w:r>
    </w:p>
    <w:p w14:paraId="74B9AD36">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2）上述机构面向投资者发行的金融产品，信托公司管理的资产服务信托、公益慈善信托；</w:t>
      </w:r>
    </w:p>
    <w:p w14:paraId="3CAB0245">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3）社会保障基金、企业年金、职业年金等养老基金，慈善基金等社会公益基金，合格境外机构投资者（QFII）、人民币合格境外机构投资者（RQFII）。</w:t>
      </w:r>
    </w:p>
    <w:p w14:paraId="1EAEF2C6">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（7）普通投资者：专业投资者之外的投资者为普通投资者。</w:t>
      </w:r>
    </w:p>
    <w:p w14:paraId="6237423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8</w:t>
      </w:r>
      <w:r>
        <w:rPr>
          <w:rFonts w:hint="eastAsia" w:asciiTheme="majorEastAsia" w:hAnsiTheme="majorEastAsia" w:eastAsiaTheme="majorEastAsia"/>
          <w:bCs/>
          <w:color w:val="auto"/>
          <w:sz w:val="18"/>
          <w:szCs w:val="18"/>
        </w:rPr>
        <w:t>）全国银行业理财信息登记系统：指供商业银行及商业银行理财公司进行理财产品电子化报告和信息登记的电子信息系统。</w:t>
      </w:r>
    </w:p>
    <w:p w14:paraId="223044F0">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14:paraId="5D56D2F6">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lang w:eastAsia="zh-CN"/>
        </w:rPr>
        <w:t>【兴银理财稳利恒盈封闭式2026年850期固收类理财产品】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14:paraId="77B76065">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lang w:eastAsia="zh-CN"/>
        </w:rPr>
        <w:t>【兴银理财稳利恒盈封闭式2026年850期固收类理财产品】</w:t>
      </w:r>
      <w:permEnd w:id="5"/>
      <w:r>
        <w:rPr>
          <w:rFonts w:hint="eastAsia" w:asciiTheme="majorEastAsia" w:hAnsiTheme="majorEastAsia" w:eastAsiaTheme="majorEastAsia"/>
          <w:bCs/>
          <w:sz w:val="18"/>
          <w:szCs w:val="18"/>
        </w:rPr>
        <w:t>投资协议书》，以及对该文件的有效修改或补充。</w:t>
      </w:r>
    </w:p>
    <w:p w14:paraId="3B122D3F">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lang w:eastAsia="zh-CN"/>
        </w:rPr>
        <w:t>【兴银理财稳利恒盈封闭式2026年850期固收类理财产品】</w:t>
      </w:r>
      <w:permEnd w:id="6"/>
      <w:r>
        <w:rPr>
          <w:rFonts w:hint="eastAsia" w:asciiTheme="majorEastAsia" w:hAnsiTheme="majorEastAsia" w:eastAsiaTheme="majorEastAsia"/>
          <w:bCs/>
          <w:sz w:val="18"/>
          <w:szCs w:val="18"/>
        </w:rPr>
        <w:t>产品说明书》，以及对该文件的有效修改或补充。</w:t>
      </w:r>
    </w:p>
    <w:p w14:paraId="2EFE732D">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lang w:eastAsia="zh-CN"/>
        </w:rPr>
        <w:t>【兴银理财稳利恒盈封闭式2026年850期固收类理财产品】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lang w:eastAsia="zh-CN"/>
        </w:rPr>
        <w:t>【兴银理财稳利恒盈封闭式2026年850期固收类理财产品】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14:paraId="49285247">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lang w:eastAsia="zh-CN"/>
        </w:rPr>
        <w:t>【兴银理财稳利恒盈封闭式2026年850期固收类理财产品】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lang w:eastAsia="zh-CN"/>
        </w:rPr>
        <w:t>【兴银理财稳利恒盈封闭式2026年850期固收类理财产品】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14:paraId="77A28B5D">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lang w:eastAsia="zh-CN"/>
        </w:rPr>
        <w:t>【兴银理财稳利恒盈封闭式2026年850期固收类理财产品】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lang w:eastAsia="zh-CN"/>
        </w:rPr>
        <w:t>【兴银理财稳利恒盈封闭式2026年850期固收类理财产品】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14:paraId="4FA2D4F4">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14:paraId="7F2DF1F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14:paraId="1CE6070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14:paraId="082B1D5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14:paraId="231B765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19096C3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14:paraId="3D794A2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14:paraId="542406FB">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14:paraId="5986294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14:paraId="16BB65E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14:paraId="32EF523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14:paraId="24DC2AA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14:paraId="6871A906">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14:paraId="7929FF1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14:paraId="3F321020">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14:paraId="5A6EEF8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14:paraId="71A450B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14:paraId="3163B3DB">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14:paraId="3AE2BC46">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14:paraId="0D8063C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14:paraId="6DF1FBE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14:paraId="1437361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14:paraId="7B9A250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14:paraId="04CC299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14:paraId="01E4FBB5">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14:paraId="41C0E776">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14:paraId="34E5D296">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14:paraId="3890AD6D">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14:paraId="35F2BB74">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14:paraId="06CCB4D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14:paraId="5D5FC25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14:paraId="377C049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14:paraId="496BB4A4">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14:paraId="209C3CF3">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14:paraId="5F04CDE6">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14:paraId="4AE60D27">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14:paraId="2ABFCF20">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14:paraId="795329E4">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14:paraId="2F855AD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14:paraId="39F32DD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14:paraId="4FEDF6A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14:paraId="2A310275">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14:paraId="7D0C50F6">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14:paraId="193F4E9F">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14:paraId="1B363966">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14:paraId="5E55DF2C">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14:paraId="21F6B689">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14:paraId="22C88A0D">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14:paraId="6739435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14:paraId="0FB82376">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14:paraId="15FD8CEC">
      <w:pPr>
        <w:pStyle w:val="2"/>
        <w:spacing w:before="0" w:after="0" w:line="360" w:lineRule="auto"/>
        <w:jc w:val="center"/>
        <w:rPr>
          <w:rFonts w:hAnsi="宋体"/>
          <w:sz w:val="28"/>
          <w:szCs w:val="28"/>
        </w:rPr>
      </w:pPr>
      <w:bookmarkStart w:id="2" w:name="_Toc176189754"/>
      <w:bookmarkStart w:id="3" w:name="_Toc79154665"/>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14:paraId="72FE5BF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14:paraId="75204524">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14:paraId="73B5D7D3">
            <w:pPr>
              <w:spacing w:line="360" w:lineRule="auto"/>
              <w:jc w:val="left"/>
              <w:rPr>
                <w:rFonts w:ascii="宋体" w:hAnsi="宋体"/>
                <w:bCs/>
                <w:sz w:val="18"/>
                <w:szCs w:val="18"/>
              </w:rPr>
            </w:pPr>
            <w:r>
              <w:rPr>
                <w:rFonts w:hint="eastAsia" w:asciiTheme="majorEastAsia" w:hAnsiTheme="majorEastAsia" w:eastAsiaTheme="majorEastAsia"/>
                <w:bCs/>
                <w:kern w:val="0"/>
                <w:sz w:val="18"/>
                <w:szCs w:val="18"/>
              </w:rPr>
              <w:t>【</w:t>
            </w:r>
            <w:r>
              <w:rPr>
                <w:rFonts w:hint="eastAsia" w:asciiTheme="majorEastAsia" w:hAnsiTheme="majorEastAsia" w:eastAsiaTheme="majorEastAsia"/>
                <w:bCs/>
                <w:sz w:val="18"/>
                <w:szCs w:val="18"/>
              </w:rPr>
              <w:t>兴银理财稳利恒盈封闭式2026年850期固收类理财产品</w:t>
            </w:r>
            <w:r>
              <w:rPr>
                <w:rFonts w:hint="eastAsia" w:asciiTheme="majorEastAsia" w:hAnsiTheme="majorEastAsia" w:eastAsiaTheme="majorEastAsia"/>
                <w:bCs/>
                <w:kern w:val="0"/>
                <w:sz w:val="18"/>
                <w:szCs w:val="18"/>
              </w:rPr>
              <w:t>】</w:t>
            </w:r>
          </w:p>
        </w:tc>
      </w:tr>
      <w:tr w14:paraId="143EBBE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tcPr>
          <w:p w14:paraId="56784776">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14:paraId="7AE4FC3E">
            <w:pPr>
              <w:widowControl/>
              <w:spacing w:line="360" w:lineRule="auto"/>
              <w:jc w:val="left"/>
              <w:rPr>
                <w:rFonts w:ascii="宋体" w:hAnsi="宋体"/>
                <w:kern w:val="0"/>
                <w:sz w:val="22"/>
              </w:rPr>
            </w:pPr>
            <w:r>
              <w:rPr>
                <w:rFonts w:ascii="宋体" w:hAnsi="宋体" w:eastAsia="宋体" w:cs="宋体"/>
                <w:sz w:val="18"/>
              </w:rPr>
              <w:t>【稳利恒盈封闭式2026年850期（兴嘉选）A】 (适用【A】类份额)</w:t>
            </w:r>
            <w:r>
              <w:rPr>
                <w:rFonts w:ascii="宋体" w:hAnsi="宋体" w:eastAsia="宋体" w:cs="宋体"/>
                <w:sz w:val="18"/>
              </w:rPr>
              <w:br w:type="textWrapping"/>
            </w:r>
            <w:r>
              <w:rPr>
                <w:rFonts w:ascii="宋体" w:hAnsi="宋体" w:eastAsia="宋体" w:cs="宋体"/>
                <w:sz w:val="18"/>
              </w:rPr>
              <w:t>【稳利恒盈封闭式2026年850期（兴嘉选）B】 (适用【B】类份额)</w:t>
            </w:r>
            <w:r>
              <w:rPr>
                <w:rFonts w:ascii="宋体" w:hAnsi="宋体" w:eastAsia="宋体" w:cs="宋体"/>
                <w:sz w:val="18"/>
              </w:rPr>
              <w:br w:type="textWrapping"/>
            </w:r>
            <w:r>
              <w:rPr>
                <w:rFonts w:ascii="宋体" w:hAnsi="宋体" w:eastAsia="宋体" w:cs="宋体"/>
                <w:sz w:val="18"/>
              </w:rPr>
              <w:t>【稳利恒盈封闭式2026年850期（兴嘉选）C】 (适用【C】类份额)</w:t>
            </w:r>
            <w:r>
              <w:rPr>
                <w:rFonts w:ascii="宋体" w:hAnsi="宋体" w:eastAsia="宋体" w:cs="宋体"/>
                <w:sz w:val="18"/>
              </w:rPr>
              <w:br w:type="textWrapping"/>
            </w:r>
            <w:r>
              <w:rPr>
                <w:rFonts w:ascii="宋体" w:hAnsi="宋体" w:eastAsia="宋体" w:cs="宋体"/>
                <w:sz w:val="18"/>
              </w:rPr>
              <w:t>【稳利恒盈封闭式2026年850期（兴嘉选）D】 (适用【D】类份额)</w:t>
            </w:r>
            <w:r>
              <w:rPr>
                <w:rFonts w:ascii="宋体" w:hAnsi="宋体" w:eastAsia="宋体" w:cs="宋体"/>
                <w:sz w:val="18"/>
              </w:rPr>
              <w:br w:type="textWrapping"/>
            </w:r>
            <w:r>
              <w:rPr>
                <w:rFonts w:ascii="宋体" w:hAnsi="宋体" w:eastAsia="宋体" w:cs="宋体"/>
                <w:sz w:val="18"/>
              </w:rPr>
              <w:t>【稳利恒盈封闭式2026年850期（兴嘉选）E】 (适用【E】类份额)</w:t>
            </w:r>
            <w:r>
              <w:rPr>
                <w:rFonts w:ascii="宋体" w:hAnsi="宋体" w:eastAsia="宋体" w:cs="宋体"/>
                <w:sz w:val="18"/>
              </w:rPr>
              <w:br w:type="textWrapping"/>
            </w:r>
            <w:r>
              <w:rPr>
                <w:rFonts w:ascii="宋体" w:hAnsi="宋体" w:eastAsia="宋体" w:cs="宋体"/>
                <w:sz w:val="18"/>
              </w:rPr>
              <w:t>【稳利恒盈封闭式2026年850期（兴嘉选）F】 (适用【F】类份额)</w:t>
            </w:r>
            <w:r>
              <w:rPr>
                <w:rFonts w:ascii="宋体" w:hAnsi="宋体" w:eastAsia="宋体" w:cs="宋体"/>
                <w:sz w:val="18"/>
              </w:rPr>
              <w:br w:type="textWrapping"/>
            </w:r>
            <w:r>
              <w:rPr>
                <w:rFonts w:ascii="宋体" w:hAnsi="宋体" w:eastAsia="宋体" w:cs="宋体"/>
                <w:sz w:val="18"/>
              </w:rPr>
              <w:t>【稳利恒盈封闭式2026年850期（兴嘉选）H】 (适用【H】类份额)</w:t>
            </w:r>
          </w:p>
        </w:tc>
      </w:tr>
      <w:tr w14:paraId="4662D67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14:paraId="66E13A0C">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14:paraId="60A18DA3">
            <w:pPr>
              <w:spacing w:line="360" w:lineRule="auto"/>
              <w:jc w:val="left"/>
              <w:rPr>
                <w:rFonts w:ascii="宋体" w:hAnsi="宋体"/>
                <w:b/>
                <w:sz w:val="18"/>
                <w:szCs w:val="18"/>
              </w:rPr>
            </w:pPr>
            <w:r>
              <w:rPr>
                <w:rFonts w:hint="eastAsia" w:asciiTheme="minorEastAsia" w:hAnsiTheme="minorEastAsia"/>
                <w:sz w:val="18"/>
                <w:szCs w:val="18"/>
              </w:rPr>
              <w:t>【Z7002026001202】</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14:paraId="381F3D6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14:paraId="4F938F27">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14:paraId="686B698D">
            <w:pPr>
              <w:spacing w:line="360" w:lineRule="auto"/>
              <w:jc w:val="left"/>
              <w:rPr>
                <w:rFonts w:ascii="宋体" w:hAnsi="宋体"/>
                <w:bCs/>
                <w:sz w:val="18"/>
                <w:szCs w:val="18"/>
              </w:rPr>
            </w:pPr>
            <w:r>
              <w:rPr>
                <w:rFonts w:ascii="宋体" w:hAnsi="宋体"/>
                <w:bCs/>
                <w:sz w:val="18"/>
                <w:szCs w:val="18"/>
              </w:rPr>
              <w:t>【</w:t>
            </w:r>
            <w:r>
              <w:rPr>
                <w:rFonts w:hint="eastAsia" w:ascii="宋体" w:hAnsi="宋体"/>
                <w:bCs/>
                <w:sz w:val="18"/>
                <w:szCs w:val="18"/>
              </w:rPr>
              <w:t>9N268500】</w:t>
            </w:r>
          </w:p>
        </w:tc>
      </w:tr>
      <w:tr w14:paraId="2F82D99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14:paraId="0DB9CE0C">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14:paraId="11A5D576">
            <w:pPr>
              <w:spacing w:line="360" w:lineRule="auto"/>
              <w:jc w:val="left"/>
              <w:rPr>
                <w:rFonts w:hAnsi="宋体"/>
                <w:sz w:val="18"/>
                <w:szCs w:val="18"/>
              </w:rPr>
            </w:pPr>
            <w:r>
              <w:rPr>
                <w:rFonts w:ascii="宋体" w:hAnsi="宋体" w:eastAsia="宋体" w:cs="宋体"/>
                <w:sz w:val="18"/>
              </w:rPr>
              <w:t>【9N26850A】 (适用【A】类份额)</w:t>
            </w:r>
            <w:r>
              <w:rPr>
                <w:rFonts w:ascii="宋体" w:hAnsi="宋体" w:eastAsia="宋体" w:cs="宋体"/>
                <w:sz w:val="18"/>
              </w:rPr>
              <w:br w:type="textWrapping"/>
            </w:r>
            <w:r>
              <w:rPr>
                <w:rFonts w:ascii="宋体" w:hAnsi="宋体" w:eastAsia="宋体" w:cs="宋体"/>
                <w:sz w:val="18"/>
              </w:rPr>
              <w:t>【9N26850B】 (适用【B】类份额)</w:t>
            </w:r>
            <w:r>
              <w:rPr>
                <w:rFonts w:ascii="宋体" w:hAnsi="宋体" w:eastAsia="宋体" w:cs="宋体"/>
                <w:sz w:val="18"/>
              </w:rPr>
              <w:br w:type="textWrapping"/>
            </w:r>
            <w:r>
              <w:rPr>
                <w:rFonts w:ascii="宋体" w:hAnsi="宋体" w:eastAsia="宋体" w:cs="宋体"/>
                <w:sz w:val="18"/>
              </w:rPr>
              <w:t>【9N26850C】 (适用【C】类份额)</w:t>
            </w:r>
            <w:r>
              <w:rPr>
                <w:rFonts w:ascii="宋体" w:hAnsi="宋体" w:eastAsia="宋体" w:cs="宋体"/>
                <w:sz w:val="18"/>
              </w:rPr>
              <w:br w:type="textWrapping"/>
            </w:r>
            <w:r>
              <w:rPr>
                <w:rFonts w:ascii="宋体" w:hAnsi="宋体" w:eastAsia="宋体" w:cs="宋体"/>
                <w:sz w:val="18"/>
              </w:rPr>
              <w:t>【9N26850D】 (适用【D】类份额)</w:t>
            </w:r>
            <w:r>
              <w:rPr>
                <w:rFonts w:ascii="宋体" w:hAnsi="宋体" w:eastAsia="宋体" w:cs="宋体"/>
                <w:sz w:val="18"/>
              </w:rPr>
              <w:br w:type="textWrapping"/>
            </w:r>
            <w:r>
              <w:rPr>
                <w:rFonts w:ascii="宋体" w:hAnsi="宋体" w:eastAsia="宋体" w:cs="宋体"/>
                <w:sz w:val="18"/>
              </w:rPr>
              <w:t>【9N26850E】 (适用【E】类份额)</w:t>
            </w:r>
            <w:r>
              <w:rPr>
                <w:rFonts w:ascii="宋体" w:hAnsi="宋体" w:eastAsia="宋体" w:cs="宋体"/>
                <w:sz w:val="18"/>
              </w:rPr>
              <w:br w:type="textWrapping"/>
            </w:r>
            <w:r>
              <w:rPr>
                <w:rFonts w:ascii="宋体" w:hAnsi="宋体" w:eastAsia="宋体" w:cs="宋体"/>
                <w:sz w:val="18"/>
              </w:rPr>
              <w:t>【9N26850F】 (适用【F】类份额)</w:t>
            </w:r>
            <w:r>
              <w:rPr>
                <w:rFonts w:ascii="宋体" w:hAnsi="宋体" w:eastAsia="宋体" w:cs="宋体"/>
                <w:sz w:val="18"/>
              </w:rPr>
              <w:br w:type="textWrapping"/>
            </w:r>
            <w:r>
              <w:rPr>
                <w:rFonts w:ascii="宋体" w:hAnsi="宋体" w:eastAsia="宋体" w:cs="宋体"/>
                <w:sz w:val="18"/>
              </w:rPr>
              <w:t>【9N26850H】 (适用【H】类份额)</w:t>
            </w:r>
          </w:p>
        </w:tc>
      </w:tr>
      <w:tr w14:paraId="7E0CCA1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14:paraId="2C116753">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14:paraId="055FE9BC">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14:paraId="136A5D52">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14:paraId="25AF34D9">
            <w:pPr>
              <w:spacing w:line="360" w:lineRule="auto"/>
              <w:rPr>
                <w:rFonts w:ascii="宋体" w:hAnsi="宋体"/>
                <w:bCs/>
                <w:sz w:val="18"/>
                <w:szCs w:val="18"/>
              </w:rPr>
            </w:pPr>
            <w:r>
              <w:rPr>
                <w:rFonts w:hint="eastAsia" w:ascii="宋体" w:hAnsi="宋体"/>
                <w:bCs/>
                <w:sz w:val="18"/>
                <w:szCs w:val="18"/>
              </w:rPr>
              <w:t>（1）销售名称</w:t>
            </w:r>
          </w:p>
          <w:p w14:paraId="4CBD7ABA">
            <w:pPr>
              <w:spacing w:line="360" w:lineRule="auto"/>
              <w:rPr>
                <w:rFonts w:ascii="宋体" w:hAnsi="宋体"/>
                <w:bCs/>
                <w:sz w:val="18"/>
                <w:szCs w:val="18"/>
              </w:rPr>
            </w:pPr>
            <w:r>
              <w:rPr>
                <w:rFonts w:hint="eastAsia" w:ascii="宋体" w:hAnsi="宋体"/>
                <w:bCs/>
                <w:sz w:val="18"/>
                <w:szCs w:val="18"/>
              </w:rPr>
              <w:t>（2）收费方式</w:t>
            </w:r>
          </w:p>
          <w:p w14:paraId="61B28E1D">
            <w:pPr>
              <w:spacing w:line="360" w:lineRule="auto"/>
              <w:rPr>
                <w:rFonts w:ascii="宋体" w:hAnsi="宋体"/>
                <w:bCs/>
                <w:sz w:val="18"/>
                <w:szCs w:val="18"/>
              </w:rPr>
            </w:pPr>
            <w:r>
              <w:rPr>
                <w:rFonts w:hint="eastAsia" w:ascii="宋体" w:hAnsi="宋体"/>
                <w:bCs/>
                <w:sz w:val="18"/>
                <w:szCs w:val="18"/>
              </w:rPr>
              <w:t>（3）销售服务费</w:t>
            </w:r>
          </w:p>
          <w:p w14:paraId="1B160124">
            <w:pPr>
              <w:spacing w:line="360" w:lineRule="auto"/>
              <w:rPr>
                <w:rFonts w:ascii="宋体" w:hAnsi="宋体"/>
                <w:bCs/>
                <w:sz w:val="18"/>
                <w:szCs w:val="18"/>
              </w:rPr>
            </w:pPr>
            <w:r>
              <w:rPr>
                <w:rFonts w:hint="eastAsia" w:ascii="宋体" w:hAnsi="宋体"/>
                <w:bCs/>
                <w:sz w:val="18"/>
                <w:szCs w:val="18"/>
              </w:rPr>
              <w:t>（4）销售代码</w:t>
            </w:r>
          </w:p>
          <w:p w14:paraId="691F2E37">
            <w:pPr>
              <w:spacing w:line="360" w:lineRule="auto"/>
              <w:rPr>
                <w:rFonts w:ascii="宋体" w:hAnsi="宋体"/>
                <w:bCs/>
                <w:sz w:val="18"/>
                <w:szCs w:val="18"/>
              </w:rPr>
            </w:pPr>
            <w:r>
              <w:rPr>
                <w:rFonts w:hint="eastAsia" w:ascii="宋体" w:hAnsi="宋体"/>
                <w:bCs/>
                <w:sz w:val="18"/>
                <w:szCs w:val="18"/>
              </w:rPr>
              <w:t>（5）销售对象</w:t>
            </w:r>
          </w:p>
          <w:p w14:paraId="6E328C04">
            <w:pPr>
              <w:spacing w:line="360" w:lineRule="auto"/>
              <w:rPr>
                <w:rFonts w:ascii="宋体" w:hAnsi="宋体"/>
                <w:bCs/>
                <w:sz w:val="18"/>
                <w:szCs w:val="18"/>
              </w:rPr>
            </w:pPr>
            <w:r>
              <w:rPr>
                <w:rFonts w:hint="eastAsia" w:ascii="宋体" w:hAnsi="宋体"/>
                <w:bCs/>
                <w:sz w:val="18"/>
                <w:szCs w:val="18"/>
              </w:rPr>
              <w:t>（6）销售起点金额（认购、申购的起点金额）</w:t>
            </w:r>
          </w:p>
          <w:p w14:paraId="1CFD7E01">
            <w:pPr>
              <w:spacing w:line="360" w:lineRule="auto"/>
              <w:rPr>
                <w:rFonts w:ascii="宋体" w:hAnsi="宋体"/>
                <w:bCs/>
                <w:sz w:val="18"/>
                <w:szCs w:val="18"/>
              </w:rPr>
            </w:pPr>
            <w:r>
              <w:rPr>
                <w:rFonts w:hint="eastAsia" w:ascii="宋体" w:hAnsi="宋体"/>
                <w:bCs/>
                <w:sz w:val="18"/>
                <w:szCs w:val="18"/>
              </w:rPr>
              <w:t>（7）投资者认购、申购和赎回的数量限制</w:t>
            </w:r>
          </w:p>
          <w:p w14:paraId="0A2601FA">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14:paraId="08F28FF3">
            <w:pPr>
              <w:spacing w:line="360" w:lineRule="auto"/>
              <w:rPr>
                <w:rFonts w:ascii="宋体" w:hAnsi="宋体"/>
                <w:bCs/>
                <w:sz w:val="18"/>
                <w:szCs w:val="18"/>
              </w:rPr>
            </w:pPr>
            <w:r>
              <w:rPr>
                <w:rFonts w:hint="eastAsia" w:ascii="宋体" w:hAnsi="宋体"/>
                <w:bCs/>
                <w:sz w:val="18"/>
                <w:szCs w:val="18"/>
              </w:rPr>
              <w:t>（9）分别计算和公告产品份额净值</w:t>
            </w:r>
          </w:p>
          <w:p w14:paraId="1B24F521">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14:paraId="2E055AAE">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14:paraId="5BBB546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E031DA8">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14:paraId="21FCC136">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14:paraId="5389C7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739D0C41">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14:paraId="61EC2D60">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14:paraId="72FA920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8EBFE09">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14:paraId="6D67EDB6">
            <w:pPr>
              <w:spacing w:line="360" w:lineRule="auto"/>
              <w:rPr>
                <w:rFonts w:ascii="宋体" w:hAnsi="宋体"/>
                <w:bCs/>
                <w:sz w:val="18"/>
                <w:szCs w:val="18"/>
              </w:rPr>
            </w:pPr>
            <w:r>
              <w:rPr>
                <w:rFonts w:hint="eastAsia" w:ascii="宋体" w:hAnsi="宋体"/>
                <w:bCs/>
                <w:sz w:val="18"/>
                <w:szCs w:val="18"/>
              </w:rPr>
              <w:t>封闭式</w:t>
            </w:r>
          </w:p>
        </w:tc>
      </w:tr>
      <w:tr w14:paraId="029E571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B5BECBE">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14:paraId="76A90CFB">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14:paraId="57E15800">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14:paraId="3078ABA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0D4BF76">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14:paraId="5E3E1AFB">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14:paraId="6541E6AD">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14:paraId="065304E4">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14:paraId="6563276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061730D">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14:paraId="4F37379C">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14:paraId="19D5E26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E1164BE">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14:paraId="6D890850">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14:paraId="2DCBD814">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14:paraId="2EB9C249">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r>
              <w:rPr>
                <w:rFonts w:hint="eastAsia" w:ascii="黑体" w:hAnsi="黑体" w:eastAsia="黑体"/>
                <w:bCs/>
                <w:sz w:val="18"/>
                <w:szCs w:val="18"/>
              </w:rPr>
              <w:t>本产品存续期内，产品风险评级可能会根据实际情况进行调整。</w:t>
            </w:r>
          </w:p>
        </w:tc>
      </w:tr>
      <w:tr w14:paraId="6D8CE8F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E890ECF">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14:paraId="405902E2">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14:paraId="0B1939E3">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14:paraId="6835D485">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14:paraId="7B6F3D7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2827A5B">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14:paraId="13DE24D5">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14:paraId="780EECCF">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14:paraId="33E538B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CE74D03">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14:paraId="02015945">
            <w:pPr>
              <w:spacing w:line="360" w:lineRule="auto"/>
              <w:jc w:val="left"/>
              <w:rPr>
                <w:rFonts w:ascii="宋体" w:hAnsi="宋体"/>
                <w:sz w:val="18"/>
                <w:szCs w:val="18"/>
              </w:rPr>
            </w:pPr>
            <w:r>
              <w:rPr>
                <w:rFonts w:hint="eastAsia" w:ascii="宋体" w:hAnsi="宋体"/>
                <w:sz w:val="18"/>
                <w:szCs w:val="18"/>
              </w:rPr>
              <w:t>□ 直销适用</w:t>
            </w:r>
          </w:p>
          <w:p w14:paraId="3983CF1B">
            <w:pPr>
              <w:spacing w:line="360" w:lineRule="auto"/>
              <w:jc w:val="left"/>
              <w:rPr>
                <w:rFonts w:ascii="宋体" w:hAnsi="宋体"/>
                <w:sz w:val="18"/>
                <w:szCs w:val="18"/>
              </w:rPr>
            </w:pPr>
            <w:r>
              <w:rPr>
                <w:rFonts w:hint="eastAsia" w:ascii="宋体" w:hAnsi="宋体"/>
                <w:sz w:val="18"/>
                <w:szCs w:val="18"/>
              </w:rPr>
              <w:t>本产品由产品管理人销售。</w:t>
            </w:r>
          </w:p>
          <w:p w14:paraId="1571423D">
            <w:pPr>
              <w:spacing w:line="360" w:lineRule="auto"/>
              <w:jc w:val="left"/>
              <w:rPr>
                <w:rFonts w:ascii="宋体" w:hAnsi="宋体"/>
                <w:sz w:val="18"/>
                <w:szCs w:val="18"/>
              </w:rPr>
            </w:pPr>
            <w:r>
              <w:rPr>
                <w:rFonts w:hint="eastAsia" w:ascii="宋体" w:hAnsi="宋体"/>
                <w:bCs/>
                <w:sz w:val="18"/>
                <w:szCs w:val="18"/>
                <w:lang w:bidi="ar"/>
              </w:rPr>
              <w:t>■</w:t>
            </w:r>
            <w:r>
              <w:rPr>
                <w:rFonts w:hint="eastAsia" w:ascii="宋体" w:hAnsi="宋体"/>
                <w:sz w:val="18"/>
                <w:szCs w:val="18"/>
              </w:rPr>
              <w:t xml:space="preserve"> 代销适用</w:t>
            </w:r>
          </w:p>
          <w:p w14:paraId="66C31D34">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14:paraId="6A5B1A49">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14:paraId="56C91D9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B7D54FE">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14:paraId="455DA6C1">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14:paraId="7314A59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748E2A16">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14:paraId="233C750E">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中国工商银行股份有限公司</w:t>
            </w:r>
          </w:p>
        </w:tc>
      </w:tr>
      <w:tr w14:paraId="471BACA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9C12ABC">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14:paraId="26D5FED9">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规模为【3】亿元，最小成立规模为【/】亿元。</w:t>
            </w:r>
          </w:p>
          <w:p w14:paraId="263AAE62">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14:paraId="6ACC21C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DEB042D">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14:paraId="3669E820">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■有固定期限:【1092天】</w:t>
            </w:r>
          </w:p>
          <w:p w14:paraId="48AC877C">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□无固定期限</w:t>
            </w:r>
          </w:p>
          <w:p w14:paraId="1037EB60">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14:paraId="43BBF2C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42D3BC0">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14:paraId="0D0FECFE">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ascii="宋体" w:hAnsi="宋体" w:eastAsia="宋体" w:cs="宋体"/>
                <w:kern w:val="2"/>
                <w:sz w:val="18"/>
                <w:szCs w:val="18"/>
                <w:lang w:val="en-US" w:eastAsia="zh-CN" w:bidi="ar"/>
              </w:rPr>
              <w:t>【2026年06月16日】【09:00】至【2026年07月01日】【17:00】</w:t>
            </w:r>
            <w:r>
              <w:rPr>
                <w:rFonts w:asciiTheme="majorEastAsia" w:hAnsiTheme="majorEastAsia" w:eastAsiaTheme="majorEastAsia"/>
                <w:sz w:val="18"/>
                <w:szCs w:val="18"/>
              </w:rPr>
              <w:t>。</w:t>
            </w:r>
          </w:p>
          <w:p w14:paraId="6D67FE1F">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14:paraId="089C1233">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r>
              <w:rPr>
                <w:rFonts w:hint="eastAsia" w:ascii="宋体" w:hAnsi="宋体"/>
                <w:sz w:val="18"/>
              </w:rPr>
              <w:t>。</w:t>
            </w:r>
          </w:p>
          <w:p w14:paraId="5D82FB78">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14:paraId="621EA8C2">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14:paraId="67367CCB">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14:paraId="5CDD447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BD93CA5">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14:paraId="67CD2C1A">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14:paraId="273F532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DE840AB">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14:paraId="1CB3E011">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【2026年07月02日】（遇节假日顺延）</w:t>
            </w:r>
            <w:r>
              <w:rPr>
                <w:rFonts w:hint="eastAsia" w:asciiTheme="minorEastAsia" w:hAnsiTheme="minorEastAsia"/>
                <w:bCs/>
                <w:sz w:val="18"/>
                <w:szCs w:val="18"/>
              </w:rPr>
              <w:t>。</w:t>
            </w:r>
          </w:p>
          <w:p w14:paraId="7F356F0A">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14:paraId="0FD4530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A0C22FE">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14:paraId="6F16E387">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【2029年06月28日】（遇节假日顺延）</w:t>
            </w:r>
            <w:r>
              <w:rPr>
                <w:rFonts w:hint="eastAsia" w:asciiTheme="minorEastAsia" w:hAnsiTheme="minorEastAsia"/>
                <w:bCs/>
                <w:sz w:val="18"/>
                <w:szCs w:val="18"/>
              </w:rPr>
              <w:t>。</w:t>
            </w:r>
          </w:p>
          <w:p w14:paraId="534E9343">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14:paraId="16DB97A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D724BA2">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14:paraId="30803B50">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ascii="宋体" w:hAnsi="宋体" w:eastAsia="宋体" w:cs="宋体"/>
                <w:sz w:val="18"/>
              </w:rPr>
              <w:t>每笔购买起点金额为【1】元; 超出起点金额的部分以【0.01】元的整数倍递增。（适用【A】类份额)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超出起点金额的部分以【0.01】元的整数倍递增。（适用【B】类份额)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超出起点金额的部分以【0.01】元的整数倍递增。（适用【C】类份额)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超出起点金额的部分以【0.01】元的整数倍递增。（适用【D】类份额)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超出起点金额的部分以【0.01】元的整数倍递增。（适用【E】类份额)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超出起点金额的部分以【0.01】元的整数倍递增。（适用【F】类份额)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超出起点金额的部分以【0.01】元的整数倍递增。（适用【H】类份额)</w:t>
            </w:r>
          </w:p>
          <w:p w14:paraId="325AE63C">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14:paraId="2E61EFC0">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14:paraId="5327D017">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14:paraId="6E6D3A4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D1A92EC">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14:paraId="3B13D436">
            <w:pPr>
              <w:keepNext w:val="0"/>
              <w:keepLines w:val="0"/>
              <w:suppressLineNumbers w:val="0"/>
              <w:spacing w:before="0" w:beforeAutospacing="0" w:after="0" w:afterAutospacing="0" w:line="360" w:lineRule="auto"/>
              <w:ind w:left="0" w:right="0"/>
              <w:rPr>
                <w:rFonts w:hint="default" w:ascii="宋体" w:hAnsi="宋体" w:eastAsia="宋体" w:cs="宋体"/>
                <w:sz w:val="18"/>
              </w:rPr>
            </w:pPr>
            <w:r>
              <w:rPr>
                <w:rFonts w:ascii="宋体" w:hAnsi="宋体" w:eastAsia="宋体" w:cs="宋体"/>
                <w:sz w:val="18"/>
              </w:rPr>
              <w:t>认购的数量限制</w:t>
            </w:r>
            <w:r>
              <w:rPr>
                <w:rFonts w:ascii="宋体" w:hAnsi="宋体" w:eastAsia="宋体" w:cs="宋体"/>
                <w:sz w:val="18"/>
              </w:rPr>
              <w:br w:type="textWrapping"/>
            </w:r>
            <w:r>
              <w:rPr>
                <w:rFonts w:ascii="宋体" w:hAnsi="宋体" w:eastAsia="宋体" w:cs="宋体"/>
                <w:sz w:val="18"/>
              </w:rPr>
              <w:t>（1）单一投资者认购上限为【/】元。（适用【A】类份额)</w:t>
            </w:r>
            <w:r>
              <w:rPr>
                <w:rFonts w:ascii="宋体" w:hAnsi="宋体" w:eastAsia="宋体" w:cs="宋体"/>
                <w:sz w:val="18"/>
              </w:rPr>
              <w:br w:type="textWrapping"/>
            </w:r>
            <w:r>
              <w:rPr>
                <w:rFonts w:ascii="宋体" w:hAnsi="宋体" w:eastAsia="宋体" w:cs="宋体"/>
                <w:sz w:val="18"/>
              </w:rPr>
              <w:t xml:space="preserve">     单一投资者认购上限为【/】元。（适用【B】类份额)</w:t>
            </w:r>
            <w:r>
              <w:rPr>
                <w:rFonts w:ascii="宋体" w:hAnsi="宋体" w:eastAsia="宋体" w:cs="宋体"/>
                <w:sz w:val="18"/>
              </w:rPr>
              <w:br w:type="textWrapping"/>
            </w:r>
            <w:r>
              <w:rPr>
                <w:rFonts w:ascii="宋体" w:hAnsi="宋体" w:eastAsia="宋体" w:cs="宋体"/>
                <w:sz w:val="18"/>
              </w:rPr>
              <w:t xml:space="preserve">     单一投资者认购上限为【/】元。（适用【C】类份额)</w:t>
            </w:r>
            <w:r>
              <w:rPr>
                <w:rFonts w:ascii="宋体" w:hAnsi="宋体" w:eastAsia="宋体" w:cs="宋体"/>
                <w:sz w:val="18"/>
              </w:rPr>
              <w:br w:type="textWrapping"/>
            </w:r>
            <w:r>
              <w:rPr>
                <w:rFonts w:ascii="宋体" w:hAnsi="宋体" w:eastAsia="宋体" w:cs="宋体"/>
                <w:sz w:val="18"/>
              </w:rPr>
              <w:t xml:space="preserve">     单一投资者认购上限为【/】元。（适用【D】类份额)</w:t>
            </w:r>
            <w:r>
              <w:rPr>
                <w:rFonts w:ascii="宋体" w:hAnsi="宋体" w:eastAsia="宋体" w:cs="宋体"/>
                <w:sz w:val="18"/>
              </w:rPr>
              <w:br w:type="textWrapping"/>
            </w:r>
            <w:r>
              <w:rPr>
                <w:rFonts w:ascii="宋体" w:hAnsi="宋体" w:eastAsia="宋体" w:cs="宋体"/>
                <w:sz w:val="18"/>
              </w:rPr>
              <w:t xml:space="preserve">     单一投资者认购上限为【/】元。（适用【E】类份额)</w:t>
            </w:r>
            <w:r>
              <w:rPr>
                <w:rFonts w:ascii="宋体" w:hAnsi="宋体" w:eastAsia="宋体" w:cs="宋体"/>
                <w:sz w:val="18"/>
              </w:rPr>
              <w:br w:type="textWrapping"/>
            </w:r>
            <w:r>
              <w:rPr>
                <w:rFonts w:ascii="宋体" w:hAnsi="宋体" w:eastAsia="宋体" w:cs="宋体"/>
                <w:sz w:val="18"/>
              </w:rPr>
              <w:t xml:space="preserve">     单一投资者认购上限为【/】元。（适用【F】类份额)</w:t>
            </w:r>
            <w:r>
              <w:rPr>
                <w:rFonts w:ascii="宋体" w:hAnsi="宋体" w:eastAsia="宋体" w:cs="宋体"/>
                <w:sz w:val="18"/>
              </w:rPr>
              <w:br w:type="textWrapping"/>
            </w:r>
            <w:r>
              <w:rPr>
                <w:rFonts w:ascii="宋体" w:hAnsi="宋体" w:eastAsia="宋体" w:cs="宋体"/>
                <w:sz w:val="18"/>
              </w:rPr>
              <w:t xml:space="preserve">     单一投资者认购上限为【/】元。（适用【H】类份额)</w:t>
            </w:r>
            <w:r>
              <w:rPr>
                <w:rFonts w:ascii="宋体" w:hAnsi="宋体" w:eastAsia="宋体" w:cs="宋体"/>
                <w:sz w:val="18"/>
              </w:rPr>
              <w:br w:type="textWrapping"/>
            </w:r>
            <w:r>
              <w:rPr>
                <w:rFonts w:ascii="宋体" w:hAnsi="宋体" w:eastAsia="宋体" w:cs="宋体"/>
                <w:sz w:val="18"/>
              </w:rPr>
              <w:t>（2）产品存续期间，单一投资者最高持有份额上限为【/】份，符合产品管理人流动性管理的稳定资金除外。（适用【A】类份额)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产品存续期间，单一投资者最高持有份额上限为【/】份，符合产品管理人流动性管理的稳定资金除外。（适用【B】类份额)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产品存续期间，单一投资者最高持有份额上限为【/】份，符合产品管理人流动性管理的稳定资金除外。（适用【C】类份额)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产品存续期间，单一投资者最高持有份额上限为【/】份，符合产品管理人流动性管理的稳定资金除外。（适用【D】类份额)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产品存续期间，单一投资者最高持有份额上限为【/】份，符合产品管理人流动性管理的稳定资金除外。（适用【E】类份额)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产品存续期间，单一投资者最高持有份额上限为【/】份，符合产品管理人流动性管理的稳定资金除外。（适用【F】类份额)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产品存续期间，单一投资者最高持有份额上限为【/】份，符合产品管理人流动性管理的稳定资金除外。（适用【H】类份额)</w:t>
            </w:r>
          </w:p>
          <w:p w14:paraId="18F7BAFE">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Theme="minorEastAsia" w:hAnsiTheme="minorEastAsia" w:eastAsiaTheme="minorEastAsia"/>
                <w:color w:val="auto"/>
                <w:sz w:val="18"/>
                <w:szCs w:val="18"/>
              </w:rPr>
              <w:t xml:space="preserve">如需突破上限，请与产品管理人或销售机构客户经理联系。 </w:t>
            </w:r>
          </w:p>
          <w:p w14:paraId="1BEFDB8B">
            <w:pPr>
              <w:spacing w:line="360" w:lineRule="auto"/>
              <w:rPr>
                <w:rFonts w:asciiTheme="minorEastAsia" w:hAnsiTheme="minorEastAsia" w:eastAsiaTheme="minorEastAsia"/>
                <w:sz w:val="18"/>
                <w:szCs w:val="18"/>
              </w:rPr>
            </w:pPr>
            <w:r>
              <w:rPr>
                <w:rFonts w:ascii="黑体" w:hAnsi="黑体" w:eastAsia="黑体" w:cs="黑体"/>
                <w:sz w:val="18"/>
              </w:rPr>
              <w:t>注：本产品单一投资者持有份额不得超过产品总份额50%。</w:t>
            </w:r>
            <w:r>
              <w:rPr>
                <w:rFonts w:ascii="黑体" w:hAnsi="黑体" w:eastAsia="黑体" w:cs="黑体"/>
                <w:sz w:val="18"/>
              </w:rPr>
              <w:br w:type="textWrapping"/>
            </w:r>
            <w:r>
              <w:rPr>
                <w:rFonts w:ascii="黑体" w:hAnsi="黑体" w:eastAsia="黑体" w:cs="黑体"/>
                <w:sz w:val="18"/>
              </w:rPr>
              <w:t>（1）投资者认购或申购确认后可能导致其持有份额超过产品总份额50%的，管理人有权拒绝或暂停认购、申购。</w:t>
            </w:r>
            <w:r>
              <w:rPr>
                <w:rFonts w:ascii="黑体" w:hAnsi="黑体" w:eastAsia="黑体" w:cs="黑体"/>
                <w:sz w:val="18"/>
              </w:rPr>
              <w:br w:type="textWrapping"/>
            </w:r>
            <w:r>
              <w:rPr>
                <w:rFonts w:ascii="黑体" w:hAnsi="黑体" w:eastAsia="黑体" w:cs="黑体"/>
                <w:sz w:val="18"/>
              </w:rPr>
              <w:t>（2）非因管理人主观因素导致突破该比例限制的，在单一投资者持有比例降至50%以下之前，管理人不再接受该投资者对本产品的认购、申购申请。</w:t>
            </w:r>
          </w:p>
        </w:tc>
      </w:tr>
      <w:tr w14:paraId="1F0DFED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675D046">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14:paraId="21DEDE26">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14:paraId="03F4BCE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4890A30">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14:paraId="6952145B">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14:paraId="5DC99D5E">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14:paraId="2E641898">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p w14:paraId="41A3DF89">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14:paraId="680F649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08028EE6">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14:paraId="649171A3">
            <w:pPr>
              <w:keepNext w:val="0"/>
              <w:keepLines w:val="0"/>
              <w:suppressLineNumbers w:val="0"/>
              <w:autoSpaceDE w:val="0"/>
              <w:autoSpaceDN w:val="0"/>
              <w:adjustRightInd w:val="0"/>
              <w:spacing w:before="0" w:beforeAutospacing="0" w:after="0" w:afterAutospacing="0" w:line="360" w:lineRule="auto"/>
              <w:ind w:left="0" w:right="0"/>
              <w:jc w:val="left"/>
              <w:rPr>
                <w:rFonts w:hint="eastAsia" w:asciiTheme="majorEastAsia" w:hAnsiTheme="majorEastAsia" w:eastAsiaTheme="majorEastAsia"/>
                <w:bCs/>
                <w:kern w:val="0"/>
                <w:sz w:val="18"/>
                <w:szCs w:val="18"/>
              </w:rPr>
            </w:pPr>
            <w:r>
              <w:rPr>
                <w:rFonts w:ascii="宋体" w:hAnsi="宋体" w:eastAsia="宋体" w:cs="宋体"/>
                <w:sz w:val="18"/>
              </w:rPr>
              <w:t>1.业绩比较基准的设置</w:t>
            </w:r>
            <w:r>
              <w:rPr>
                <w:rFonts w:ascii="宋体" w:hAnsi="宋体" w:eastAsia="宋体" w:cs="宋体"/>
                <w:sz w:val="18"/>
              </w:rPr>
              <w:br w:type="textWrapping"/>
            </w:r>
            <w:r>
              <w:rPr>
                <w:rFonts w:ascii="宋体" w:hAnsi="宋体" w:eastAsia="宋体" w:cs="宋体"/>
                <w:sz w:val="18"/>
              </w:rPr>
              <w:t>■ 产品管理人设置业绩比较基准。</w:t>
            </w:r>
            <w:r>
              <w:rPr>
                <w:rFonts w:ascii="宋体" w:hAnsi="宋体" w:eastAsia="宋体" w:cs="宋体"/>
                <w:sz w:val="18"/>
              </w:rPr>
              <w:br w:type="textWrapping"/>
            </w:r>
            <w:r>
              <w:rPr>
                <w:rFonts w:ascii="宋体" w:hAnsi="宋体" w:eastAsia="宋体" w:cs="宋体"/>
                <w:sz w:val="18"/>
              </w:rPr>
              <w:t>（1）业绩比较基准的说明：【以一年期定期存款利率为无风险利率，基于当前对未来市场的判断，根据拟投资债权类资产的信用利差、久期敞口以及流动性溢价，预判组合的波动幅度，设定业绩比较基准】。</w:t>
            </w:r>
            <w:r>
              <w:rPr>
                <w:rFonts w:ascii="宋体" w:hAnsi="宋体" w:eastAsia="宋体" w:cs="宋体"/>
                <w:sz w:val="18"/>
              </w:rPr>
              <w:br w:type="textWrapping"/>
            </w:r>
            <w:r>
              <w:rPr>
                <w:rFonts w:ascii="宋体" w:hAnsi="宋体" w:eastAsia="宋体" w:cs="宋体"/>
                <w:sz w:val="18"/>
              </w:rPr>
              <w:t>（2）业绩比较基准的设定：管理人对本产品设定业绩比较基准：</w:t>
            </w:r>
            <w:r>
              <w:rPr>
                <w:rFonts w:ascii="宋体" w:hAnsi="宋体" w:eastAsia="宋体" w:cs="宋体"/>
                <w:sz w:val="18"/>
              </w:rPr>
              <w:br w:type="textWrapping"/>
            </w:r>
            <w:r>
              <w:rPr>
                <w:rFonts w:ascii="宋体" w:hAnsi="宋体" w:eastAsia="宋体" w:cs="宋体"/>
                <w:sz w:val="18"/>
              </w:rPr>
              <w:t>年化【2.9%-3.4%】。（适用【A】类份额)</w:t>
            </w:r>
            <w:r>
              <w:rPr>
                <w:rFonts w:ascii="宋体" w:hAnsi="宋体" w:eastAsia="宋体" w:cs="宋体"/>
                <w:sz w:val="18"/>
              </w:rPr>
              <w:br w:type="textWrapping"/>
            </w:r>
            <w:r>
              <w:rPr>
                <w:rFonts w:ascii="宋体" w:hAnsi="宋体" w:eastAsia="宋体" w:cs="宋体"/>
                <w:sz w:val="18"/>
              </w:rPr>
              <w:t>年化【2.85%-3.35%】。（适用【B】类份额)</w:t>
            </w:r>
            <w:r>
              <w:rPr>
                <w:rFonts w:ascii="宋体" w:hAnsi="宋体" w:eastAsia="宋体" w:cs="宋体"/>
                <w:sz w:val="18"/>
              </w:rPr>
              <w:br w:type="textWrapping"/>
            </w:r>
            <w:r>
              <w:rPr>
                <w:rFonts w:ascii="宋体" w:hAnsi="宋体" w:eastAsia="宋体" w:cs="宋体"/>
                <w:sz w:val="18"/>
              </w:rPr>
              <w:t>年化【2.8%-3.3%】。（适用【C】类份额)</w:t>
            </w:r>
            <w:r>
              <w:rPr>
                <w:rFonts w:ascii="宋体" w:hAnsi="宋体" w:eastAsia="宋体" w:cs="宋体"/>
                <w:sz w:val="18"/>
              </w:rPr>
              <w:br w:type="textWrapping"/>
            </w:r>
            <w:r>
              <w:rPr>
                <w:rFonts w:ascii="宋体" w:hAnsi="宋体" w:eastAsia="宋体" w:cs="宋体"/>
                <w:sz w:val="18"/>
              </w:rPr>
              <w:t>年化【2.75%-3.25%】。（适用【D】类份额)</w:t>
            </w:r>
            <w:r>
              <w:rPr>
                <w:rFonts w:ascii="宋体" w:hAnsi="宋体" w:eastAsia="宋体" w:cs="宋体"/>
                <w:sz w:val="18"/>
              </w:rPr>
              <w:br w:type="textWrapping"/>
            </w:r>
            <w:r>
              <w:rPr>
                <w:rFonts w:ascii="宋体" w:hAnsi="宋体" w:eastAsia="宋体" w:cs="宋体"/>
                <w:sz w:val="18"/>
              </w:rPr>
              <w:t>年化【2.65%-3.15%】。（适用【E】类份额)</w:t>
            </w:r>
            <w:r>
              <w:rPr>
                <w:rFonts w:ascii="宋体" w:hAnsi="宋体" w:eastAsia="宋体" w:cs="宋体"/>
                <w:sz w:val="18"/>
              </w:rPr>
              <w:br w:type="textWrapping"/>
            </w:r>
            <w:r>
              <w:rPr>
                <w:rFonts w:ascii="宋体" w:hAnsi="宋体" w:eastAsia="宋体" w:cs="宋体"/>
                <w:sz w:val="18"/>
              </w:rPr>
              <w:t>年化【2.55%-3.05%】。（适用【F】类份额)</w:t>
            </w:r>
            <w:r>
              <w:rPr>
                <w:rFonts w:ascii="宋体" w:hAnsi="宋体" w:eastAsia="宋体" w:cs="宋体"/>
                <w:sz w:val="18"/>
              </w:rPr>
              <w:br w:type="textWrapping"/>
            </w:r>
            <w:r>
              <w:rPr>
                <w:rFonts w:ascii="宋体" w:hAnsi="宋体" w:eastAsia="宋体" w:cs="宋体"/>
                <w:sz w:val="18"/>
              </w:rPr>
              <w:t>年化【2.45%-2.95%】。（适用【H】类份额)</w:t>
            </w:r>
            <w:r>
              <w:rPr>
                <w:rFonts w:ascii="宋体" w:hAnsi="宋体" w:eastAsia="宋体" w:cs="宋体"/>
                <w:sz w:val="18"/>
              </w:rPr>
              <w:br w:type="textWrapping"/>
            </w:r>
            <w:r>
              <w:rPr>
                <w:rFonts w:ascii="宋体" w:hAnsi="宋体" w:eastAsia="宋体" w:cs="宋体"/>
                <w:sz w:val="18"/>
              </w:rPr>
              <w:t>□ 产品管理人不设置业绩比较基准。</w:t>
            </w:r>
          </w:p>
          <w:p w14:paraId="4BC6377D">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14:paraId="29D59735">
            <w:pPr>
              <w:spacing w:line="360" w:lineRule="auto"/>
              <w:jc w:val="left"/>
              <w:rPr>
                <w:rFonts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14:paraId="55C90AC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0C8EC333">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14:paraId="3861C115">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18"/>
                <w:szCs w:val="18"/>
              </w:rPr>
            </w:pPr>
            <w:r>
              <w:rPr>
                <w:rFonts w:ascii="宋体" w:hAnsi="宋体" w:eastAsia="宋体" w:cs="宋体"/>
                <w:sz w:val="18"/>
              </w:rPr>
              <w:t>1.业绩报酬计提基准的设置</w:t>
            </w:r>
            <w:r>
              <w:rPr>
                <w:rFonts w:ascii="宋体" w:hAnsi="宋体" w:eastAsia="宋体" w:cs="宋体"/>
                <w:sz w:val="18"/>
              </w:rPr>
              <w:br w:type="textWrapping"/>
            </w:r>
            <w:r>
              <w:rPr>
                <w:rFonts w:ascii="宋体" w:hAnsi="宋体" w:eastAsia="宋体" w:cs="宋体"/>
                <w:sz w:val="18"/>
              </w:rPr>
              <w:t>■ 产品管理人设置业绩报酬计提基准。</w:t>
            </w:r>
            <w:r>
              <w:rPr>
                <w:rFonts w:ascii="宋体" w:hAnsi="宋体" w:eastAsia="宋体" w:cs="宋体"/>
                <w:sz w:val="18"/>
              </w:rPr>
              <w:br w:type="textWrapping"/>
            </w:r>
            <w:r>
              <w:rPr>
                <w:rFonts w:ascii="宋体" w:hAnsi="宋体" w:eastAsia="宋体" w:cs="宋体"/>
                <w:sz w:val="18"/>
              </w:rPr>
              <w:t>业绩报酬计提基准的设定：管理人对本产品设定业绩报酬计提基准：</w:t>
            </w:r>
            <w:r>
              <w:rPr>
                <w:rFonts w:ascii="宋体" w:hAnsi="宋体" w:eastAsia="宋体" w:cs="宋体"/>
                <w:sz w:val="18"/>
              </w:rPr>
              <w:br w:type="textWrapping"/>
            </w:r>
            <w:r>
              <w:rPr>
                <w:rFonts w:ascii="宋体" w:hAnsi="宋体" w:eastAsia="宋体" w:cs="宋体"/>
                <w:sz w:val="18"/>
              </w:rPr>
              <w:t>年化【3.15%】。（适用【A】类份额)</w:t>
            </w:r>
            <w:r>
              <w:rPr>
                <w:rFonts w:ascii="宋体" w:hAnsi="宋体" w:eastAsia="宋体" w:cs="宋体"/>
                <w:sz w:val="18"/>
              </w:rPr>
              <w:br w:type="textWrapping"/>
            </w:r>
            <w:r>
              <w:rPr>
                <w:rFonts w:ascii="宋体" w:hAnsi="宋体" w:eastAsia="宋体" w:cs="宋体"/>
                <w:sz w:val="18"/>
              </w:rPr>
              <w:t>年化【3.1%】。（适用【B】类份额)</w:t>
            </w:r>
            <w:r>
              <w:rPr>
                <w:rFonts w:ascii="宋体" w:hAnsi="宋体" w:eastAsia="宋体" w:cs="宋体"/>
                <w:sz w:val="18"/>
              </w:rPr>
              <w:br w:type="textWrapping"/>
            </w:r>
            <w:r>
              <w:rPr>
                <w:rFonts w:ascii="宋体" w:hAnsi="宋体" w:eastAsia="宋体" w:cs="宋体"/>
                <w:sz w:val="18"/>
              </w:rPr>
              <w:t>年化【3.05%】。（适用【C】类份额)</w:t>
            </w:r>
            <w:r>
              <w:rPr>
                <w:rFonts w:ascii="宋体" w:hAnsi="宋体" w:eastAsia="宋体" w:cs="宋体"/>
                <w:sz w:val="18"/>
              </w:rPr>
              <w:br w:type="textWrapping"/>
            </w:r>
            <w:r>
              <w:rPr>
                <w:rFonts w:ascii="宋体" w:hAnsi="宋体" w:eastAsia="宋体" w:cs="宋体"/>
                <w:sz w:val="18"/>
              </w:rPr>
              <w:t>年化【3%】。（适用【D】类份额)</w:t>
            </w:r>
            <w:r>
              <w:rPr>
                <w:rFonts w:ascii="宋体" w:hAnsi="宋体" w:eastAsia="宋体" w:cs="宋体"/>
                <w:sz w:val="18"/>
              </w:rPr>
              <w:br w:type="textWrapping"/>
            </w:r>
            <w:r>
              <w:rPr>
                <w:rFonts w:ascii="宋体" w:hAnsi="宋体" w:eastAsia="宋体" w:cs="宋体"/>
                <w:sz w:val="18"/>
              </w:rPr>
              <w:t>年化【2.9%】。（适用【E】类份额)</w:t>
            </w:r>
            <w:r>
              <w:rPr>
                <w:rFonts w:ascii="宋体" w:hAnsi="宋体" w:eastAsia="宋体" w:cs="宋体"/>
                <w:sz w:val="18"/>
              </w:rPr>
              <w:br w:type="textWrapping"/>
            </w:r>
            <w:r>
              <w:rPr>
                <w:rFonts w:ascii="宋体" w:hAnsi="宋体" w:eastAsia="宋体" w:cs="宋体"/>
                <w:sz w:val="18"/>
              </w:rPr>
              <w:t>年化【2.8%】。（适用【F】类份额)</w:t>
            </w:r>
            <w:r>
              <w:rPr>
                <w:rFonts w:ascii="宋体" w:hAnsi="宋体" w:eastAsia="宋体" w:cs="宋体"/>
                <w:sz w:val="18"/>
              </w:rPr>
              <w:br w:type="textWrapping"/>
            </w:r>
            <w:r>
              <w:rPr>
                <w:rFonts w:ascii="宋体" w:hAnsi="宋体" w:eastAsia="宋体" w:cs="宋体"/>
                <w:sz w:val="18"/>
              </w:rPr>
              <w:t>年化【2.7%】。（适用【H】类份额)</w:t>
            </w:r>
            <w:r>
              <w:rPr>
                <w:rFonts w:ascii="宋体" w:hAnsi="宋体" w:eastAsia="宋体" w:cs="宋体"/>
                <w:sz w:val="18"/>
              </w:rPr>
              <w:br w:type="textWrapping"/>
            </w:r>
            <w:r>
              <w:rPr>
                <w:rFonts w:ascii="宋体" w:hAnsi="宋体" w:eastAsia="宋体" w:cs="宋体"/>
                <w:sz w:val="18"/>
              </w:rPr>
              <w:t>□ 产品管理人不设置业绩报酬计提基准。</w:t>
            </w:r>
          </w:p>
          <w:p w14:paraId="482B3990">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14:paraId="355E9DFA">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14:paraId="1DB78AFC">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14:paraId="12FE969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71D7D5DF">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14:paraId="35786673">
            <w:pPr>
              <w:spacing w:line="360" w:lineRule="auto"/>
              <w:jc w:val="left"/>
              <w:rPr>
                <w:rFonts w:hint="eastAsia" w:hAnsi="宋体"/>
                <w:bCs/>
                <w:sz w:val="18"/>
                <w:szCs w:val="18"/>
              </w:rPr>
            </w:pPr>
            <w:r>
              <w:rPr>
                <w:rFonts w:hint="eastAsia" w:hAnsi="宋体"/>
                <w:bCs/>
                <w:sz w:val="18"/>
                <w:szCs w:val="18"/>
              </w:rPr>
              <w:t>1.自产品成立日后【第十二个月】，产品管理人有权进行首次理财利益的分配，其后每隔【十二个月】产品管理人有权进行理财利益的分配。若分配基准日投资收益实际表现所折算的年化收益率超过【2.00】%（不含），则产品管理人有权视理财产品收益情况，在分配日主动先行向投资者分配相关收益，分配收益所折算的年化收益率不超过【2.00】%，且分配后产品份额净值不低于【1.01】，分配后有剩余收益的，仍留存在理财产品中。相应分配基准日、分配方案由管理人及时披露。</w:t>
            </w:r>
          </w:p>
          <w:p w14:paraId="3B142E2D">
            <w:pPr>
              <w:spacing w:line="360" w:lineRule="auto"/>
              <w:jc w:val="left"/>
              <w:rPr>
                <w:rFonts w:hAnsi="宋体"/>
                <w:bCs/>
                <w:sz w:val="18"/>
                <w:szCs w:val="18"/>
              </w:rPr>
            </w:pPr>
            <w:r>
              <w:rPr>
                <w:rFonts w:hint="eastAsia" w:hAnsi="宋体"/>
                <w:bCs/>
                <w:sz w:val="18"/>
                <w:szCs w:val="18"/>
              </w:rPr>
              <w:t>2.具体理财产品利益分配详见《产品说明书》“第八条 理财产品的利益分配”。</w:t>
            </w:r>
            <w:bookmarkStart w:id="156" w:name="_GoBack"/>
            <w:bookmarkEnd w:id="156"/>
          </w:p>
        </w:tc>
      </w:tr>
      <w:tr w14:paraId="4CE1588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69AEDF5">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14:paraId="20575BE2">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ascii="黑体" w:hAnsi="黑体" w:eastAsia="黑体" w:cs="黑体"/>
                <w:sz w:val="18"/>
              </w:rPr>
              <w:t>1.理财产品的费率标准</w:t>
            </w:r>
            <w:r>
              <w:rPr>
                <w:rFonts w:ascii="黑体" w:hAnsi="黑体" w:eastAsia="黑体" w:cs="黑体"/>
                <w:sz w:val="18"/>
              </w:rPr>
              <w:br w:type="textWrapping"/>
            </w:r>
            <w:r>
              <w:rPr>
                <w:rFonts w:ascii="黑体" w:hAnsi="黑体" w:eastAsia="黑体" w:cs="黑体"/>
                <w:sz w:val="18"/>
              </w:rPr>
              <w:t>（1）认购费：</w:t>
            </w:r>
            <w:r>
              <w:rPr>
                <w:rFonts w:ascii="黑体" w:hAnsi="黑体" w:eastAsia="黑体" w:cs="黑体"/>
                <w:sz w:val="18"/>
              </w:rPr>
              <w:br w:type="textWrapping"/>
            </w:r>
            <w:r>
              <w:rPr>
                <w:rFonts w:ascii="黑体" w:hAnsi="黑体" w:eastAsia="黑体" w:cs="黑体"/>
                <w:sz w:val="18"/>
              </w:rPr>
              <w:t>【/】。（适用【A】类份额）</w:t>
            </w:r>
            <w:r>
              <w:rPr>
                <w:rFonts w:ascii="黑体" w:hAnsi="黑体" w:eastAsia="黑体" w:cs="黑体"/>
                <w:sz w:val="18"/>
              </w:rPr>
              <w:br w:type="textWrapping"/>
            </w:r>
            <w:r>
              <w:rPr>
                <w:rFonts w:ascii="黑体" w:hAnsi="黑体" w:eastAsia="黑体" w:cs="黑体"/>
                <w:sz w:val="18"/>
              </w:rPr>
              <w:t>【/】。（适用【B】类份额）</w:t>
            </w:r>
            <w:r>
              <w:rPr>
                <w:rFonts w:ascii="黑体" w:hAnsi="黑体" w:eastAsia="黑体" w:cs="黑体"/>
                <w:sz w:val="18"/>
              </w:rPr>
              <w:br w:type="textWrapping"/>
            </w:r>
            <w:r>
              <w:rPr>
                <w:rFonts w:ascii="黑体" w:hAnsi="黑体" w:eastAsia="黑体" w:cs="黑体"/>
                <w:sz w:val="18"/>
              </w:rPr>
              <w:t>【/】。（适用【C】类份额）</w:t>
            </w:r>
            <w:r>
              <w:rPr>
                <w:rFonts w:ascii="黑体" w:hAnsi="黑体" w:eastAsia="黑体" w:cs="黑体"/>
                <w:sz w:val="18"/>
              </w:rPr>
              <w:br w:type="textWrapping"/>
            </w:r>
            <w:r>
              <w:rPr>
                <w:rFonts w:ascii="黑体" w:hAnsi="黑体" w:eastAsia="黑体" w:cs="黑体"/>
                <w:sz w:val="18"/>
              </w:rPr>
              <w:t>【/】。（适用【D】类份额）</w:t>
            </w:r>
            <w:r>
              <w:rPr>
                <w:rFonts w:ascii="黑体" w:hAnsi="黑体" w:eastAsia="黑体" w:cs="黑体"/>
                <w:sz w:val="18"/>
              </w:rPr>
              <w:br w:type="textWrapping"/>
            </w:r>
            <w:r>
              <w:rPr>
                <w:rFonts w:ascii="黑体" w:hAnsi="黑体" w:eastAsia="黑体" w:cs="黑体"/>
                <w:sz w:val="18"/>
              </w:rPr>
              <w:t>【/】。（适用【E】类份额）</w:t>
            </w:r>
            <w:r>
              <w:rPr>
                <w:rFonts w:ascii="黑体" w:hAnsi="黑体" w:eastAsia="黑体" w:cs="黑体"/>
                <w:sz w:val="18"/>
              </w:rPr>
              <w:br w:type="textWrapping"/>
            </w:r>
            <w:r>
              <w:rPr>
                <w:rFonts w:ascii="黑体" w:hAnsi="黑体" w:eastAsia="黑体" w:cs="黑体"/>
                <w:sz w:val="18"/>
              </w:rPr>
              <w:t>【/】。（适用【F】类份额）</w:t>
            </w:r>
            <w:r>
              <w:rPr>
                <w:rFonts w:ascii="黑体" w:hAnsi="黑体" w:eastAsia="黑体" w:cs="黑体"/>
                <w:sz w:val="18"/>
              </w:rPr>
              <w:br w:type="textWrapping"/>
            </w:r>
            <w:r>
              <w:rPr>
                <w:rFonts w:ascii="黑体" w:hAnsi="黑体" w:eastAsia="黑体" w:cs="黑体"/>
                <w:sz w:val="18"/>
              </w:rPr>
              <w:t>【/】。（适用【H】类份额）</w:t>
            </w:r>
            <w:r>
              <w:rPr>
                <w:rFonts w:ascii="黑体" w:hAnsi="黑体" w:eastAsia="黑体" w:cs="黑体"/>
                <w:sz w:val="18"/>
              </w:rPr>
              <w:br w:type="textWrapping"/>
            </w:r>
            <w:r>
              <w:rPr>
                <w:rFonts w:ascii="黑体" w:hAnsi="黑体" w:eastAsia="黑体" w:cs="黑体"/>
                <w:sz w:val="18"/>
              </w:rPr>
              <w:t>（2）销售服务费：</w:t>
            </w:r>
            <w:r>
              <w:rPr>
                <w:rFonts w:ascii="黑体" w:hAnsi="黑体" w:eastAsia="黑体" w:cs="黑体"/>
                <w:sz w:val="18"/>
              </w:rPr>
              <w:br w:type="textWrapping"/>
            </w:r>
            <w:r>
              <w:rPr>
                <w:rFonts w:ascii="黑体" w:hAnsi="黑体" w:eastAsia="黑体" w:cs="黑体"/>
                <w:sz w:val="18"/>
              </w:rPr>
              <w:t>年化费率【0.05%】。（适用【A】类份额）</w:t>
            </w:r>
            <w:r>
              <w:rPr>
                <w:rFonts w:ascii="黑体" w:hAnsi="黑体" w:eastAsia="黑体" w:cs="黑体"/>
                <w:sz w:val="18"/>
              </w:rPr>
              <w:br w:type="textWrapping"/>
            </w:r>
            <w:r>
              <w:rPr>
                <w:rFonts w:ascii="黑体" w:hAnsi="黑体" w:eastAsia="黑体" w:cs="黑体"/>
                <w:sz w:val="18"/>
              </w:rPr>
              <w:t>年化费率【0.1%】。（适用【B】类份额）</w:t>
            </w:r>
            <w:r>
              <w:rPr>
                <w:rFonts w:ascii="黑体" w:hAnsi="黑体" w:eastAsia="黑体" w:cs="黑体"/>
                <w:sz w:val="18"/>
              </w:rPr>
              <w:br w:type="textWrapping"/>
            </w:r>
            <w:r>
              <w:rPr>
                <w:rFonts w:ascii="黑体" w:hAnsi="黑体" w:eastAsia="黑体" w:cs="黑体"/>
                <w:sz w:val="18"/>
              </w:rPr>
              <w:t>年化费率【0.15%】。（适用【C】类份额）</w:t>
            </w:r>
            <w:r>
              <w:rPr>
                <w:rFonts w:ascii="黑体" w:hAnsi="黑体" w:eastAsia="黑体" w:cs="黑体"/>
                <w:sz w:val="18"/>
              </w:rPr>
              <w:br w:type="textWrapping"/>
            </w:r>
            <w:r>
              <w:rPr>
                <w:rFonts w:ascii="黑体" w:hAnsi="黑体" w:eastAsia="黑体" w:cs="黑体"/>
                <w:sz w:val="18"/>
              </w:rPr>
              <w:t>年化费率【0.2%】。（适用【D】类份额）</w:t>
            </w:r>
            <w:r>
              <w:rPr>
                <w:rFonts w:ascii="黑体" w:hAnsi="黑体" w:eastAsia="黑体" w:cs="黑体"/>
                <w:sz w:val="18"/>
              </w:rPr>
              <w:br w:type="textWrapping"/>
            </w:r>
            <w:r>
              <w:rPr>
                <w:rFonts w:ascii="黑体" w:hAnsi="黑体" w:eastAsia="黑体" w:cs="黑体"/>
                <w:sz w:val="18"/>
              </w:rPr>
              <w:t>年化费率【0.3%】。（适用【E】类份额）</w:t>
            </w:r>
            <w:r>
              <w:rPr>
                <w:rFonts w:ascii="黑体" w:hAnsi="黑体" w:eastAsia="黑体" w:cs="黑体"/>
                <w:sz w:val="18"/>
              </w:rPr>
              <w:br w:type="textWrapping"/>
            </w:r>
            <w:r>
              <w:rPr>
                <w:rFonts w:ascii="黑体" w:hAnsi="黑体" w:eastAsia="黑体" w:cs="黑体"/>
                <w:sz w:val="18"/>
              </w:rPr>
              <w:t>年化费率【0.4%】。（适用【F】类份额）</w:t>
            </w:r>
            <w:r>
              <w:rPr>
                <w:rFonts w:ascii="黑体" w:hAnsi="黑体" w:eastAsia="黑体" w:cs="黑体"/>
                <w:sz w:val="18"/>
              </w:rPr>
              <w:br w:type="textWrapping"/>
            </w:r>
            <w:r>
              <w:rPr>
                <w:rFonts w:ascii="黑体" w:hAnsi="黑体" w:eastAsia="黑体" w:cs="黑体"/>
                <w:sz w:val="18"/>
              </w:rPr>
              <w:t>年化费率【0.5%】。（适用【H】类份额）</w:t>
            </w:r>
            <w:r>
              <w:rPr>
                <w:rFonts w:ascii="黑体" w:hAnsi="黑体" w:eastAsia="黑体" w:cs="黑体"/>
                <w:sz w:val="18"/>
              </w:rPr>
              <w:br w:type="textWrapping"/>
            </w:r>
            <w:r>
              <w:rPr>
                <w:rFonts w:ascii="黑体" w:hAnsi="黑体" w:eastAsia="黑体" w:cs="黑体"/>
                <w:sz w:val="18"/>
              </w:rPr>
              <w:t>（3）投资管理费：年化费率【0.1%】</w:t>
            </w:r>
            <w:r>
              <w:rPr>
                <w:rFonts w:ascii="黑体" w:hAnsi="黑体" w:eastAsia="黑体" w:cs="黑体"/>
                <w:sz w:val="18"/>
              </w:rPr>
              <w:br w:type="textWrapping"/>
            </w:r>
            <w:r>
              <w:rPr>
                <w:rFonts w:ascii="黑体" w:hAnsi="黑体" w:eastAsia="黑体" w:cs="黑体"/>
                <w:sz w:val="18"/>
              </w:rPr>
              <w:t>（4）产品托管费：年化费率【0.02%】</w:t>
            </w:r>
            <w:r>
              <w:rPr>
                <w:rFonts w:ascii="黑体" w:hAnsi="黑体" w:eastAsia="黑体" w:cs="黑体"/>
                <w:sz w:val="18"/>
              </w:rPr>
              <w:br w:type="textWrapping"/>
            </w:r>
            <w:r>
              <w:rPr>
                <w:rFonts w:ascii="黑体" w:hAnsi="黑体" w:eastAsia="黑体" w:cs="黑体"/>
                <w:sz w:val="18"/>
              </w:rPr>
              <w:t>（5）超额业绩报酬：</w:t>
            </w:r>
            <w:r>
              <w:rPr>
                <w:rFonts w:ascii="黑体" w:hAnsi="黑体" w:eastAsia="黑体" w:cs="黑体"/>
                <w:sz w:val="18"/>
              </w:rPr>
              <w:br w:type="textWrapping"/>
            </w:r>
            <w:r>
              <w:rPr>
                <w:rFonts w:ascii="黑体" w:hAnsi="黑体" w:eastAsia="黑体" w:cs="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14:paraId="23A1F1F2">
            <w:pPr>
              <w:spacing w:line="360" w:lineRule="auto"/>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14:paraId="05E8D289">
            <w:pPr>
              <w:spacing w:line="360" w:lineRule="auto"/>
              <w:rPr>
                <w:rFonts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14:paraId="1B865F7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5FCF8ED">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14:paraId="42DBBDDE">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14:paraId="2888FFA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F9A4CCA">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14:paraId="35CB9E6F">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14:paraId="12D25C8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79E211E">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14:paraId="69063334">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14:paraId="48BAEBDB">
      <w:pPr>
        <w:pStyle w:val="34"/>
        <w:spacing w:line="360" w:lineRule="auto"/>
        <w:rPr>
          <w:rFonts w:hAnsi="宋体"/>
          <w:sz w:val="18"/>
          <w:szCs w:val="18"/>
        </w:rPr>
      </w:pPr>
    </w:p>
    <w:p w14:paraId="50C34B06">
      <w:pPr>
        <w:widowControl/>
        <w:spacing w:line="360" w:lineRule="auto"/>
        <w:jc w:val="left"/>
        <w:rPr>
          <w:rFonts w:ascii="宋体" w:hAnsi="宋体"/>
          <w:color w:val="000000"/>
          <w:kern w:val="0"/>
          <w:sz w:val="18"/>
          <w:szCs w:val="18"/>
        </w:rPr>
      </w:pPr>
      <w:r>
        <w:rPr>
          <w:rFonts w:hAnsi="宋体"/>
          <w:sz w:val="18"/>
          <w:szCs w:val="18"/>
        </w:rPr>
        <w:br w:type="page"/>
      </w:r>
    </w:p>
    <w:p w14:paraId="4B393FCB">
      <w:pPr>
        <w:pStyle w:val="2"/>
        <w:spacing w:before="0" w:after="0" w:line="360" w:lineRule="auto"/>
        <w:jc w:val="center"/>
        <w:rPr>
          <w:rFonts w:ascii="Times New Roman"/>
          <w:sz w:val="30"/>
        </w:rPr>
      </w:pPr>
      <w:bookmarkStart w:id="4" w:name="_Toc176189755"/>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14:paraId="2F3FEAB7">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14:paraId="01984346">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14:paraId="3B406A0C">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14:paraId="65E9A3A8">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14:paraId="1CE2C3B0">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14:paraId="5772869C">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14:paraId="51CA5CE6">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14:paraId="377FA92C">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14:paraId="1E04F19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2E7E1E12">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14:paraId="0ACC70B3">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14:paraId="69C4DA2D">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14:paraId="6C7ECF2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03446E3D">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14:paraId="032FF124">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14:paraId="02808FA1">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14:paraId="36D72ECF">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14:paraId="1F2BE77C">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14:paraId="35D2D6BE">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14:paraId="0193871B">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14:paraId="0A552C26">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14:paraId="7DF0D5DF">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14:paraId="0E0F7D5E">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14:paraId="1D0F65DF">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14:paraId="1BACE1D1">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14:paraId="24251DD1">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14:paraId="21B51310">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14:paraId="4635B184">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14:paraId="599ABDFC">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55552440">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14:paraId="7CDBE901">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2D61BBC9">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14:paraId="20A6F3CA">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p>
    <w:p w14:paraId="117DD522">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14:paraId="51A22BCE">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14:paraId="7EC9F2D3">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14:paraId="13DFDF64">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14:paraId="49DB02FC">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14:paraId="77F799A8">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14:paraId="22906CB4">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14:paraId="0101E67E">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14:paraId="3AC3E750">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14:paraId="4885EBBC">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14:paraId="79E1D16D">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14:paraId="7219C47D">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14:paraId="06D404D3">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14:paraId="0F635A2F">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14:paraId="18754F86">
      <w:pPr>
        <w:pStyle w:val="2"/>
        <w:spacing w:before="0" w:after="0" w:line="360" w:lineRule="auto"/>
        <w:jc w:val="center"/>
        <w:rPr>
          <w:rFonts w:ascii="Times New Roman"/>
          <w:sz w:val="30"/>
        </w:rPr>
      </w:pPr>
      <w:bookmarkStart w:id="9" w:name="_Toc176189756"/>
      <w:bookmarkStart w:id="10" w:name="_Toc4771"/>
      <w:bookmarkStart w:id="11" w:name="_Toc16265"/>
      <w:bookmarkStart w:id="12" w:name="_Toc27226"/>
      <w:bookmarkStart w:id="13" w:name="_Toc90742390"/>
      <w:bookmarkStart w:id="14" w:name="_Toc3266"/>
      <w:bookmarkStart w:id="15" w:name="_Toc29948"/>
      <w:bookmarkStart w:id="16" w:name="_Toc22074"/>
      <w:bookmarkStart w:id="17" w:name="_Toc74065741"/>
      <w:bookmarkStart w:id="18" w:name="_Toc29784"/>
      <w:bookmarkStart w:id="19" w:name="_Toc90742688"/>
      <w:bookmarkStart w:id="20" w:name="_Toc7151"/>
      <w:bookmarkStart w:id="21" w:name="_Toc90742321"/>
      <w:bookmarkStart w:id="22" w:name="_Toc15203"/>
      <w:bookmarkStart w:id="23" w:name="_Toc6714"/>
      <w:bookmarkStart w:id="24" w:name="_Toc79154668"/>
      <w:bookmarkStart w:id="25" w:name="_Toc27189"/>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14:paraId="0CE9DD0B">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14:paraId="6D7C6B46">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14:paraId="2FD37EE8">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D10CFA1">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14:paraId="29901EDE">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14:paraId="7D6DE8CC">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14:paraId="5478BAE4">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14:paraId="28D616FF">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14:paraId="34CBAB69">
      <w:pPr>
        <w:pStyle w:val="34"/>
        <w:spacing w:line="360" w:lineRule="auto"/>
        <w:ind w:firstLine="360" w:firstLineChars="200"/>
        <w:rPr>
          <w:rFonts w:hint="eastAsia" w:asciiTheme="majorEastAsia" w:hAnsiTheme="majorEastAsia" w:eastAsiaTheme="majorEastAsia"/>
          <w:bCs/>
          <w:color w:val="auto"/>
          <w:sz w:val="18"/>
          <w:szCs w:val="18"/>
          <w:lang w:eastAsia="zh-CN"/>
        </w:rPr>
      </w:pPr>
      <w:permStart w:id="15" w:edGrp="everyone"/>
      <w:r>
        <w:rPr>
          <w:rFonts w:ascii="宋体" w:hAnsi="宋体" w:eastAsia="宋体" w:cs="宋体"/>
          <w:sz w:val="18"/>
        </w:rPr>
        <w:t>【（1）银行存款、债券逆回购、货币基金等货币市场工具及其它银行间和交易所资金融通工具。</w:t>
      </w:r>
      <w:r>
        <w:rPr>
          <w:rFonts w:ascii="宋体" w:hAnsi="宋体" w:eastAsia="宋体" w:cs="宋体"/>
          <w:sz w:val="18"/>
        </w:rPr>
        <w:br w:type="textWrapping"/>
      </w:r>
      <w:r>
        <w:rPr>
          <w:rFonts w:ascii="宋体" w:hAnsi="宋体" w:eastAsia="宋体" w:cs="宋体"/>
          <w:sz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债券型公募证券投资基金，以及其他固定收益类投资工具等。</w:t>
      </w:r>
      <w:r>
        <w:rPr>
          <w:rFonts w:ascii="宋体" w:hAnsi="宋体" w:eastAsia="宋体" w:cs="宋体"/>
          <w:sz w:val="18"/>
        </w:rPr>
        <w:br w:type="textWrapping"/>
      </w:r>
      <w:r>
        <w:rPr>
          <w:rFonts w:ascii="宋体" w:hAnsi="宋体" w:eastAsia="宋体" w:cs="宋体"/>
          <w:sz w:val="18"/>
        </w:rPr>
        <w:t>（3）以套期保值为目的的国债期货、利率互换、信用风险缓释工具、债券借贷。</w:t>
      </w:r>
      <w:r>
        <w:rPr>
          <w:rFonts w:ascii="宋体" w:hAnsi="宋体" w:eastAsia="宋体" w:cs="宋体"/>
          <w:sz w:val="18"/>
        </w:rPr>
        <w:br w:type="textWrapping"/>
      </w:r>
      <w:r>
        <w:rPr>
          <w:rFonts w:ascii="宋体" w:hAnsi="宋体" w:eastAsia="宋体" w:cs="宋体"/>
          <w:sz w:val="18"/>
        </w:rPr>
        <w:t>（4）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ermEnd w:id="15"/>
    <w:p w14:paraId="40EBAEAE">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14:paraId="5F1755A4">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14:paraId="7038776F">
      <w:pPr>
        <w:pStyle w:val="34"/>
        <w:spacing w:line="360" w:lineRule="auto"/>
        <w:ind w:firstLine="360" w:firstLineChars="200"/>
        <w:jc w:val="both"/>
        <w:rPr>
          <w:rFonts w:hint="eastAsia" w:asciiTheme="majorEastAsia" w:hAnsiTheme="majorEastAsia" w:eastAsiaTheme="majorEastAsia"/>
          <w:bCs/>
          <w:sz w:val="18"/>
          <w:szCs w:val="18"/>
          <w:lang w:eastAsia="zh-CN"/>
        </w:rPr>
      </w:pPr>
      <w:permStart w:id="16" w:edGrp="everyone"/>
      <w:r>
        <w:rPr>
          <w:rFonts w:ascii="宋体" w:hAnsi="宋体" w:eastAsia="宋体" w:cs="宋体"/>
          <w:sz w:val="18"/>
        </w:rPr>
        <w:t>【（1）本产品投资于债权类资产的比例不低于产品总资产的90%。</w:t>
      </w:r>
      <w:r>
        <w:rPr>
          <w:rFonts w:ascii="宋体" w:hAnsi="宋体" w:eastAsia="宋体" w:cs="宋体"/>
          <w:sz w:val="18"/>
        </w:rPr>
        <w:br w:type="textWrapping"/>
      </w:r>
      <w:r>
        <w:rPr>
          <w:rFonts w:ascii="宋体" w:hAnsi="宋体" w:eastAsia="宋体" w:cs="宋体"/>
          <w:sz w:val="18"/>
        </w:rPr>
        <w:t>（2）国债期货、利率互换、信用风险缓释工具等衍生品占产品总资产比例低于5%。】</w:t>
      </w:r>
    </w:p>
    <w:p w14:paraId="74E70143">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14:paraId="1793ABD6">
      <w:pPr>
        <w:autoSpaceDE w:val="0"/>
        <w:autoSpaceDN w:val="0"/>
        <w:adjustRightInd w:val="0"/>
        <w:spacing w:line="360" w:lineRule="auto"/>
        <w:ind w:firstLine="361"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w:t>
      </w:r>
      <w:r>
        <w:rPr>
          <w:rFonts w:asciiTheme="majorEastAsia" w:hAnsiTheme="majorEastAsia" w:eastAsiaTheme="majorEastAsia"/>
          <w:b/>
          <w:bCs/>
          <w:sz w:val="18"/>
          <w:szCs w:val="18"/>
        </w:rPr>
        <w:t>50%以上。</w:t>
      </w:r>
    </w:p>
    <w:permEnd w:id="16"/>
    <w:p w14:paraId="7247FAD4">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14:paraId="05FF0CAD">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14:paraId="39DB9E37">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14:paraId="0F88B54E">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14:paraId="54C0D8AC">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14:paraId="65925A93">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14:paraId="67E9F46E">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14:paraId="4BB842BA">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14:paraId="62D51FAB">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14:paraId="164993CF">
      <w:pPr>
        <w:spacing w:line="360" w:lineRule="auto"/>
        <w:ind w:firstLine="360" w:firstLineChars="200"/>
        <w:rPr>
          <w:rFonts w:hint="eastAsia" w:asciiTheme="majorEastAsia" w:hAnsiTheme="majorEastAsia" w:eastAsiaTheme="majorEastAsia"/>
          <w:bCs/>
          <w:color w:val="auto"/>
          <w:sz w:val="18"/>
          <w:szCs w:val="18"/>
        </w:rPr>
      </w:pPr>
      <w:permStart w:id="18" w:edGrp="everyone"/>
      <w:r>
        <w:rPr>
          <w:rFonts w:ascii="宋体" w:hAnsi="宋体" w:eastAsia="宋体" w:cs="宋体"/>
          <w:sz w:val="18"/>
        </w:rPr>
        <w:t>（1）本产品投资单只证券或者单只公募证券投资基金的市值不得超过该理财产品净资产的10%。</w:t>
      </w:r>
      <w:r>
        <w:rPr>
          <w:rFonts w:ascii="宋体" w:hAnsi="宋体" w:eastAsia="宋体" w:cs="宋体"/>
          <w:sz w:val="18"/>
        </w:rPr>
        <w:br w:type="textWrapping"/>
      </w:r>
      <w:r>
        <w:rPr>
          <w:rFonts w:ascii="宋体" w:hAnsi="宋体" w:eastAsia="宋体" w:cs="宋体"/>
          <w:sz w:val="18"/>
        </w:rPr>
        <w:t>（2）本产品管理人全部公募理财产品持有单只证券或单只公募证券投资基金的市值，不得超过该证券市值或该公募证券投资基金市值的30%。</w:t>
      </w:r>
      <w:r>
        <w:rPr>
          <w:rFonts w:ascii="宋体" w:hAnsi="宋体" w:eastAsia="宋体" w:cs="宋体"/>
          <w:sz w:val="18"/>
        </w:rPr>
        <w:br w:type="textWrapping"/>
      </w:r>
      <w:r>
        <w:rPr>
          <w:rFonts w:ascii="宋体" w:hAnsi="宋体" w:eastAsia="宋体" w:cs="宋体"/>
          <w:sz w:val="18"/>
        </w:rPr>
        <w:t>（3）本产品管理人全部理财产品持有单一上市公司发行的股票，不得超过该上市公司可流通股票的30%。</w:t>
      </w:r>
      <w:r>
        <w:rPr>
          <w:rFonts w:ascii="宋体" w:hAnsi="宋体" w:eastAsia="宋体" w:cs="宋体"/>
          <w:sz w:val="18"/>
        </w:rPr>
        <w:br w:type="textWrapping"/>
      </w:r>
      <w:r>
        <w:rPr>
          <w:rFonts w:ascii="宋体" w:hAnsi="宋体" w:eastAsia="宋体" w:cs="宋体"/>
          <w:sz w:val="18"/>
        </w:rPr>
        <w:t>（4）本产品管理人全部开放式公募理财产品投资单一上市公司发行的股票不得超过该上市公司可流通股票的15%。</w:t>
      </w:r>
      <w:r>
        <w:rPr>
          <w:rFonts w:ascii="宋体" w:hAnsi="宋体" w:eastAsia="宋体" w:cs="宋体"/>
          <w:sz w:val="18"/>
        </w:rPr>
        <w:br w:type="textWrapping"/>
      </w:r>
      <w:r>
        <w:rPr>
          <w:rFonts w:ascii="宋体" w:hAnsi="宋体" w:eastAsia="宋体" w:cs="宋体"/>
          <w:sz w:val="18"/>
        </w:rPr>
        <w:t>（5）本产品因为流动性需要可开展存单质押、债券正回购等融资业务，本产品总资产不超过净资产的200%。</w:t>
      </w:r>
    </w:p>
    <w:p w14:paraId="536E4DF9">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14:paraId="20068E87">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14:paraId="6CCA44BE">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14:paraId="1FE67F41">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14:paraId="79528331">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14:paraId="4730475B">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14:paraId="720064C0">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14:paraId="5CBEA0CF">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14:paraId="2955C567">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14:paraId="3FF4E50B">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r>
        <w:rPr>
          <w:rFonts w:hint="eastAsia" w:asciiTheme="majorEastAsia" w:hAnsiTheme="majorEastAsia" w:eastAsiaTheme="majorEastAsia"/>
          <w:bCs/>
          <w:sz w:val="18"/>
          <w:szCs w:val="18"/>
        </w:rPr>
        <w:t>通过对经济基本面、企业盈利、无风险利率水平、资金面等因素进行定性和定量分析，根据产品的业绩目标和回撤目标制定各个阶段产品资产投资比例。</w:t>
      </w:r>
      <w:r>
        <w:rPr>
          <w:rFonts w:hint="eastAsia" w:asciiTheme="majorEastAsia" w:hAnsiTheme="majorEastAsia" w:eastAsiaTheme="majorEastAsia"/>
          <w:sz w:val="18"/>
          <w:szCs w:val="18"/>
        </w:rPr>
        <w:t>】</w:t>
      </w:r>
    </w:p>
    <w:permEnd w:id="19"/>
    <w:p w14:paraId="70F96145">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14:paraId="7E648C21">
      <w:pPr>
        <w:pStyle w:val="2"/>
        <w:spacing w:before="0" w:after="0" w:line="360" w:lineRule="auto"/>
        <w:jc w:val="center"/>
        <w:rPr>
          <w:rFonts w:ascii="Times New Roman"/>
          <w:sz w:val="30"/>
        </w:rPr>
      </w:pPr>
      <w:bookmarkStart w:id="27" w:name="_Toc17912"/>
      <w:bookmarkStart w:id="28" w:name="_Toc79154669"/>
      <w:bookmarkStart w:id="29" w:name="_Toc74065742"/>
      <w:bookmarkStart w:id="30" w:name="_Toc176189758"/>
      <w:bookmarkStart w:id="31" w:name="_Toc141703885"/>
      <w:bookmarkStart w:id="32" w:name="_Toc1823"/>
      <w:bookmarkStart w:id="33" w:name="_Toc18526"/>
      <w:bookmarkStart w:id="34" w:name="_Toc14893"/>
      <w:bookmarkStart w:id="35" w:name="_Toc18797"/>
      <w:bookmarkStart w:id="36" w:name="_Toc21988"/>
      <w:bookmarkStart w:id="37" w:name="_Toc26986"/>
      <w:bookmarkStart w:id="38" w:name="_Toc18329"/>
      <w:bookmarkStart w:id="39" w:name="_Toc7848"/>
      <w:bookmarkStart w:id="40" w:name="_Toc139991735"/>
      <w:bookmarkStart w:id="41" w:name="_Toc4741"/>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CD5F811">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14:paraId="7B1E156E">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14:paraId="4ECDE300">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14:paraId="56C0693C">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14:paraId="112AE5FA">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14:paraId="5F6CC17C">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14:paraId="5B9970BB">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14:paraId="4F4D40E5">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14:paraId="165E5927">
      <w:pPr>
        <w:pStyle w:val="2"/>
        <w:spacing w:before="0" w:after="0" w:line="360" w:lineRule="auto"/>
        <w:jc w:val="center"/>
        <w:rPr>
          <w:rFonts w:ascii="Times New Roman"/>
          <w:sz w:val="30"/>
        </w:rPr>
      </w:pPr>
      <w:bookmarkStart w:id="43" w:name="_Toc4003"/>
      <w:bookmarkStart w:id="44" w:name="_Toc10463"/>
      <w:bookmarkStart w:id="45" w:name="_Toc74065743"/>
      <w:bookmarkStart w:id="46" w:name="_Toc141703886"/>
      <w:bookmarkStart w:id="47" w:name="_Toc123102453"/>
      <w:bookmarkStart w:id="48" w:name="_Toc610"/>
      <w:bookmarkStart w:id="49" w:name="_Toc123051452"/>
      <w:bookmarkStart w:id="50" w:name="_Toc48649707"/>
      <w:bookmarkStart w:id="51" w:name="_Toc1270"/>
      <w:bookmarkStart w:id="52" w:name="_Toc98560352"/>
      <w:bookmarkStart w:id="53" w:name="_Toc139991736"/>
      <w:bookmarkStart w:id="54" w:name="_Toc7920"/>
      <w:bookmarkStart w:id="55" w:name="_Toc23822"/>
      <w:bookmarkStart w:id="56" w:name="_Toc17244"/>
      <w:bookmarkStart w:id="57" w:name="_Toc123112234"/>
      <w:bookmarkStart w:id="58" w:name="_Toc79392606"/>
      <w:bookmarkStart w:id="59" w:name="_Toc23261"/>
      <w:bookmarkStart w:id="60" w:name="_Toc79154670"/>
      <w:bookmarkStart w:id="61" w:name="_Toc176189759"/>
      <w:bookmarkStart w:id="62" w:name="_Toc1427"/>
      <w:bookmarkStart w:id="63" w:name="_Toc20733"/>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C0DC0AD">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14:paraId="0A69A18D">
      <w:pPr>
        <w:pStyle w:val="34"/>
        <w:spacing w:line="360" w:lineRule="auto"/>
        <w:ind w:firstLine="361" w:firstLineChars="200"/>
        <w:rPr>
          <w:rFonts w:hAnsi="宋体"/>
          <w:b/>
          <w:bCs/>
          <w:sz w:val="18"/>
          <w:szCs w:val="18"/>
        </w:rPr>
      </w:pPr>
      <w:r>
        <w:rPr>
          <w:rFonts w:hint="eastAsia" w:hAnsi="宋体"/>
          <w:b/>
          <w:bCs/>
          <w:sz w:val="18"/>
          <w:szCs w:val="18"/>
        </w:rPr>
        <w:t>（一）估值目的</w:t>
      </w:r>
    </w:p>
    <w:p w14:paraId="458D0A80">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14:paraId="01C07E14">
      <w:pPr>
        <w:pStyle w:val="34"/>
        <w:spacing w:line="360" w:lineRule="auto"/>
        <w:ind w:firstLine="361" w:firstLineChars="200"/>
        <w:rPr>
          <w:rFonts w:hAnsi="宋体"/>
          <w:b/>
          <w:bCs/>
          <w:sz w:val="18"/>
          <w:szCs w:val="18"/>
        </w:rPr>
      </w:pPr>
      <w:r>
        <w:rPr>
          <w:rFonts w:hint="eastAsia" w:hAnsi="宋体"/>
          <w:b/>
          <w:bCs/>
          <w:sz w:val="18"/>
          <w:szCs w:val="18"/>
        </w:rPr>
        <w:t>（二）估值频率</w:t>
      </w:r>
    </w:p>
    <w:p w14:paraId="7CB162CD">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14:paraId="5C9D6A14">
      <w:pPr>
        <w:pStyle w:val="34"/>
        <w:spacing w:line="360" w:lineRule="auto"/>
        <w:ind w:firstLine="452" w:firstLineChars="250"/>
        <w:rPr>
          <w:rFonts w:hAnsi="宋体"/>
          <w:b/>
          <w:bCs/>
          <w:sz w:val="18"/>
          <w:szCs w:val="18"/>
        </w:rPr>
      </w:pPr>
      <w:r>
        <w:rPr>
          <w:rFonts w:hint="eastAsia" w:hAnsi="宋体"/>
          <w:b/>
          <w:bCs/>
          <w:sz w:val="18"/>
          <w:szCs w:val="18"/>
        </w:rPr>
        <w:t>（三）估值对象</w:t>
      </w:r>
    </w:p>
    <w:p w14:paraId="4B708BD0">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14:paraId="06357E37">
      <w:pPr>
        <w:pStyle w:val="34"/>
        <w:spacing w:line="360" w:lineRule="auto"/>
        <w:ind w:firstLine="452" w:firstLineChars="250"/>
        <w:rPr>
          <w:rFonts w:hAnsi="宋体"/>
          <w:b/>
          <w:bCs/>
          <w:sz w:val="18"/>
          <w:szCs w:val="18"/>
        </w:rPr>
      </w:pPr>
      <w:r>
        <w:rPr>
          <w:rFonts w:hint="eastAsia" w:hAnsi="宋体"/>
          <w:b/>
          <w:bCs/>
          <w:sz w:val="18"/>
          <w:szCs w:val="18"/>
        </w:rPr>
        <w:t>（四）估值方法</w:t>
      </w:r>
    </w:p>
    <w:p w14:paraId="6E3A2273">
      <w:pPr>
        <w:pStyle w:val="34"/>
        <w:spacing w:line="360" w:lineRule="auto"/>
        <w:ind w:firstLine="360" w:firstLineChars="200"/>
        <w:rPr>
          <w:rFonts w:hAnsi="宋体"/>
          <w:bCs/>
          <w:sz w:val="18"/>
          <w:szCs w:val="18"/>
        </w:rPr>
      </w:pPr>
      <w:r>
        <w:rPr>
          <w:rFonts w:hAnsi="宋体"/>
          <w:bCs/>
          <w:sz w:val="18"/>
          <w:szCs w:val="18"/>
        </w:rPr>
        <w:t>1.标准化债权类资产估值</w:t>
      </w:r>
    </w:p>
    <w:p w14:paraId="0495392F">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14:paraId="19CA889D">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14:paraId="116B6E48">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14:paraId="60D28342">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14:paraId="5545D131">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14:paraId="533EE1BF">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14:paraId="10E3DBF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14:paraId="3FA163FC">
      <w:pPr>
        <w:pStyle w:val="34"/>
        <w:spacing w:line="360" w:lineRule="auto"/>
        <w:ind w:firstLine="360" w:firstLineChars="200"/>
        <w:rPr>
          <w:rFonts w:hAnsi="宋体"/>
          <w:sz w:val="18"/>
          <w:szCs w:val="18"/>
        </w:rPr>
      </w:pPr>
      <w:r>
        <w:rPr>
          <w:rFonts w:hAnsi="宋体"/>
          <w:bCs/>
          <w:sz w:val="18"/>
          <w:szCs w:val="18"/>
        </w:rPr>
        <w:t>3.非标准化债权类资产</w:t>
      </w:r>
    </w:p>
    <w:p w14:paraId="45E8AFDC">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14:paraId="43EEE4E2">
      <w:pPr>
        <w:pStyle w:val="34"/>
        <w:spacing w:line="360" w:lineRule="auto"/>
        <w:ind w:firstLine="360" w:firstLineChars="200"/>
        <w:rPr>
          <w:rFonts w:hAnsi="宋体"/>
          <w:bCs/>
          <w:sz w:val="18"/>
          <w:szCs w:val="18"/>
        </w:rPr>
      </w:pPr>
      <w:r>
        <w:rPr>
          <w:rFonts w:hAnsi="宋体"/>
          <w:bCs/>
          <w:sz w:val="18"/>
          <w:szCs w:val="18"/>
        </w:rPr>
        <w:t>4.上市公司股票估值</w:t>
      </w:r>
    </w:p>
    <w:p w14:paraId="0BF9E020">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14:paraId="779A2154">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14:paraId="0A58C1FE">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14:paraId="0EF5CBA1">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14:paraId="1C675825">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14:paraId="1D6871D2">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14:paraId="09E8F35D">
      <w:pPr>
        <w:pStyle w:val="34"/>
        <w:spacing w:line="360" w:lineRule="auto"/>
        <w:ind w:firstLine="360" w:firstLineChars="200"/>
        <w:rPr>
          <w:rFonts w:hAnsi="宋体"/>
          <w:bCs/>
          <w:sz w:val="18"/>
          <w:szCs w:val="18"/>
        </w:rPr>
      </w:pPr>
      <w:r>
        <w:rPr>
          <w:rFonts w:hAnsi="宋体"/>
          <w:bCs/>
          <w:sz w:val="18"/>
          <w:szCs w:val="18"/>
        </w:rPr>
        <w:t>5.未上市公司股权</w:t>
      </w:r>
    </w:p>
    <w:p w14:paraId="4D571F37">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14:paraId="3D5BBC66">
      <w:pPr>
        <w:pStyle w:val="34"/>
        <w:spacing w:line="360" w:lineRule="auto"/>
        <w:ind w:firstLine="360" w:firstLineChars="200"/>
        <w:rPr>
          <w:rFonts w:hAnsi="宋体"/>
          <w:bCs/>
          <w:sz w:val="18"/>
          <w:szCs w:val="18"/>
        </w:rPr>
      </w:pPr>
      <w:r>
        <w:rPr>
          <w:rFonts w:hAnsi="宋体"/>
          <w:bCs/>
          <w:sz w:val="18"/>
          <w:szCs w:val="18"/>
        </w:rPr>
        <w:t>6.优先股</w:t>
      </w:r>
    </w:p>
    <w:p w14:paraId="2BDC7599">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14:paraId="79B807AF">
      <w:pPr>
        <w:pStyle w:val="34"/>
        <w:spacing w:line="360" w:lineRule="auto"/>
        <w:ind w:firstLine="360" w:firstLineChars="200"/>
        <w:rPr>
          <w:rFonts w:hAnsi="宋体"/>
          <w:bCs/>
          <w:sz w:val="18"/>
          <w:szCs w:val="18"/>
        </w:rPr>
      </w:pPr>
      <w:r>
        <w:rPr>
          <w:rFonts w:hAnsi="宋体"/>
          <w:bCs/>
          <w:sz w:val="18"/>
          <w:szCs w:val="18"/>
        </w:rPr>
        <w:t>7.证券投资基金估值</w:t>
      </w:r>
    </w:p>
    <w:p w14:paraId="76243F24">
      <w:pPr>
        <w:pStyle w:val="34"/>
        <w:spacing w:line="360" w:lineRule="auto"/>
        <w:ind w:firstLine="360" w:firstLineChars="200"/>
        <w:rPr>
          <w:rFonts w:hAnsi="宋体"/>
          <w:sz w:val="18"/>
          <w:szCs w:val="18"/>
        </w:rPr>
      </w:pPr>
      <w:r>
        <w:rPr>
          <w:rFonts w:hint="eastAsia" w:hAnsi="宋体"/>
          <w:sz w:val="18"/>
          <w:szCs w:val="18"/>
        </w:rPr>
        <w:t>（1）非上市基金估值</w:t>
      </w:r>
    </w:p>
    <w:p w14:paraId="3A68AA2A">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14:paraId="46DFEB0D">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14:paraId="242E5DD7">
      <w:pPr>
        <w:pStyle w:val="34"/>
        <w:spacing w:line="360" w:lineRule="auto"/>
        <w:ind w:firstLine="360" w:firstLineChars="200"/>
        <w:rPr>
          <w:rFonts w:hAnsi="宋体"/>
          <w:sz w:val="18"/>
          <w:szCs w:val="18"/>
        </w:rPr>
      </w:pPr>
      <w:r>
        <w:rPr>
          <w:rFonts w:hint="eastAsia" w:hAnsi="宋体"/>
          <w:sz w:val="18"/>
          <w:szCs w:val="18"/>
        </w:rPr>
        <w:t>（2）上市基金估值</w:t>
      </w:r>
    </w:p>
    <w:p w14:paraId="6E4974E4">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14:paraId="567F18D8">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14:paraId="55C64E57">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14:paraId="7666A189">
      <w:pPr>
        <w:pStyle w:val="34"/>
        <w:spacing w:line="360" w:lineRule="auto"/>
        <w:ind w:firstLine="360" w:firstLineChars="200"/>
        <w:rPr>
          <w:rFonts w:hAnsi="宋体"/>
          <w:bCs/>
          <w:sz w:val="18"/>
          <w:szCs w:val="18"/>
        </w:rPr>
      </w:pPr>
      <w:r>
        <w:rPr>
          <w:rFonts w:hAnsi="宋体"/>
          <w:bCs/>
          <w:sz w:val="18"/>
          <w:szCs w:val="18"/>
        </w:rPr>
        <w:t>8.其他资产管理产品的估值</w:t>
      </w:r>
    </w:p>
    <w:p w14:paraId="602D16E0">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14:paraId="6A5BBD57">
      <w:pPr>
        <w:pStyle w:val="34"/>
        <w:spacing w:line="360" w:lineRule="auto"/>
        <w:ind w:firstLine="360" w:firstLineChars="200"/>
        <w:rPr>
          <w:rFonts w:hAnsi="宋体"/>
          <w:bCs/>
          <w:sz w:val="18"/>
          <w:szCs w:val="18"/>
        </w:rPr>
      </w:pPr>
      <w:r>
        <w:rPr>
          <w:rFonts w:hAnsi="宋体"/>
          <w:bCs/>
          <w:sz w:val="18"/>
          <w:szCs w:val="18"/>
        </w:rPr>
        <w:t>9.衍生金融工具估值</w:t>
      </w:r>
    </w:p>
    <w:p w14:paraId="0F2BAB0F">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14:paraId="34B1AC26">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14:paraId="254DEF89">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14:paraId="3D2250C3">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14:paraId="7BD8CD07">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14:paraId="6B1ED145">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14:paraId="3C140B61">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14:paraId="40EAE904">
      <w:pPr>
        <w:pStyle w:val="34"/>
        <w:spacing w:line="360" w:lineRule="auto"/>
        <w:ind w:firstLine="361" w:firstLineChars="200"/>
        <w:rPr>
          <w:rFonts w:hAnsi="宋体"/>
          <w:b/>
          <w:bCs/>
          <w:sz w:val="18"/>
          <w:szCs w:val="18"/>
        </w:rPr>
      </w:pPr>
      <w:r>
        <w:rPr>
          <w:rFonts w:hint="eastAsia" w:hAnsi="宋体"/>
          <w:b/>
          <w:bCs/>
          <w:sz w:val="18"/>
          <w:szCs w:val="18"/>
        </w:rPr>
        <w:t>（五）估值程序</w:t>
      </w:r>
    </w:p>
    <w:p w14:paraId="21CAADC9">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14:paraId="4D18D935">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14:paraId="36E63B8B">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14:paraId="6F94F769">
      <w:pPr>
        <w:pStyle w:val="34"/>
        <w:spacing w:line="360" w:lineRule="auto"/>
        <w:ind w:firstLine="361" w:firstLineChars="200"/>
        <w:rPr>
          <w:rFonts w:hAnsi="宋体"/>
          <w:b/>
          <w:bCs/>
          <w:sz w:val="18"/>
          <w:szCs w:val="18"/>
        </w:rPr>
      </w:pPr>
      <w:r>
        <w:rPr>
          <w:rFonts w:hint="eastAsia" w:hAnsi="宋体"/>
          <w:b/>
          <w:bCs/>
          <w:sz w:val="18"/>
          <w:szCs w:val="18"/>
        </w:rPr>
        <w:t>（六）估值主体</w:t>
      </w:r>
    </w:p>
    <w:p w14:paraId="315F7973">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14:paraId="0AF6A6E5">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14:paraId="6359D1C2">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14:paraId="0E480A83">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14:paraId="0E35EDB2">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14:paraId="78A2C543">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14:paraId="4D03F4A7">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14:paraId="78B748B3">
      <w:pPr>
        <w:widowControl/>
        <w:spacing w:line="360" w:lineRule="auto"/>
        <w:jc w:val="left"/>
        <w:rPr>
          <w:rFonts w:ascii="宋体" w:hAnsi="宋体"/>
          <w:kern w:val="0"/>
          <w:sz w:val="18"/>
          <w:szCs w:val="18"/>
        </w:rPr>
      </w:pPr>
      <w:r>
        <w:rPr>
          <w:rFonts w:hAnsi="宋体"/>
          <w:sz w:val="18"/>
          <w:szCs w:val="18"/>
        </w:rPr>
        <w:br w:type="page"/>
      </w:r>
    </w:p>
    <w:p w14:paraId="72FDDE96">
      <w:pPr>
        <w:pStyle w:val="2"/>
        <w:spacing w:before="0" w:after="0" w:line="360" w:lineRule="auto"/>
        <w:ind w:left="60" w:firstLine="10"/>
        <w:jc w:val="center"/>
        <w:rPr>
          <w:rFonts w:ascii="Times New Roman"/>
          <w:sz w:val="30"/>
        </w:rPr>
      </w:pPr>
      <w:bookmarkStart w:id="64" w:name="_Hlt70481650"/>
      <w:bookmarkEnd w:id="64"/>
      <w:bookmarkStart w:id="65" w:name="_Toc98560353"/>
      <w:bookmarkStart w:id="66" w:name="_Toc29251"/>
      <w:bookmarkStart w:id="67" w:name="_Toc26207"/>
      <w:bookmarkStart w:id="68" w:name="_Toc6405"/>
      <w:bookmarkStart w:id="69" w:name="_Toc123112235"/>
      <w:bookmarkStart w:id="70" w:name="_Toc123051453"/>
      <w:bookmarkStart w:id="71" w:name="_Toc31644"/>
      <w:bookmarkStart w:id="72" w:name="_Toc139991737"/>
      <w:bookmarkStart w:id="73" w:name="_Toc15143"/>
      <w:bookmarkStart w:id="74" w:name="_Toc31653"/>
      <w:bookmarkStart w:id="75" w:name="_Toc176189760"/>
      <w:bookmarkStart w:id="76" w:name="_Toc3601"/>
      <w:bookmarkStart w:id="77" w:name="_Toc12245"/>
      <w:bookmarkStart w:id="78" w:name="_Toc74065744"/>
      <w:bookmarkStart w:id="79" w:name="_Toc123102454"/>
      <w:bookmarkStart w:id="80" w:name="_Toc141703887"/>
      <w:bookmarkStart w:id="81" w:name="_Toc14835"/>
      <w:bookmarkStart w:id="82" w:name="_Toc31235"/>
      <w:bookmarkStart w:id="83" w:name="_Toc79154671"/>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23711668"/>
      <w:bookmarkStart w:id="86" w:name="_Toc57530239"/>
      <w:bookmarkStart w:id="87" w:name="_Toc79392580"/>
      <w:bookmarkStart w:id="88" w:name="_Toc15118234"/>
    </w:p>
    <w:p w14:paraId="5A82F2DE">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14:paraId="7A71EC70">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14:paraId="0FB76D8D">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14:paraId="1F77A1B0">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14:paraId="4FF81B5A">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14:paraId="6C404F04">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14:paraId="672B2F87">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14:paraId="2F539349">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14:paraId="4578B6D3">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14:paraId="743BEDFB">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14:paraId="7128657D">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14:paraId="0217977F">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14:paraId="12ACF654">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14:paraId="6831E7CB">
      <w:pPr>
        <w:spacing w:line="360" w:lineRule="auto"/>
        <w:ind w:firstLine="360"/>
        <w:rPr>
          <w:rFonts w:ascii="宋体" w:hAnsi="宋体"/>
          <w:b/>
          <w:sz w:val="18"/>
          <w:szCs w:val="18"/>
        </w:rPr>
      </w:pPr>
      <w:r>
        <w:rPr>
          <w:rFonts w:hint="eastAsia" w:ascii="宋体" w:hAnsi="宋体"/>
          <w:b/>
          <w:kern w:val="0"/>
          <w:sz w:val="18"/>
          <w:szCs w:val="18"/>
        </w:rPr>
        <w:t>（四）理财利益的分配</w:t>
      </w:r>
    </w:p>
    <w:p w14:paraId="378A285D">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14:paraId="6437AA96">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14:paraId="3B65EA40">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14:paraId="6A9E2D35">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14:paraId="26EB0988">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14:paraId="56BBB2AB">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11030"/>
      <w:bookmarkStart w:id="92" w:name="_Toc98560354"/>
      <w:bookmarkStart w:id="93" w:name="_Toc10650"/>
      <w:bookmarkStart w:id="94" w:name="_Toc3771"/>
      <w:bookmarkStart w:id="95" w:name="_Toc139991738"/>
      <w:bookmarkStart w:id="96" w:name="_Toc6447"/>
      <w:bookmarkStart w:id="97" w:name="_Toc25783"/>
      <w:bookmarkStart w:id="98" w:name="_Toc7058"/>
      <w:bookmarkStart w:id="99" w:name="_Toc123051454"/>
      <w:bookmarkStart w:id="100" w:name="_Toc123102455"/>
      <w:bookmarkStart w:id="101" w:name="_Toc79154672"/>
      <w:bookmarkStart w:id="102" w:name="_Toc18567"/>
      <w:bookmarkStart w:id="103" w:name="_Toc3321"/>
      <w:bookmarkStart w:id="104" w:name="_Toc9706"/>
      <w:bookmarkStart w:id="105" w:name="_Toc4559"/>
      <w:bookmarkStart w:id="106" w:name="_Toc74065745"/>
      <w:bookmarkStart w:id="107" w:name="_Toc141703888"/>
      <w:bookmarkStart w:id="108" w:name="_Toc123112236"/>
      <w:bookmarkStart w:id="109" w:name="_Toc176189761"/>
      <w:bookmarkStart w:id="110" w:name="_Toc79392583"/>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AB2EF88">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14:paraId="688D0AE9">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14:paraId="70206816">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14:paraId="18C5A11E">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14:paraId="040B03F7">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14:paraId="2138B930">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14:paraId="43E48149">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14:paraId="532B14A7">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14:paraId="7FB1D6E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14:paraId="60FCD01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14:paraId="61316B4B">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14:paraId="420CCD8F">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14:paraId="282B3306">
      <w:pPr>
        <w:widowControl/>
        <w:spacing w:line="360" w:lineRule="auto"/>
        <w:ind w:firstLine="360" w:firstLineChars="200"/>
        <w:jc w:val="left"/>
        <w:rPr>
          <w:rFonts w:hint="eastAsia" w:ascii="黑体" w:hAnsi="黑体" w:eastAsia="黑体" w:cs="黑体"/>
          <w:sz w:val="18"/>
          <w:szCs w:val="18"/>
        </w:rPr>
      </w:pPr>
      <w:permStart w:id="23" w:edGrp="everyone"/>
      <w:r>
        <w:rPr>
          <w:rFonts w:hint="eastAsia" w:ascii="黑体" w:hAnsi="黑体" w:eastAsia="黑体" w:cs="黑体"/>
          <w:kern w:val="0"/>
          <w:sz w:val="18"/>
          <w:szCs w:val="18"/>
        </w:rPr>
        <w:t>（2）理财产品的销售服务费</w:t>
      </w:r>
    </w:p>
    <w:p w14:paraId="54FE5FEF">
      <w:pPr>
        <w:pStyle w:val="34"/>
        <w:spacing w:line="360" w:lineRule="auto"/>
        <w:ind w:firstLine="360" w:firstLineChars="200"/>
        <w:rPr>
          <w:rFonts w:hint="eastAsia" w:ascii="黑体" w:hAnsi="黑体" w:eastAsia="黑体" w:cs="黑体"/>
          <w:color w:val="auto"/>
          <w:kern w:val="2"/>
          <w:sz w:val="18"/>
          <w:szCs w:val="18"/>
        </w:rPr>
      </w:pPr>
      <w:r>
        <w:rPr>
          <w:rFonts w:ascii="宋体" w:hAnsi="宋体" w:eastAsia="宋体" w:cs="宋体"/>
          <w:sz w:val="18"/>
        </w:rPr>
        <w:t>本产品的销售服务费按前一日理财资产净值与销售服务费每日费率每日计提。销售服务费的计算方法如下：</w:t>
      </w:r>
      <w:r>
        <w:rPr>
          <w:rFonts w:ascii="宋体" w:hAnsi="宋体" w:eastAsia="宋体" w:cs="宋体"/>
          <w:sz w:val="18"/>
        </w:rPr>
        <w:br w:type="textWrapping"/>
      </w:r>
      <w:r>
        <w:rPr>
          <w:rFonts w:ascii="宋体" w:hAnsi="宋体" w:eastAsia="宋体" w:cs="宋体"/>
          <w:sz w:val="18"/>
        </w:rPr>
        <w:t xml:space="preserve">  H＝E×销售服务费年费率÷365</w:t>
      </w:r>
      <w:r>
        <w:rPr>
          <w:rFonts w:ascii="宋体" w:hAnsi="宋体" w:eastAsia="宋体" w:cs="宋体"/>
          <w:sz w:val="18"/>
        </w:rPr>
        <w:br w:type="textWrapping"/>
      </w:r>
      <w:r>
        <w:rPr>
          <w:rFonts w:ascii="宋体" w:hAnsi="宋体" w:eastAsia="宋体" w:cs="宋体"/>
          <w:sz w:val="18"/>
        </w:rPr>
        <w:t xml:space="preserve">  H为每日应计提的销售服务费</w:t>
      </w:r>
      <w:r>
        <w:rPr>
          <w:rFonts w:ascii="宋体" w:hAnsi="宋体" w:eastAsia="宋体" w:cs="宋体"/>
          <w:sz w:val="18"/>
        </w:rPr>
        <w:br w:type="textWrapping"/>
      </w:r>
      <w:r>
        <w:rPr>
          <w:rFonts w:ascii="宋体" w:hAnsi="宋体" w:eastAsia="宋体" w:cs="宋体"/>
          <w:sz w:val="18"/>
        </w:rPr>
        <w:t xml:space="preserve">  E为前一日的理财资产净值</w:t>
      </w:r>
      <w:r>
        <w:rPr>
          <w:rFonts w:ascii="宋体" w:hAnsi="宋体" w:eastAsia="宋体" w:cs="宋体"/>
          <w:sz w:val="18"/>
        </w:rPr>
        <w:br w:type="textWrapping"/>
      </w:r>
      <w:r>
        <w:rPr>
          <w:rFonts w:ascii="宋体" w:hAnsi="宋体" w:eastAsia="宋体" w:cs="宋体"/>
          <w:sz w:val="18"/>
        </w:rPr>
        <w:t xml:space="preserve">  销售服务费依照上述约定，从理财财产中支付。费率具体数值以《产品说明书》“第二条 理财产品基本情况”为准。</w:t>
      </w:r>
    </w:p>
    <w:permEnd w:id="23"/>
    <w:p w14:paraId="2C5EC370">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14:paraId="4F34B383">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14:paraId="441DF64E">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14:paraId="2EEBA68B">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14:paraId="6BED9245">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14:paraId="4F37E20C">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14:paraId="26C17DEA">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14:paraId="63F7C9D4">
      <w:pPr>
        <w:widowControl/>
        <w:spacing w:line="360" w:lineRule="auto"/>
        <w:ind w:left="0" w:leftChars="0" w:firstLine="360" w:firstLineChars="200"/>
        <w:jc w:val="left"/>
        <w:rPr>
          <w:rFonts w:hint="eastAsia" w:ascii="黑体" w:hAnsi="黑体" w:eastAsia="黑体" w:cs="黑体"/>
          <w:sz w:val="18"/>
          <w:szCs w:val="18"/>
        </w:rPr>
      </w:pPr>
      <w:r>
        <w:rPr>
          <w:rFonts w:ascii="宋体" w:hAnsi="宋体" w:eastAsia="宋体" w:cs="宋体"/>
          <w:sz w:val="18"/>
        </w:rPr>
        <w:t xml:space="preserve">    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r>
        <w:rPr>
          <w:rFonts w:ascii="宋体" w:hAnsi="宋体" w:eastAsia="宋体" w:cs="宋体"/>
          <w:sz w:val="18"/>
        </w:rPr>
        <w:br w:type="textWrapping"/>
      </w:r>
      <w:r>
        <w:rPr>
          <w:rFonts w:ascii="宋体" w:hAnsi="宋体" w:eastAsia="宋体" w:cs="宋体"/>
          <w:sz w:val="18"/>
        </w:rPr>
        <w:t xml:space="preserve">    业绩报酬计提基准的设置、超额业绩报酬的具体比例数值以《产品说明书》“第二条 理财产品基本情况”为准。</w:t>
      </w:r>
      <w:r>
        <w:rPr>
          <w:rFonts w:ascii="宋体" w:hAnsi="宋体" w:eastAsia="宋体" w:cs="宋体"/>
          <w:sz w:val="18"/>
        </w:rPr>
        <w:br w:type="textWrapping"/>
      </w:r>
      <w:r>
        <w:rPr>
          <w:rFonts w:ascii="宋体" w:hAnsi="宋体" w:eastAsia="宋体" w:cs="宋体"/>
          <w:sz w:val="18"/>
        </w:rPr>
        <w:t xml:space="preserve">    1）收取超额业绩报酬的原则：</w:t>
      </w:r>
      <w:r>
        <w:rPr>
          <w:rFonts w:ascii="宋体" w:hAnsi="宋体" w:eastAsia="宋体" w:cs="宋体"/>
          <w:sz w:val="18"/>
        </w:rPr>
        <w:br w:type="textWrapping"/>
      </w:r>
      <w:r>
        <w:rPr>
          <w:rFonts w:ascii="宋体" w:hAnsi="宋体" w:eastAsia="宋体" w:cs="宋体"/>
          <w:sz w:val="18"/>
        </w:rPr>
        <w:t xml:space="preserve">    ①按投资者每份产品份额分别计算年化收益率并计提超额业绩报酬；</w:t>
      </w:r>
      <w:r>
        <w:rPr>
          <w:rFonts w:ascii="宋体" w:hAnsi="宋体" w:eastAsia="宋体" w:cs="宋体"/>
          <w:sz w:val="18"/>
        </w:rPr>
        <w:br w:type="textWrapping"/>
      </w:r>
      <w:r>
        <w:rPr>
          <w:rFonts w:ascii="宋体" w:hAnsi="宋体" w:eastAsia="宋体" w:cs="宋体"/>
          <w:sz w:val="18"/>
        </w:rPr>
        <w:t xml:space="preserve">    ②在超额业绩报酬计提日，本产品对符合超额业绩报酬提取条件的产品份额计提超额业绩报酬；</w:t>
      </w:r>
      <w:r>
        <w:rPr>
          <w:rFonts w:ascii="宋体" w:hAnsi="宋体" w:eastAsia="宋体" w:cs="宋体"/>
          <w:sz w:val="18"/>
        </w:rPr>
        <w:br w:type="textWrapping"/>
      </w:r>
      <w:r>
        <w:rPr>
          <w:rFonts w:ascii="宋体" w:hAnsi="宋体" w:eastAsia="宋体" w:cs="宋体"/>
          <w:sz w:val="18"/>
        </w:rPr>
        <w:t xml:space="preserve">    ③在产品终止日提取超额业绩报酬的，超额业绩报酬从清算资金中扣除；</w:t>
      </w:r>
      <w:r>
        <w:rPr>
          <w:rFonts w:ascii="宋体" w:hAnsi="宋体" w:eastAsia="宋体" w:cs="宋体"/>
          <w:sz w:val="18"/>
        </w:rPr>
        <w:br w:type="textWrapping"/>
      </w:r>
      <w:r>
        <w:rPr>
          <w:rFonts w:ascii="宋体" w:hAnsi="宋体" w:eastAsia="宋体" w:cs="宋体"/>
          <w:sz w:val="18"/>
        </w:rPr>
        <w:t xml:space="preserve">    2）超额业绩报酬计提方法</w:t>
      </w:r>
      <w:r>
        <w:rPr>
          <w:rFonts w:ascii="宋体" w:hAnsi="宋体" w:eastAsia="宋体" w:cs="宋体"/>
          <w:sz w:val="18"/>
        </w:rPr>
        <w:br w:type="textWrapping"/>
      </w:r>
      <w:r>
        <w:rPr>
          <w:rFonts w:ascii="宋体" w:hAnsi="宋体" w:eastAsia="宋体" w:cs="宋体"/>
          <w:sz w:val="18"/>
        </w:rPr>
        <w:t xml:space="preserve">    ①超额业绩报酬计提起始日</w:t>
      </w:r>
      <w:r>
        <w:rPr>
          <w:rFonts w:ascii="宋体" w:hAnsi="宋体" w:eastAsia="宋体" w:cs="宋体"/>
          <w:sz w:val="18"/>
        </w:rPr>
        <w:br w:type="textWrapping"/>
      </w:r>
      <w:r>
        <w:rPr>
          <w:rFonts w:ascii="宋体" w:hAnsi="宋体" w:eastAsia="宋体" w:cs="宋体"/>
          <w:sz w:val="18"/>
        </w:rPr>
        <w:t xml:space="preserve">    每份产品份额超额业绩报酬计提起始日为：募集期内认购的产品份额，以产品成立日为该份产品份额超额业绩报酬计提起始日。</w:t>
      </w:r>
      <w:r>
        <w:rPr>
          <w:rFonts w:ascii="宋体" w:hAnsi="宋体" w:eastAsia="宋体" w:cs="宋体"/>
          <w:sz w:val="18"/>
        </w:rPr>
        <w:br w:type="textWrapping"/>
      </w:r>
      <w:r>
        <w:rPr>
          <w:rFonts w:ascii="宋体" w:hAnsi="宋体" w:eastAsia="宋体" w:cs="宋体"/>
          <w:sz w:val="18"/>
        </w:rPr>
        <w:t xml:space="preserve">    ②超额业绩报酬计提日</w:t>
      </w:r>
      <w:r>
        <w:rPr>
          <w:rFonts w:ascii="宋体" w:hAnsi="宋体" w:eastAsia="宋体" w:cs="宋体"/>
          <w:sz w:val="18"/>
        </w:rPr>
        <w:br w:type="textWrapping"/>
      </w:r>
      <w:r>
        <w:rPr>
          <w:rFonts w:ascii="宋体" w:hAnsi="宋体" w:eastAsia="宋体" w:cs="宋体"/>
          <w:sz w:val="18"/>
        </w:rPr>
        <w:t xml:space="preserve">    每份产品份额超额业绩报酬每日计提，产品终止日结算。</w:t>
      </w:r>
      <w:r>
        <w:rPr>
          <w:rFonts w:ascii="宋体" w:hAnsi="宋体" w:eastAsia="宋体" w:cs="宋体"/>
          <w:sz w:val="18"/>
        </w:rPr>
        <w:br w:type="textWrapping"/>
      </w:r>
      <w:r>
        <w:rPr>
          <w:rFonts w:ascii="宋体" w:hAnsi="宋体" w:eastAsia="宋体" w:cs="宋体"/>
          <w:sz w:val="18"/>
        </w:rPr>
        <w:t xml:space="preserve">    ③超额业绩报酬的计算</w:t>
      </w:r>
      <w:r>
        <w:rPr>
          <w:rFonts w:ascii="宋体" w:hAnsi="宋体" w:eastAsia="宋体" w:cs="宋体"/>
          <w:sz w:val="18"/>
        </w:rPr>
        <w:br w:type="textWrapping"/>
      </w:r>
      <w:r>
        <w:rPr>
          <w:rFonts w:ascii="宋体" w:hAnsi="宋体" w:eastAsia="宋体" w:cs="宋体"/>
          <w:sz w:val="18"/>
        </w:rPr>
        <w:t xml:space="preserve">    产品管理人对每份份额当前年化收益率（R）超过当前业绩报酬计提基准的部分，按比例（N）以及产品份额持有天数（D）提取超额业绩报酬，计算方法如下：</w:t>
      </w:r>
      <w:r>
        <w:rPr>
          <w:rFonts w:ascii="宋体" w:hAnsi="宋体" w:eastAsia="宋体" w:cs="宋体"/>
          <w:sz w:val="18"/>
        </w:rPr>
        <w:br w:type="textWrapping"/>
      </w:r>
      <w:r>
        <w:rPr>
          <w:rFonts w:ascii="宋体" w:hAnsi="宋体" w:eastAsia="宋体" w:cs="宋体"/>
          <w:sz w:val="18"/>
        </w:rPr>
        <w:t xml:space="preserve">    当R≤当前业绩报酬计提基准，超额业绩报酬=0；</w:t>
      </w:r>
      <w:r>
        <w:rPr>
          <w:rFonts w:ascii="宋体" w:hAnsi="宋体" w:eastAsia="宋体" w:cs="宋体"/>
          <w:sz w:val="18"/>
        </w:rPr>
        <w:br w:type="textWrapping"/>
      </w:r>
      <w:r>
        <w:rPr>
          <w:rFonts w:ascii="宋体" w:hAnsi="宋体" w:eastAsia="宋体" w:cs="宋体"/>
          <w:sz w:val="18"/>
        </w:rPr>
        <w:t xml:space="preserve">    当R＞当前业绩报酬计提基准，超额业绩报酬=产品终止时投资者持有的产品份额×产品成立日产品份额净值×（R-当前业绩报酬计提基准）×N×D/365。</w:t>
      </w:r>
    </w:p>
    <w:permEnd w:id="24"/>
    <w:p w14:paraId="1AA80B8B">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14:paraId="1648D29B">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14:paraId="3C1DFB9E">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14:paraId="230A013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14:paraId="203F703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14:paraId="5CBAE1B7">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14:paraId="00A4373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14:paraId="73F51344">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14:paraId="798981A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14:paraId="5C51C989">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14:paraId="0C9DFA85">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14:paraId="4F124278">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14:paraId="1CEBBDA1">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14:paraId="51CF9D36">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14:paraId="4D64D809">
      <w:pPr>
        <w:pStyle w:val="2"/>
        <w:spacing w:line="360" w:lineRule="auto"/>
        <w:jc w:val="center"/>
      </w:pPr>
      <w:bookmarkStart w:id="111" w:name="_Toc3963"/>
      <w:bookmarkStart w:id="112" w:name="_Toc1745"/>
      <w:r>
        <w:br w:type="page"/>
      </w:r>
      <w:bookmarkStart w:id="113" w:name="_Toc16164"/>
      <w:bookmarkStart w:id="114" w:name="_Toc123051455"/>
      <w:bookmarkStart w:id="115" w:name="_Toc21735"/>
      <w:bookmarkStart w:id="116" w:name="_Toc141703889"/>
      <w:bookmarkStart w:id="117" w:name="_Toc725"/>
      <w:bookmarkStart w:id="118" w:name="_Toc176189762"/>
      <w:bookmarkStart w:id="119" w:name="_Toc123102456"/>
      <w:bookmarkStart w:id="120" w:name="_Toc3572"/>
      <w:bookmarkStart w:id="121" w:name="_Toc139991739"/>
      <w:bookmarkStart w:id="122" w:name="_Toc3080"/>
      <w:bookmarkStart w:id="123" w:name="_Toc74065746"/>
      <w:bookmarkStart w:id="124" w:name="_Toc10398"/>
      <w:bookmarkStart w:id="125" w:name="_Toc31821"/>
      <w:bookmarkStart w:id="126" w:name="_Toc79154673"/>
      <w:bookmarkStart w:id="127" w:name="_Toc123112237"/>
      <w:bookmarkStart w:id="128" w:name="_Toc18206"/>
      <w:bookmarkStart w:id="129" w:name="_Toc98560355"/>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1A9878A">
      <w:pPr>
        <w:spacing w:line="360" w:lineRule="auto"/>
        <w:ind w:firstLine="361" w:firstLineChars="200"/>
        <w:rPr>
          <w:rFonts w:asciiTheme="majorEastAsia" w:hAnsiTheme="majorEastAsia" w:eastAsiaTheme="majorEastAsia"/>
          <w:b/>
          <w:bCs/>
          <w:sz w:val="18"/>
          <w:szCs w:val="18"/>
        </w:rPr>
      </w:pPr>
      <w:bookmarkStart w:id="130" w:name="_Toc15118245"/>
      <w:bookmarkStart w:id="131" w:name="_Toc57530252"/>
      <w:bookmarkStart w:id="132" w:name="_Toc79392593"/>
      <w:r>
        <w:rPr>
          <w:rFonts w:hint="eastAsia" w:asciiTheme="majorEastAsia" w:hAnsiTheme="majorEastAsia" w:eastAsiaTheme="majorEastAsia"/>
          <w:b/>
          <w:bCs/>
          <w:sz w:val="18"/>
          <w:szCs w:val="18"/>
        </w:rPr>
        <w:t>（一）理财产品的终止</w:t>
      </w:r>
    </w:p>
    <w:p w14:paraId="1094DC3C">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14:paraId="00A74937">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14:paraId="6B72350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14:paraId="444D886D">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14:paraId="3E4A6674">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14:paraId="6008DCCB">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14:paraId="7E5BDEDD">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14:paraId="1A5767CA">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14:paraId="648C00E2">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14:paraId="504BFE3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14:paraId="3550D10D">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14:paraId="01CE77CD">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14:paraId="77A3BFFA">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14:paraId="657691F0">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14:paraId="1C58F02B">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14:paraId="244B4F74">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14:paraId="3B516450">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14:paraId="59E1BFBE">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14:paraId="26BB30FF">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14:paraId="3F8A7C9D">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14:paraId="5F09A4E4">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14:paraId="0C78E32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14:paraId="4CC6D441">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14:paraId="79A23220">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14:paraId="63AB29FD">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14:paraId="6A29AEF1">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14:paraId="6A4C2041">
      <w:pPr>
        <w:pStyle w:val="2"/>
        <w:spacing w:before="0" w:after="0" w:line="360" w:lineRule="auto"/>
        <w:jc w:val="center"/>
        <w:rPr>
          <w:rFonts w:ascii="Times New Roman"/>
          <w:sz w:val="30"/>
        </w:rPr>
      </w:pPr>
      <w:r>
        <w:rPr>
          <w:rFonts w:ascii="Times New Roman"/>
          <w:b w:val="0"/>
          <w:bCs w:val="0"/>
          <w:kern w:val="2"/>
        </w:rPr>
        <w:br w:type="page"/>
      </w:r>
      <w:bookmarkStart w:id="133" w:name="_Toc5170"/>
      <w:bookmarkStart w:id="134" w:name="_Toc98560356"/>
      <w:bookmarkStart w:id="135" w:name="_Toc79154674"/>
      <w:bookmarkStart w:id="136" w:name="_Toc141703890"/>
      <w:bookmarkStart w:id="137" w:name="_Toc176189763"/>
      <w:bookmarkStart w:id="138" w:name="_Toc17920"/>
      <w:bookmarkStart w:id="139" w:name="_Toc17198"/>
      <w:bookmarkStart w:id="140" w:name="_Toc29408"/>
      <w:bookmarkStart w:id="141" w:name="_Toc79392622"/>
      <w:bookmarkStart w:id="142" w:name="_Toc48649708"/>
      <w:bookmarkStart w:id="143" w:name="_Toc32092"/>
      <w:bookmarkStart w:id="144" w:name="_Toc123112238"/>
      <w:bookmarkStart w:id="145" w:name="_Toc8791"/>
      <w:bookmarkStart w:id="146" w:name="_Toc3329"/>
      <w:bookmarkStart w:id="147" w:name="_Toc74065747"/>
      <w:bookmarkStart w:id="148" w:name="_Toc21237"/>
      <w:bookmarkStart w:id="149" w:name="_Toc32584"/>
      <w:bookmarkStart w:id="150" w:name="_Toc123102457"/>
      <w:bookmarkStart w:id="151" w:name="_Toc123051456"/>
      <w:bookmarkStart w:id="152" w:name="_Toc139991740"/>
      <w:bookmarkStart w:id="153" w:name="_Toc739"/>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3EC665FB">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14:paraId="04879036">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14:paraId="521D81CF">
      <w:pPr>
        <w:spacing w:line="360" w:lineRule="auto"/>
        <w:ind w:firstLine="361"/>
        <w:rPr>
          <w:rFonts w:ascii="宋体" w:hAnsi="宋体"/>
          <w:b/>
          <w:bCs/>
          <w:sz w:val="18"/>
          <w:szCs w:val="18"/>
        </w:rPr>
      </w:pPr>
      <w:r>
        <w:rPr>
          <w:rFonts w:hint="eastAsia" w:ascii="宋体" w:hAnsi="宋体"/>
          <w:b/>
          <w:bCs/>
          <w:sz w:val="18"/>
          <w:szCs w:val="18"/>
        </w:rPr>
        <w:t>（二）信息披露的渠道</w:t>
      </w:r>
    </w:p>
    <w:p w14:paraId="1F08F53F">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14:paraId="6758A183">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14:paraId="131A7E60">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14:paraId="0DDD9335">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14:paraId="488B7522">
      <w:pPr>
        <w:spacing w:line="360" w:lineRule="auto"/>
        <w:ind w:firstLine="361"/>
        <w:rPr>
          <w:rFonts w:ascii="宋体" w:hAnsi="宋体"/>
          <w:b/>
          <w:bCs/>
          <w:sz w:val="18"/>
          <w:szCs w:val="18"/>
        </w:rPr>
      </w:pPr>
      <w:r>
        <w:rPr>
          <w:rFonts w:hint="eastAsia" w:ascii="宋体" w:hAnsi="宋体"/>
          <w:b/>
          <w:bCs/>
          <w:sz w:val="18"/>
          <w:szCs w:val="18"/>
        </w:rPr>
        <w:t>（三）信息披露的内容</w:t>
      </w:r>
    </w:p>
    <w:p w14:paraId="5B0538BC">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14:paraId="7BC042F9">
      <w:pPr>
        <w:spacing w:line="360" w:lineRule="auto"/>
        <w:ind w:firstLine="361"/>
        <w:rPr>
          <w:rFonts w:ascii="宋体" w:hAnsi="宋体"/>
          <w:b/>
          <w:bCs/>
          <w:sz w:val="18"/>
          <w:szCs w:val="18"/>
        </w:rPr>
      </w:pPr>
      <w:r>
        <w:rPr>
          <w:rFonts w:hint="eastAsia" w:ascii="宋体" w:hAnsi="宋体"/>
          <w:b/>
          <w:bCs/>
          <w:sz w:val="18"/>
          <w:szCs w:val="18"/>
        </w:rPr>
        <w:t>（四）信息披露的频率和时间</w:t>
      </w:r>
    </w:p>
    <w:p w14:paraId="135C498A">
      <w:pPr>
        <w:spacing w:line="360" w:lineRule="auto"/>
        <w:ind w:firstLine="360"/>
        <w:rPr>
          <w:rFonts w:ascii="宋体" w:hAnsi="宋体"/>
          <w:bCs/>
          <w:sz w:val="18"/>
          <w:szCs w:val="18"/>
        </w:rPr>
      </w:pPr>
      <w:r>
        <w:rPr>
          <w:rFonts w:ascii="宋体" w:hAnsi="宋体"/>
          <w:bCs/>
          <w:sz w:val="18"/>
          <w:szCs w:val="18"/>
        </w:rPr>
        <w:t>1.产品成立公告</w:t>
      </w:r>
    </w:p>
    <w:p w14:paraId="37D32C95">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14:paraId="3665511A">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14:paraId="1EF5A785">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14:paraId="3BF4284E">
      <w:pPr>
        <w:spacing w:line="360" w:lineRule="auto"/>
        <w:ind w:firstLine="360"/>
        <w:rPr>
          <w:rFonts w:ascii="宋体" w:hAnsi="宋体"/>
          <w:bCs/>
          <w:sz w:val="18"/>
          <w:szCs w:val="18"/>
        </w:rPr>
      </w:pPr>
      <w:r>
        <w:rPr>
          <w:rFonts w:ascii="宋体" w:hAnsi="宋体"/>
          <w:bCs/>
          <w:sz w:val="18"/>
          <w:szCs w:val="18"/>
        </w:rPr>
        <w:t>3.定期报告</w:t>
      </w:r>
    </w:p>
    <w:p w14:paraId="3DCDDEA2">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14:paraId="61E24C51">
      <w:pPr>
        <w:spacing w:line="360" w:lineRule="auto"/>
        <w:ind w:firstLine="360"/>
        <w:rPr>
          <w:rFonts w:ascii="宋体" w:hAnsi="宋体"/>
          <w:bCs/>
          <w:sz w:val="18"/>
          <w:szCs w:val="18"/>
        </w:rPr>
      </w:pPr>
      <w:r>
        <w:rPr>
          <w:rFonts w:ascii="宋体" w:hAnsi="宋体"/>
          <w:bCs/>
          <w:sz w:val="18"/>
          <w:szCs w:val="18"/>
        </w:rPr>
        <w:t>4.到期公告</w:t>
      </w:r>
    </w:p>
    <w:p w14:paraId="1D7E6E8A">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14:paraId="3C20EC18">
      <w:pPr>
        <w:spacing w:line="360" w:lineRule="auto"/>
        <w:ind w:firstLine="360"/>
        <w:rPr>
          <w:rFonts w:ascii="宋体" w:hAnsi="宋体"/>
          <w:bCs/>
          <w:sz w:val="18"/>
          <w:szCs w:val="18"/>
        </w:rPr>
      </w:pPr>
      <w:r>
        <w:rPr>
          <w:rFonts w:ascii="宋体" w:hAnsi="宋体"/>
          <w:bCs/>
          <w:sz w:val="18"/>
          <w:szCs w:val="18"/>
        </w:rPr>
        <w:t>5.估值日公告</w:t>
      </w:r>
    </w:p>
    <w:p w14:paraId="78467F66">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14:paraId="1217094D">
      <w:pPr>
        <w:spacing w:line="360" w:lineRule="auto"/>
        <w:ind w:firstLine="360"/>
        <w:rPr>
          <w:rFonts w:ascii="宋体" w:hAnsi="宋体"/>
          <w:bCs/>
          <w:sz w:val="18"/>
          <w:szCs w:val="18"/>
        </w:rPr>
      </w:pPr>
      <w:r>
        <w:rPr>
          <w:rFonts w:ascii="宋体" w:hAnsi="宋体"/>
          <w:bCs/>
          <w:sz w:val="18"/>
          <w:szCs w:val="18"/>
        </w:rPr>
        <w:t>6.临时公告</w:t>
      </w:r>
    </w:p>
    <w:p w14:paraId="22F1FD29">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14:paraId="756A9CBF">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14:paraId="34071709">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14:paraId="532376D6">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14:paraId="1176A653">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14:paraId="14A7DD03">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14:paraId="6D7B0F99">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14:paraId="72A50CBB">
      <w:pPr>
        <w:widowControl/>
        <w:spacing w:line="360" w:lineRule="auto"/>
        <w:jc w:val="left"/>
        <w:rPr>
          <w:bCs/>
          <w:sz w:val="24"/>
        </w:rPr>
      </w:pPr>
      <w:r>
        <w:rPr>
          <w:bCs/>
          <w:sz w:val="24"/>
        </w:rPr>
        <w:br w:type="page"/>
      </w:r>
    </w:p>
    <w:p w14:paraId="3A91FF7D">
      <w:pPr>
        <w:pStyle w:val="2"/>
        <w:spacing w:before="0" w:after="0" w:line="360" w:lineRule="auto"/>
        <w:jc w:val="center"/>
        <w:rPr>
          <w:rFonts w:ascii="Times New Roman"/>
          <w:b w:val="0"/>
          <w:sz w:val="30"/>
        </w:rPr>
      </w:pPr>
      <w:bookmarkStart w:id="154" w:name="_Toc79154675"/>
      <w:bookmarkStart w:id="155" w:name="_Toc176189764"/>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14:paraId="3782327B">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7938681E">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permStart w:id="26" w:edGrp="everyone"/>
      <w:r>
        <w:rPr>
          <w:rFonts w:hint="eastAsia" w:ascii="宋体" w:hAnsi="宋体"/>
          <w:sz w:val="18"/>
          <w:szCs w:val="18"/>
        </w:rPr>
        <w:t>【1.拟投资市场和资产的风险：</w:t>
      </w:r>
    </w:p>
    <w:p w14:paraId="47AD58B7">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（1）投资债权类资产的风险</w:t>
      </w:r>
    </w:p>
    <w:p w14:paraId="346E8B97">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1）投资标准化债权类资产的风险</w:t>
      </w:r>
    </w:p>
    <w:p w14:paraId="37708F6D">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37526F08">
      <w:pPr>
        <w:spacing w:line="360" w:lineRule="auto"/>
        <w:ind w:firstLine="360" w:firstLineChars="200"/>
        <w:rPr>
          <w:rFonts w:hint="eastAsia" w:ascii="宋体" w:hAnsi="宋体"/>
          <w:sz w:val="18"/>
          <w:szCs w:val="18"/>
        </w:rPr>
      </w:pPr>
      <w:r>
        <w:rPr>
          <w:rFonts w:hint="eastAsia" w:ascii="宋体" w:hAnsi="宋体"/>
          <w:sz w:val="18"/>
          <w:szCs w:val="18"/>
        </w:rPr>
        <w:t xml:space="preserve">（2）投资权益类资产的风险 </w:t>
      </w:r>
    </w:p>
    <w:p w14:paraId="078E4125">
      <w:pPr>
        <w:spacing w:line="360" w:lineRule="auto"/>
        <w:ind w:firstLine="360" w:firstLineChars="200"/>
        <w:rPr>
          <w:rFonts w:hint="eastAsia" w:ascii="宋体" w:hAnsi="宋体"/>
          <w:sz w:val="18"/>
          <w:szCs w:val="18"/>
        </w:rPr>
      </w:pPr>
      <w:r>
        <w:rPr>
          <w:rFonts w:hint="eastAsia" w:ascii="宋体" w:hAnsi="宋体"/>
          <w:sz w:val="18"/>
          <w:szCs w:val="18"/>
        </w:rPr>
        <w:t>1）投资股票类资产的风险</w:t>
      </w:r>
    </w:p>
    <w:p w14:paraId="0FB8C571">
      <w:pPr>
        <w:spacing w:line="360" w:lineRule="auto"/>
        <w:ind w:firstLine="360" w:firstLineChars="200"/>
        <w:rPr>
          <w:rFonts w:hint="eastAsia" w:ascii="宋体" w:hAnsi="宋体"/>
          <w:sz w:val="18"/>
          <w:szCs w:val="18"/>
        </w:rPr>
      </w:pPr>
      <w:r>
        <w:rPr>
          <w:rFonts w:hint="eastAsia" w:ascii="宋体" w:hAnsi="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14:paraId="1824643A">
      <w:pPr>
        <w:spacing w:line="360" w:lineRule="auto"/>
        <w:ind w:firstLine="360" w:firstLineChars="200"/>
        <w:rPr>
          <w:rFonts w:hint="eastAsia" w:ascii="宋体" w:hAnsi="宋体"/>
          <w:sz w:val="18"/>
          <w:szCs w:val="18"/>
        </w:rPr>
      </w:pPr>
      <w:r>
        <w:rPr>
          <w:rFonts w:hint="eastAsia" w:ascii="宋体" w:hAnsi="宋体"/>
          <w:sz w:val="18"/>
          <w:szCs w:val="18"/>
        </w:rPr>
        <w:t xml:space="preserve">（3）投资商品和金融衍生品类资产的风险 </w:t>
      </w:r>
    </w:p>
    <w:p w14:paraId="3AD3112A">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ermEnd w:id="26"/>
    </w:p>
    <w:p w14:paraId="379B826C">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14:paraId="5FA2B2E3">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5E3E8543">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14:paraId="1143CDDD">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35C26556">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14:paraId="7E831D13">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30B12BF7">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14:paraId="6D906E81">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1F10219A">
      <w:pPr>
        <w:spacing w:line="360" w:lineRule="auto"/>
        <w:ind w:firstLine="360" w:firstLineChars="200"/>
        <w:rPr>
          <w:rFonts w:ascii="宋体" w:hAnsi="宋体"/>
          <w:sz w:val="18"/>
          <w:szCs w:val="18"/>
        </w:rPr>
      </w:pPr>
      <w:r>
        <w:rPr>
          <w:rFonts w:hint="eastAsia" w:ascii="宋体" w:hAnsi="宋体"/>
          <w:sz w:val="18"/>
          <w:szCs w:val="18"/>
        </w:rPr>
        <w:t>4.流动性风险</w:t>
      </w:r>
    </w:p>
    <w:p w14:paraId="4990218A">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4D425163">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14:paraId="2D84F1E0">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14:paraId="64676FAE">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14:paraId="618D8709">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14:paraId="78BEFBEA">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14:paraId="7EC6464D">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199B4397">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14:paraId="482ABF5F">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14:paraId="7D1E0607">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14:paraId="5FA02404">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14:paraId="5F8B1AD3">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14:paraId="65029D8F">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14:paraId="29D29664">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14:paraId="1512DE8D">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14:paraId="10771446">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14:paraId="48DCF0FF">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14:paraId="484C96FB">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14:paraId="7134217F">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14:paraId="6656D8CC">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14:paraId="3EBF031D">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14:paraId="51834F0F">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14:paraId="6F929A12">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4DFF80F2">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14:paraId="4914A864">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14:paraId="35F71423">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14:paraId="3CAC8139">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5352FF42">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7728B67D">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14:paraId="14EFEDE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14:paraId="1B46BE1E">
            <w:pPr>
              <w:spacing w:line="280" w:lineRule="atLeast"/>
              <w:ind w:firstLine="422"/>
              <w:jc w:val="center"/>
              <w:rPr>
                <w:rFonts w:ascii="宋体" w:hAnsi="宋体" w:cs="Arial"/>
                <w:b/>
                <w:szCs w:val="21"/>
              </w:rPr>
            </w:pPr>
            <w:r>
              <w:rPr>
                <w:rFonts w:hint="eastAsia" w:ascii="宋体" w:hAnsi="宋体" w:cs="Arial"/>
                <w:b/>
                <w:szCs w:val="21"/>
              </w:rPr>
              <w:t>投资者确认栏</w:t>
            </w:r>
          </w:p>
          <w:p w14:paraId="2EED691B">
            <w:pPr>
              <w:spacing w:line="360" w:lineRule="auto"/>
              <w:ind w:firstLine="361"/>
              <w:rPr>
                <w:b/>
                <w:sz w:val="18"/>
                <w:szCs w:val="18"/>
              </w:rPr>
            </w:pPr>
          </w:p>
        </w:tc>
      </w:tr>
      <w:tr w14:paraId="678D6C8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14:paraId="0DB1FD3D">
            <w:pPr>
              <w:spacing w:line="360" w:lineRule="auto"/>
              <w:jc w:val="left"/>
              <w:rPr>
                <w:b/>
                <w:sz w:val="18"/>
                <w:szCs w:val="18"/>
              </w:rPr>
            </w:pPr>
            <w:r>
              <w:rPr>
                <w:rFonts w:hint="eastAsia"/>
                <w:b/>
                <w:sz w:val="18"/>
                <w:szCs w:val="18"/>
              </w:rPr>
              <w:t>个人投资者适用</w:t>
            </w:r>
          </w:p>
        </w:tc>
        <w:tc>
          <w:tcPr>
            <w:tcW w:w="7371" w:type="dxa"/>
          </w:tcPr>
          <w:p w14:paraId="11E37194">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14:paraId="53141F73">
            <w:pPr>
              <w:spacing w:line="360" w:lineRule="auto"/>
              <w:ind w:firstLine="361"/>
              <w:jc w:val="left"/>
              <w:rPr>
                <w:b/>
                <w:sz w:val="18"/>
                <w:szCs w:val="18"/>
              </w:rPr>
            </w:pPr>
          </w:p>
          <w:p w14:paraId="1AED407A">
            <w:pPr>
              <w:spacing w:line="360" w:lineRule="auto"/>
              <w:ind w:firstLine="360"/>
              <w:jc w:val="left"/>
              <w:rPr>
                <w:sz w:val="18"/>
                <w:szCs w:val="18"/>
              </w:rPr>
            </w:pPr>
            <w:r>
              <w:rPr>
                <w:rFonts w:hint="eastAsia"/>
                <w:sz w:val="18"/>
                <w:szCs w:val="18"/>
              </w:rPr>
              <w:t>日期：</w:t>
            </w:r>
          </w:p>
        </w:tc>
      </w:tr>
      <w:tr w14:paraId="3705525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14:paraId="628073F2">
            <w:pPr>
              <w:spacing w:line="360" w:lineRule="auto"/>
              <w:jc w:val="left"/>
              <w:rPr>
                <w:b/>
                <w:sz w:val="18"/>
                <w:szCs w:val="18"/>
              </w:rPr>
            </w:pPr>
            <w:r>
              <w:rPr>
                <w:rFonts w:hint="eastAsia"/>
                <w:b/>
                <w:sz w:val="18"/>
                <w:szCs w:val="18"/>
              </w:rPr>
              <w:t>机构投资者适用</w:t>
            </w:r>
          </w:p>
        </w:tc>
        <w:tc>
          <w:tcPr>
            <w:tcW w:w="7371" w:type="dxa"/>
          </w:tcPr>
          <w:p w14:paraId="699C441F">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14:paraId="0B1C1524">
            <w:pPr>
              <w:tabs>
                <w:tab w:val="left" w:pos="5609"/>
              </w:tabs>
              <w:spacing w:line="360" w:lineRule="auto"/>
              <w:ind w:firstLine="360"/>
              <w:jc w:val="left"/>
              <w:rPr>
                <w:rFonts w:cs="Arial"/>
                <w:sz w:val="18"/>
                <w:szCs w:val="18"/>
              </w:rPr>
            </w:pPr>
            <w:r>
              <w:rPr>
                <w:rFonts w:cs="Arial"/>
                <w:sz w:val="18"/>
                <w:szCs w:val="18"/>
              </w:rPr>
              <w:tab/>
            </w:r>
          </w:p>
          <w:p w14:paraId="54FE013A">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14:paraId="551602E2">
            <w:pPr>
              <w:spacing w:line="360" w:lineRule="auto"/>
              <w:ind w:firstLine="360"/>
              <w:jc w:val="left"/>
              <w:rPr>
                <w:sz w:val="18"/>
                <w:szCs w:val="18"/>
              </w:rPr>
            </w:pPr>
            <w:r>
              <w:rPr>
                <w:rFonts w:hint="eastAsia"/>
                <w:sz w:val="18"/>
                <w:szCs w:val="18"/>
              </w:rPr>
              <w:t>日期：</w:t>
            </w:r>
          </w:p>
        </w:tc>
      </w:tr>
    </w:tbl>
    <w:p w14:paraId="4AC8F564">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14:paraId="797C81E8">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Noto Sans SC">
    <w:panose1 w:val="020B0200000000000000"/>
    <w:charset w:val="86"/>
    <w:family w:val="auto"/>
    <w:pitch w:val="default"/>
    <w:sig w:usb0="20000083" w:usb1="2ADF3C10" w:usb2="00000016" w:usb3="00000000" w:csb0="6006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C4C6B">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A046B">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14:paraId="0D80A888">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1" w:cryptProviderType="rsaFull" w:cryptAlgorithmClass="hash" w:cryptAlgorithmType="typeAny" w:cryptAlgorithmSid="4" w:cryptSpinCount="0" w:hash="4/3uEv81SdkxXYgxtsxLi6czMCY=" w:salt="Ds8Ih1h2WjHC/qN/eQt0c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2493985"/>
    <w:rsid w:val="0356786B"/>
    <w:rsid w:val="03841BC8"/>
    <w:rsid w:val="046E31C1"/>
    <w:rsid w:val="056C4F65"/>
    <w:rsid w:val="05883C21"/>
    <w:rsid w:val="05B437EC"/>
    <w:rsid w:val="05B80C59"/>
    <w:rsid w:val="06F4696E"/>
    <w:rsid w:val="07245E56"/>
    <w:rsid w:val="072779FF"/>
    <w:rsid w:val="0BE22C8C"/>
    <w:rsid w:val="0C023D8C"/>
    <w:rsid w:val="0CA40EC4"/>
    <w:rsid w:val="0E94232E"/>
    <w:rsid w:val="0F1306D5"/>
    <w:rsid w:val="10134CDE"/>
    <w:rsid w:val="11295396"/>
    <w:rsid w:val="12432CFD"/>
    <w:rsid w:val="15DC4082"/>
    <w:rsid w:val="163E2FB7"/>
    <w:rsid w:val="18435CDA"/>
    <w:rsid w:val="1A48157B"/>
    <w:rsid w:val="1ABE2ED9"/>
    <w:rsid w:val="1B063B77"/>
    <w:rsid w:val="1BD70953"/>
    <w:rsid w:val="1BDE3514"/>
    <w:rsid w:val="1BF87698"/>
    <w:rsid w:val="1C78144D"/>
    <w:rsid w:val="1E585AB7"/>
    <w:rsid w:val="1EB160C2"/>
    <w:rsid w:val="1FF145B9"/>
    <w:rsid w:val="2193546F"/>
    <w:rsid w:val="23083986"/>
    <w:rsid w:val="23AF29A3"/>
    <w:rsid w:val="24924C8F"/>
    <w:rsid w:val="25675458"/>
    <w:rsid w:val="26123FD6"/>
    <w:rsid w:val="26F50BA9"/>
    <w:rsid w:val="29026D00"/>
    <w:rsid w:val="2A0E468C"/>
    <w:rsid w:val="2A642791"/>
    <w:rsid w:val="2AF97B0C"/>
    <w:rsid w:val="2B590E2A"/>
    <w:rsid w:val="2EA644DF"/>
    <w:rsid w:val="2FB532A0"/>
    <w:rsid w:val="2FE14D58"/>
    <w:rsid w:val="319C4BEA"/>
    <w:rsid w:val="3283538E"/>
    <w:rsid w:val="3360504C"/>
    <w:rsid w:val="33DA2E89"/>
    <w:rsid w:val="34B41D11"/>
    <w:rsid w:val="34C829B2"/>
    <w:rsid w:val="35381804"/>
    <w:rsid w:val="386A3F56"/>
    <w:rsid w:val="3A810EF7"/>
    <w:rsid w:val="3C3802E9"/>
    <w:rsid w:val="3E0C1771"/>
    <w:rsid w:val="3E421485"/>
    <w:rsid w:val="3E586AB8"/>
    <w:rsid w:val="3E5C1B1D"/>
    <w:rsid w:val="3EAE14E9"/>
    <w:rsid w:val="3FA22D5A"/>
    <w:rsid w:val="3FD261A6"/>
    <w:rsid w:val="42626C92"/>
    <w:rsid w:val="42EB2F9C"/>
    <w:rsid w:val="45226963"/>
    <w:rsid w:val="469F5C49"/>
    <w:rsid w:val="4A3241BC"/>
    <w:rsid w:val="4C163B54"/>
    <w:rsid w:val="4C210EF5"/>
    <w:rsid w:val="4C9978BA"/>
    <w:rsid w:val="4D39606F"/>
    <w:rsid w:val="4E2912CA"/>
    <w:rsid w:val="4F8E3D4D"/>
    <w:rsid w:val="4FA308F4"/>
    <w:rsid w:val="51BA7EA1"/>
    <w:rsid w:val="51E57594"/>
    <w:rsid w:val="526123AA"/>
    <w:rsid w:val="53B3493A"/>
    <w:rsid w:val="5537323C"/>
    <w:rsid w:val="55855837"/>
    <w:rsid w:val="55974979"/>
    <w:rsid w:val="56503211"/>
    <w:rsid w:val="57BD5DAE"/>
    <w:rsid w:val="58746388"/>
    <w:rsid w:val="598B567E"/>
    <w:rsid w:val="5BA577EB"/>
    <w:rsid w:val="5C624734"/>
    <w:rsid w:val="5FE91ABC"/>
    <w:rsid w:val="60D42826"/>
    <w:rsid w:val="628E734C"/>
    <w:rsid w:val="656B1A72"/>
    <w:rsid w:val="6580603B"/>
    <w:rsid w:val="68B96EA7"/>
    <w:rsid w:val="68C7223A"/>
    <w:rsid w:val="68EF6886"/>
    <w:rsid w:val="691F5BB5"/>
    <w:rsid w:val="694A7300"/>
    <w:rsid w:val="699457CF"/>
    <w:rsid w:val="6D9767D9"/>
    <w:rsid w:val="6E766957"/>
    <w:rsid w:val="6FDD1093"/>
    <w:rsid w:val="709C0126"/>
    <w:rsid w:val="70D35CA6"/>
    <w:rsid w:val="712F05BE"/>
    <w:rsid w:val="72473609"/>
    <w:rsid w:val="73EB7F47"/>
    <w:rsid w:val="76022652"/>
    <w:rsid w:val="768501BE"/>
    <w:rsid w:val="76B466CC"/>
    <w:rsid w:val="76C8601E"/>
    <w:rsid w:val="7831779D"/>
    <w:rsid w:val="794E1781"/>
    <w:rsid w:val="7AFB44D3"/>
    <w:rsid w:val="7D80556D"/>
    <w:rsid w:val="7ED86E63"/>
    <w:rsid w:val="7F7D23B8"/>
    <w:rsid w:val="7F8A69E7"/>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509BA638-9D3A-4AA3-A169-FF78BC0E4BE9}">
  <ds:schemaRefs/>
</ds:datastoreItem>
</file>

<file path=customXml/itemProps10.xml><?xml version="1.0" encoding="utf-8"?>
<ds:datastoreItem xmlns:ds="http://schemas.openxmlformats.org/officeDocument/2006/customXml" ds:itemID="{1EEDD527-97BA-47F6-B37E-95B51416FA3B}">
  <ds:schemaRefs/>
</ds:datastoreItem>
</file>

<file path=customXml/itemProps11.xml><?xml version="1.0" encoding="utf-8"?>
<ds:datastoreItem xmlns:ds="http://schemas.openxmlformats.org/officeDocument/2006/customXml" ds:itemID="{9114D43D-ED98-4C7B-A3AE-26D78B80CA82}">
  <ds:schemaRefs/>
</ds:datastoreItem>
</file>

<file path=customXml/itemProps12.xml><?xml version="1.0" encoding="utf-8"?>
<ds:datastoreItem xmlns:ds="http://schemas.openxmlformats.org/officeDocument/2006/customXml" ds:itemID="{1990A2D8-324F-45D5-B9CD-07245ED2860B}">
  <ds:schemaRefs/>
</ds:datastoreItem>
</file>

<file path=customXml/itemProps13.xml><?xml version="1.0" encoding="utf-8"?>
<ds:datastoreItem xmlns:ds="http://schemas.openxmlformats.org/officeDocument/2006/customXml" ds:itemID="{A06CD169-7F5C-4082-81B2-6ECAA9AF6149}">
  <ds:schemaRefs/>
</ds:datastoreItem>
</file>

<file path=customXml/itemProps14.xml><?xml version="1.0" encoding="utf-8"?>
<ds:datastoreItem xmlns:ds="http://schemas.openxmlformats.org/officeDocument/2006/customXml" ds:itemID="{3A3C3A8D-C5E4-45AF-8B48-C3BF528808AD}">
  <ds:schemaRefs/>
</ds:datastoreItem>
</file>

<file path=customXml/itemProps15.xml><?xml version="1.0" encoding="utf-8"?>
<ds:datastoreItem xmlns:ds="http://schemas.openxmlformats.org/officeDocument/2006/customXml" ds:itemID="{0A7AA9EF-3B8C-4BAA-9155-A6E3E5337D3C}">
  <ds:schemaRefs/>
</ds:datastoreItem>
</file>

<file path=customXml/itemProps16.xml><?xml version="1.0" encoding="utf-8"?>
<ds:datastoreItem xmlns:ds="http://schemas.openxmlformats.org/officeDocument/2006/customXml" ds:itemID="{D902962D-C8CC-43BF-804A-CD60AE6D7475}">
  <ds:schemaRefs/>
</ds:datastoreItem>
</file>

<file path=customXml/itemProps17.xml><?xml version="1.0" encoding="utf-8"?>
<ds:datastoreItem xmlns:ds="http://schemas.openxmlformats.org/officeDocument/2006/customXml" ds:itemID="{AC86F3EB-DB57-4B60-8A7E-BBB67A22EE0B}">
  <ds:schemaRefs/>
</ds:datastoreItem>
</file>

<file path=customXml/itemProps2.xml><?xml version="1.0" encoding="utf-8"?>
<ds:datastoreItem xmlns:ds="http://schemas.openxmlformats.org/officeDocument/2006/customXml" ds:itemID="{CF487381-D648-48A1-B1E4-A4540B0D3650}">
  <ds:schemaRefs/>
</ds:datastoreItem>
</file>

<file path=customXml/itemProps3.xml><?xml version="1.0" encoding="utf-8"?>
<ds:datastoreItem xmlns:ds="http://schemas.openxmlformats.org/officeDocument/2006/customXml" ds:itemID="{1A3BDF38-4832-4575-A8AB-7A1679738229}">
  <ds:schemaRefs/>
</ds:datastoreItem>
</file>

<file path=customXml/itemProps4.xml><?xml version="1.0" encoding="utf-8"?>
<ds:datastoreItem xmlns:ds="http://schemas.openxmlformats.org/officeDocument/2006/customXml" ds:itemID="{BEEE0313-55EB-45FA-BBBD-C0232D367255}">
  <ds:schemaRefs/>
</ds:datastoreItem>
</file>

<file path=customXml/itemProps5.xml><?xml version="1.0" encoding="utf-8"?>
<ds:datastoreItem xmlns:ds="http://schemas.openxmlformats.org/officeDocument/2006/customXml" ds:itemID="{EC45DDBE-A426-47CA-BC62-D025DE29F1BC}">
  <ds:schemaRefs/>
</ds:datastoreItem>
</file>

<file path=customXml/itemProps6.xml><?xml version="1.0" encoding="utf-8"?>
<ds:datastoreItem xmlns:ds="http://schemas.openxmlformats.org/officeDocument/2006/customXml" ds:itemID="{E6D3D55C-3DD8-4C31-8069-E5508DD844FB}">
  <ds:schemaRefs/>
</ds:datastoreItem>
</file>

<file path=customXml/itemProps7.xml><?xml version="1.0" encoding="utf-8"?>
<ds:datastoreItem xmlns:ds="http://schemas.openxmlformats.org/officeDocument/2006/customXml" ds:itemID="{2108FF18-8EC8-4170-A536-1AA8E39CC797}">
  <ds:schemaRefs/>
</ds:datastoreItem>
</file>

<file path=customXml/itemProps8.xml><?xml version="1.0" encoding="utf-8"?>
<ds:datastoreItem xmlns:ds="http://schemas.openxmlformats.org/officeDocument/2006/customXml" ds:itemID="{7E5C9D84-6DB6-48FB-8632-D5279FC233C8}">
  <ds:schemaRefs/>
</ds:datastoreItem>
</file>

<file path=customXml/itemProps9.xml><?xml version="1.0" encoding="utf-8"?>
<ds:datastoreItem xmlns:ds="http://schemas.openxmlformats.org/officeDocument/2006/customXml" ds:itemID="{79B37214-9E52-4241-8DD2-9E9CD944200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39</Pages>
  <Words>3557</Words>
  <Characters>20276</Characters>
  <Lines>168</Lines>
  <Paragraphs>47</Paragraphs>
  <TotalTime>9</TotalTime>
  <ScaleCrop>false</ScaleCrop>
  <LinksUpToDate>false</LinksUpToDate>
  <CharactersWithSpaces>23786</CharactersWithSpaces>
  <Application>WPS Office_12.1.0.24657_F1E327BC-269C-435d-A152-05C5408002CA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2026-06-08T07:42:53Z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E7753498575549C58E5916A0AC4FD49A_13</vt:lpwstr>
  </property>
</Properties>
</file>