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兴银理财【</w:t>
      </w:r>
      <w:r>
        <w:rPr>
          <w:rStyle w:val="10"/>
          <w:rFonts w:hint="eastAsia" w:ascii="黑体" w:hAnsi="黑体" w:eastAsia="黑体" w:cs="宋体"/>
          <w:sz w:val="44"/>
          <w:szCs w:val="44"/>
          <w:lang w:val="en-US" w:eastAsia="zh-CN"/>
        </w:rPr>
        <w:t>稳利安盈封闭式</w:t>
      </w:r>
      <w:r>
        <w:rPr>
          <w:rStyle w:val="10"/>
          <w:rFonts w:hint="eastAsia" w:ascii="黑体" w:hAnsi="黑体" w:eastAsia="黑体" w:cs="宋体"/>
          <w:sz w:val="44"/>
          <w:szCs w:val="44"/>
        </w:rPr>
        <w:t>】理财产品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39992301"/>
      <w:bookmarkStart w:id="1" w:name="_Toc123701383"/>
      <w:bookmarkStart w:id="2" w:name="_Toc123112263"/>
      <w:bookmarkStart w:id="3" w:name="_Toc123112224"/>
      <w:bookmarkStart w:id="4" w:name="_Toc139991726"/>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112225"/>
      <w:bookmarkStart w:id="6" w:name="_Toc123701384"/>
      <w:bookmarkStart w:id="7" w:name="_Toc123112264"/>
      <w:bookmarkStart w:id="8" w:name="_Toc139991727"/>
      <w:bookmarkStart w:id="9" w:name="_Toc139992302"/>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【2026】年【6】月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66"/>
      <w:bookmarkStart w:id="12" w:name="_Toc123112227"/>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【兴银理财稳利安盈封闭式2026年418期固收类理财产品】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eastAsia="宋体" w:cs="宋体"/>
                <w:sz w:val="18"/>
              </w:rPr>
              <w:t>【稳利安盈2026年418期A】 (适用【A】类份额)</w:t>
            </w:r>
            <w:r>
              <w:rPr>
                <w:rFonts w:ascii="宋体" w:hAnsi="宋体" w:eastAsia="宋体" w:cs="宋体"/>
                <w:sz w:val="18"/>
              </w:rPr>
              <w:br w:type="textWrapping"/>
            </w:r>
            <w:r>
              <w:rPr>
                <w:rFonts w:ascii="宋体" w:hAnsi="宋体" w:eastAsia="宋体" w:cs="宋体"/>
                <w:sz w:val="18"/>
              </w:rPr>
              <w:t>【稳利安盈2026年418期B】 (适用【B】类份额)</w:t>
            </w:r>
            <w:r>
              <w:rPr>
                <w:rFonts w:ascii="宋体" w:hAnsi="宋体" w:eastAsia="宋体" w:cs="宋体"/>
                <w:sz w:val="18"/>
              </w:rPr>
              <w:br w:type="textWrapping"/>
            </w:r>
            <w:r>
              <w:rPr>
                <w:rFonts w:ascii="宋体" w:hAnsi="宋体" w:eastAsia="宋体" w:cs="宋体"/>
                <w:sz w:val="18"/>
              </w:rPr>
              <w:t>【稳利安盈2026年418期C】 (适用【C】类份额)</w:t>
            </w:r>
            <w:r>
              <w:rPr>
                <w:rFonts w:ascii="宋体" w:hAnsi="宋体" w:eastAsia="宋体" w:cs="宋体"/>
                <w:sz w:val="18"/>
              </w:rPr>
              <w:br w:type="textWrapping"/>
            </w:r>
            <w:r>
              <w:rPr>
                <w:rFonts w:ascii="宋体" w:hAnsi="宋体" w:eastAsia="宋体" w:cs="宋体"/>
                <w:sz w:val="18"/>
              </w:rPr>
              <w:t>【稳利安盈2026年418期D】 (适用【D】类份额)</w:t>
            </w:r>
            <w:r>
              <w:rPr>
                <w:rFonts w:ascii="宋体" w:hAnsi="宋体" w:eastAsia="宋体" w:cs="宋体"/>
                <w:sz w:val="18"/>
              </w:rPr>
              <w:br w:type="textWrapping"/>
            </w:r>
            <w:r>
              <w:rPr>
                <w:rFonts w:ascii="宋体" w:hAnsi="宋体" w:eastAsia="宋体" w:cs="宋体"/>
                <w:sz w:val="18"/>
              </w:rPr>
              <w:t>【稳利安盈2026年418期E】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Z7002026001120</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【9A264180】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eastAsia="宋体" w:cs="宋体"/>
                <w:sz w:val="18"/>
              </w:rPr>
              <w:t>【9A26418A】 (适用【A】类份额)</w:t>
            </w:r>
            <w:r>
              <w:rPr>
                <w:rFonts w:ascii="宋体" w:hAnsi="宋体" w:eastAsia="宋体" w:cs="宋体"/>
                <w:sz w:val="18"/>
              </w:rPr>
              <w:br w:type="textWrapping"/>
            </w:r>
            <w:r>
              <w:rPr>
                <w:rFonts w:ascii="宋体" w:hAnsi="宋体" w:eastAsia="宋体" w:cs="宋体"/>
                <w:sz w:val="18"/>
              </w:rPr>
              <w:t>【9A26418B】 (适用【B】类份额)</w:t>
            </w:r>
            <w:r>
              <w:rPr>
                <w:rFonts w:ascii="宋体" w:hAnsi="宋体" w:eastAsia="宋体" w:cs="宋体"/>
                <w:sz w:val="18"/>
              </w:rPr>
              <w:br w:type="textWrapping"/>
            </w:r>
            <w:r>
              <w:rPr>
                <w:rFonts w:ascii="宋体" w:hAnsi="宋体" w:eastAsia="宋体" w:cs="宋体"/>
                <w:sz w:val="18"/>
              </w:rPr>
              <w:t>【9A26418C】 (适用【C】类份额)</w:t>
            </w:r>
            <w:r>
              <w:rPr>
                <w:rFonts w:ascii="宋体" w:hAnsi="宋体" w:eastAsia="宋体" w:cs="宋体"/>
                <w:sz w:val="18"/>
              </w:rPr>
              <w:br w:type="textWrapping"/>
            </w:r>
            <w:r>
              <w:rPr>
                <w:rFonts w:ascii="宋体" w:hAnsi="宋体" w:eastAsia="宋体" w:cs="宋体"/>
                <w:sz w:val="18"/>
              </w:rPr>
              <w:t>【9A26418D】 (适用【D】类份额)</w:t>
            </w:r>
            <w:r>
              <w:rPr>
                <w:rFonts w:ascii="宋体" w:hAnsi="宋体" w:eastAsia="宋体" w:cs="宋体"/>
                <w:sz w:val="18"/>
              </w:rPr>
              <w:br w:type="textWrapping"/>
            </w:r>
            <w:r>
              <w:rPr>
                <w:rFonts w:ascii="宋体" w:hAnsi="宋体" w:eastAsia="宋体" w:cs="宋体"/>
                <w:sz w:val="18"/>
              </w:rPr>
              <w:t>【9A26418E】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8</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14</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15</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867"/>
      <w:bookmarkStart w:id="15" w:name="_Toc123701389"/>
      <w:bookmarkStart w:id="16" w:name="_Toc29629"/>
      <w:bookmarkStart w:id="17" w:name="_Toc8727"/>
      <w:bookmarkStart w:id="18" w:name="_Toc123112229"/>
      <w:bookmarkStart w:id="19" w:name="_Toc32639"/>
      <w:bookmarkStart w:id="20" w:name="_Toc15517"/>
      <w:bookmarkStart w:id="21" w:name="_Toc4966"/>
      <w:bookmarkStart w:id="22" w:name="_Toc23386"/>
      <w:bookmarkStart w:id="23" w:name="_Toc30935"/>
      <w:bookmarkStart w:id="24" w:name="_Toc6306"/>
      <w:bookmarkStart w:id="25" w:name="_Toc26897"/>
      <w:bookmarkStart w:id="26" w:name="_Toc139991730"/>
      <w:bookmarkStart w:id="27" w:name="_Toc141703880"/>
      <w:bookmarkStart w:id="28" w:name="_Toc123112268"/>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1301"/>
      <w:bookmarkStart w:id="33" w:name="_Toc6617"/>
      <w:bookmarkStart w:id="34" w:name="_Toc13020"/>
      <w:bookmarkStart w:id="35" w:name="_Toc24860"/>
      <w:bookmarkStart w:id="36" w:name="_Toc3224"/>
      <w:bookmarkStart w:id="37" w:name="_Toc22864"/>
      <w:bookmarkStart w:id="38" w:name="_Toc2465"/>
      <w:bookmarkStart w:id="39" w:name="_Toc15067"/>
      <w:bookmarkStart w:id="40" w:name="_Toc819"/>
      <w:bookmarkStart w:id="41" w:name="_Toc19592"/>
      <w:bookmarkStart w:id="42" w:name="_Toc258829399"/>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3288"/>
      <w:bookmarkStart w:id="48" w:name="_Toc18631"/>
      <w:bookmarkStart w:id="49" w:name="_Toc6149"/>
      <w:bookmarkStart w:id="50" w:name="_Toc22708"/>
      <w:bookmarkStart w:id="51" w:name="_Toc545"/>
      <w:bookmarkStart w:id="52" w:name="_Toc733"/>
      <w:bookmarkStart w:id="53" w:name="_Toc20318"/>
      <w:bookmarkStart w:id="54" w:name="_Toc20627"/>
      <w:bookmarkStart w:id="55" w:name="_Toc6683"/>
      <w:bookmarkStart w:id="56" w:name="_Toc24571"/>
      <w:bookmarkStart w:id="57" w:name="_Toc74065740"/>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cs="宋体"/>
          <w:sz w:val="30"/>
          <w:szCs w:val="30"/>
        </w:rPr>
      </w:pPr>
      <w:r>
        <w:rPr>
          <w:rFonts w:hint="eastAsia" w:ascii="宋体" w:hAnsi="宋体" w:cs="宋体"/>
          <w:b/>
          <w:sz w:val="30"/>
          <w:szCs w:val="30"/>
        </w:rPr>
        <w:t>理财非存款、产品有风险、投资须谨慎！</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b/>
          <w:bCs/>
          <w:sz w:val="44"/>
          <w:szCs w:val="44"/>
        </w:rPr>
        <w:t>兴银理财【稳利安盈封闭式】理财产品</w:t>
      </w:r>
    </w:p>
    <w:p>
      <w:pPr>
        <w:adjustRightInd w:val="0"/>
        <w:spacing w:line="360" w:lineRule="auto"/>
        <w:jc w:val="center"/>
        <w:rPr>
          <w:rFonts w:ascii="黑体" w:hAnsi="黑体" w:eastAsia="黑体" w:cs="宋体"/>
          <w:sz w:val="44"/>
          <w:szCs w:val="44"/>
        </w:rPr>
      </w:pPr>
      <w:r>
        <w:rPr>
          <w:rFonts w:hint="eastAsia" w:ascii="黑体" w:hAnsi="黑体" w:eastAsia="黑体"/>
          <w:b/>
          <w:bCs/>
          <w:sz w:val="44"/>
          <w:szCs w:val="44"/>
        </w:rPr>
        <w:t>产品说明书</w:t>
      </w:r>
    </w:p>
    <w:p>
      <w:pPr>
        <w:adjustRightInd w:val="0"/>
        <w:spacing w:line="360" w:lineRule="auto"/>
        <w:jc w:val="center"/>
        <w:rPr>
          <w:rFonts w:ascii="宋体" w:hAnsi="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理财产品管理人：兴银理财有限责任公司</w:t>
      </w: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宋体"/>
          <w:sz w:val="32"/>
          <w:szCs w:val="32"/>
        </w:rPr>
      </w:pPr>
    </w:p>
    <w:p>
      <w:pPr>
        <w:adjustRightInd w:val="0"/>
        <w:spacing w:line="360" w:lineRule="auto"/>
        <w:jc w:val="center"/>
        <w:rPr>
          <w:rFonts w:ascii="宋体" w:hAnsi="宋体" w:cs="Times New Roman"/>
          <w:sz w:val="32"/>
          <w:szCs w:val="32"/>
        </w:rPr>
      </w:pPr>
      <w:r>
        <w:rPr>
          <w:rFonts w:hint="eastAsia" w:ascii="宋体" w:hAnsi="宋体" w:cs="Times New Roman"/>
          <w:b/>
          <w:bCs/>
          <w:sz w:val="32"/>
          <w:szCs w:val="32"/>
        </w:rPr>
        <w:t>日期</w:t>
      </w:r>
      <w:r>
        <w:rPr>
          <w:rFonts w:ascii="宋体" w:hAnsi="宋体" w:cs="Times New Roman"/>
          <w:b/>
          <w:bCs/>
          <w:sz w:val="32"/>
          <w:szCs w:val="32"/>
        </w:rPr>
        <w:t>：</w:t>
      </w:r>
      <w:r>
        <w:rPr>
          <w:rFonts w:hint="eastAsia" w:ascii="宋体" w:hAnsi="宋体" w:cs="Times New Roman"/>
          <w:b/>
          <w:bCs/>
          <w:sz w:val="32"/>
          <w:szCs w:val="32"/>
        </w:rPr>
        <w:t>【2026】年【6】月</w:t>
      </w:r>
    </w:p>
    <w:p>
      <w:pPr>
        <w:adjustRightInd w:val="0"/>
        <w:spacing w:line="360" w:lineRule="auto"/>
        <w:jc w:val="center"/>
        <w:rPr>
          <w:rFonts w:ascii="宋体" w:hAnsi="宋体" w:cs="宋体"/>
          <w:sz w:val="32"/>
          <w:szCs w:val="32"/>
        </w:rPr>
      </w:pPr>
    </w:p>
    <w:p>
      <w:pPr>
        <w:widowControl w:val="0"/>
        <w:autoSpaceDE w:val="0"/>
        <w:autoSpaceDN w:val="0"/>
        <w:adjustRightInd w:val="0"/>
        <w:spacing w:line="360" w:lineRule="auto"/>
        <w:rPr>
          <w:rFonts w:ascii="宋体" w:hAnsi="宋体" w:eastAsia="宋体" w:cs="宋体"/>
          <w:color w:val="000000"/>
          <w:sz w:val="28"/>
          <w:szCs w:val="28"/>
          <w:lang w:val="en-US" w:eastAsia="zh-CN" w:bidi="ar-SA"/>
        </w:rPr>
      </w:pPr>
      <w:r>
        <w:rPr>
          <w:rFonts w:ascii="宋体" w:hAnsi="宋体" w:eastAsia="宋体" w:cs="宋体"/>
          <w:color w:val="000000"/>
          <w:sz w:val="28"/>
          <w:szCs w:val="28"/>
          <w:lang w:val="en-US" w:eastAsia="zh-CN" w:bidi="ar-SA"/>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"_Toc176189754" </w:instrText>
          </w:r>
          <w:r>
            <w:rPr>
              <w:rFonts w:ascii="Calibri" w:hAnsi="Calibri" w:eastAsia="宋体" w:cs="宋体"/>
              <w:kern w:val="0"/>
              <w:sz w:val="22"/>
              <w:szCs w:val="22"/>
              <w:lang w:val="en-US" w:eastAsia="zh-CN" w:bidi="ar-SA"/>
            </w:rPr>
            <w:fldChar w:fldCharType="separate"/>
          </w:r>
          <w:r>
            <w:rPr>
              <w:rFonts w:hint="eastAsia" w:ascii="Times New Roman" w:hAnsi="宋体" w:eastAsia="宋体" w:cs="Times New Roman"/>
              <w:color w:val="0000FF"/>
              <w:kern w:val="0"/>
              <w:sz w:val="22"/>
              <w:szCs w:val="22"/>
              <w:u w:val="single"/>
              <w:lang w:val="en-US" w:eastAsia="zh-CN" w:bidi="ar-SA"/>
            </w:rPr>
            <w:t>第二条</w:t>
          </w:r>
          <w:r>
            <w:rPr>
              <w:rFonts w:ascii="Times New Roman" w:hAnsi="宋体" w:eastAsia="宋体" w:cs="Times New Roman"/>
              <w:color w:val="0000FF"/>
              <w:kern w:val="0"/>
              <w:sz w:val="22"/>
              <w:szCs w:val="22"/>
              <w:u w:val="single"/>
              <w:lang w:val="en-US" w:eastAsia="zh-CN" w:bidi="ar-SA"/>
            </w:rPr>
            <w:t xml:space="preserve">  </w:t>
          </w:r>
          <w:r>
            <w:rPr>
              <w:rFonts w:hint="eastAsia" w:ascii="Times New Roman" w:hAnsi="宋体" w:eastAsia="宋体" w:cs="Times New Roman"/>
              <w:color w:val="0000FF"/>
              <w:kern w:val="0"/>
              <w:sz w:val="22"/>
              <w:szCs w:val="22"/>
              <w:u w:val="single"/>
              <w:lang w:val="en-US" w:eastAsia="zh-CN" w:bidi="ar-SA"/>
            </w:rPr>
            <w:t>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"_Toc176189755"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第三条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"_Toc176189756"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第四条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"_Toc176189757"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第五条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"_Toc176189758"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第六条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_Toc176189758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"_Toc176189759"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第七条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_Toc176189759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"_Toc176189760"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第八条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_Toc176189760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42</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"_Toc176189761"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第九条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"_Toc176189762"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"_Toc176189763"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第十一条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296"/>
            </w:tabs>
            <w:spacing w:after="100" w:line="276" w:lineRule="auto"/>
            <w:jc w:val="left"/>
            <w:rPr>
              <w:rFonts w:ascii="Calibri" w:hAnsi="Calibri" w:eastAsia="宋体" w:cs="Times New Roman"/>
              <w:kern w:val="2"/>
              <w:sz w:val="21"/>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"_Toc176189764" </w:instrText>
          </w:r>
          <w:r>
            <w:rPr>
              <w:rFonts w:ascii="Calibri" w:hAnsi="Calibri" w:eastAsia="宋体" w:cs="宋体"/>
              <w:kern w:val="0"/>
              <w:sz w:val="22"/>
              <w:szCs w:val="22"/>
              <w:lang w:val="en-US" w:eastAsia="zh-CN" w:bidi="ar-SA"/>
            </w:rPr>
            <w:fldChar w:fldCharType="separate"/>
          </w:r>
          <w:r>
            <w:rPr>
              <w:rFonts w:hint="eastAsia" w:ascii="Times New Roman" w:hAnsi="Times New Roman" w:eastAsia="宋体" w:cs="Times New Roman"/>
              <w:color w:val="0000FF"/>
              <w:kern w:val="0"/>
              <w:sz w:val="22"/>
              <w:szCs w:val="22"/>
              <w:u w:val="single"/>
              <w:lang w:val="en-US" w:eastAsia="zh-CN" w:bidi="ar-SA"/>
            </w:rPr>
            <w:t>第十二条</w:t>
          </w:r>
          <w:r>
            <w:rPr>
              <w:rFonts w:ascii="Times New Roman" w:hAnsi="Times New Roman" w:eastAsia="宋体" w:cs="Times New Roman"/>
              <w:color w:val="0000FF"/>
              <w:kern w:val="0"/>
              <w:sz w:val="22"/>
              <w:szCs w:val="22"/>
              <w:u w:val="single"/>
              <w:lang w:val="en-US" w:eastAsia="zh-CN" w:bidi="ar-SA"/>
            </w:rPr>
            <w:t xml:space="preserve">  </w:t>
          </w:r>
          <w:r>
            <w:rPr>
              <w:rFonts w:hint="eastAsia" w:ascii="Times New Roman" w:hAnsi="Times New Roman" w:eastAsia="宋体" w:cs="Times New Roman"/>
              <w:color w:val="0000FF"/>
              <w:kern w:val="0"/>
              <w:sz w:val="22"/>
              <w:szCs w:val="22"/>
              <w:u w:val="single"/>
              <w:lang w:val="en-US" w:eastAsia="zh-CN" w:bidi="ar-SA"/>
            </w:rPr>
            <w:t>理财产品的风险揭示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_Toc176189764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cs="宋体"/>
              <w:szCs w:val="22"/>
            </w:rPr>
          </w:pPr>
          <w:r>
            <w:rPr>
              <w:rFonts w:ascii="Calibri" w:hAnsi="Calibri" w:cs="宋体"/>
              <w:szCs w:val="22"/>
            </w:rPr>
            <w:fldChar w:fldCharType="end"/>
          </w:r>
        </w:p>
      </w:sdtContent>
    </w:sdt>
    <w:p>
      <w:pPr>
        <w:rPr>
          <w:rFonts w:ascii="Times New Roman" w:hAnsi="Calibri" w:cs="宋体"/>
          <w:sz w:val="30"/>
          <w:szCs w:val="22"/>
        </w:rPr>
      </w:pPr>
      <w:r>
        <w:rPr>
          <w:rFonts w:ascii="Times New Roman" w:hAnsi="Calibri" w:cs="宋体"/>
          <w:sz w:val="30"/>
          <w:szCs w:val="22"/>
        </w:rPr>
        <w:br w:type="page"/>
      </w:r>
      <w:bookmarkStart w:id="222" w:name="_GoBack"/>
      <w:bookmarkEnd w:id="222"/>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17618975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6"/>
      <w:bookmarkEnd w:id="67"/>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国家金融监督管理总局认定的其他业务活动</w:t>
      </w:r>
      <w:r>
        <w:rPr>
          <w:rFonts w:ascii="宋体" w:hAnsi="宋体" w:eastAsia="宋体" w:cs="宋体"/>
          <w:bCs/>
          <w:color w:val="auto"/>
          <w:sz w:val="18"/>
          <w:szCs w:val="18"/>
          <w:lang w:val="en-US" w:eastAsia="zh-CN" w:bidi="ar-SA"/>
        </w:rPr>
        <w:t>。各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：指产品管理人向投资者提供的，用于描述产品特征，约定权利义务的文件。具体指《兴银理财【稳利安盈封闭式】理财产品销售文件》，包括《投资协议书》《产品说明书》《（代理）销售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《投资协议书》：指管理人统一编制的《兴银理财【稳利安盈封闭式】理财产品投资协议书》，以及对该文件的有效修改或补充。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）《产品说明书》：指管理人统一编制的《兴银理财【稳利安盈封闭式】理财产品产品说明书》，以及对该文件的有效修改或补充。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（4）《（代理）销售协议书》：指管理人统一编制的《兴银理财【稳利安盈封闭式】理财产品（代理）销售协议书》或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的《兴银理财【稳利安盈封闭式】理财产品（代理）销售协议书》（文件名称以代理销售机构实际编制为准），以及对该文件的有效修改或补充。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）《风险揭示书》：指管理人统一编制的《兴银理财【稳利安盈封闭式】理财产品风险揭示书》或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的《兴银理财【稳利安盈封闭式】理财产品风险揭示书》（文件名称以代理销售机构实际编制为准），以及对该文件的有效修改或补充。</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）《投资者权益须知》：指管理人统一编制的《兴银理财【稳利安盈封闭式】理财产品投资者权益须知》或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《兴银理财【稳利安盈封闭式】理财产品投资者权益须知》（文件名称以代理销售机构实际编制为准），以及对该文件的有效修改或补充。</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w:t>
      </w:r>
      <w:r>
        <w:rPr>
          <w:rFonts w:hint="eastAsia" w:ascii="宋体" w:hAnsi="宋体" w:eastAsia="宋体" w:cs="宋体"/>
          <w:bCs/>
          <w:color w:val="auto"/>
          <w:sz w:val="18"/>
          <w:szCs w:val="18"/>
          <w:lang w:val="en-US" w:eastAsia="zh-CN" w:bidi="ar-SA"/>
        </w:rPr>
        <w:t>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为每类份额类别设置的唯一性</w:t>
      </w:r>
      <w:r>
        <w:rPr>
          <w:rFonts w:hint="eastAsia" w:ascii="宋体" w:hAnsi="宋体" w:eastAsia="宋体" w:cs="宋体"/>
          <w:bCs/>
          <w:color w:val="auto"/>
          <w:sz w:val="18"/>
          <w:szCs w:val="18"/>
          <w:lang w:val="en-US" w:eastAsia="zh-CN" w:bidi="ar-SA"/>
        </w:rPr>
        <w:t>内部识别码。若本款理财产品不设置差异化产品份额类别，理财产品代码即为理财产品销售代码。</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w:t>
      </w:r>
      <w:r>
        <w:rPr>
          <w:rFonts w:ascii="宋体" w:hAnsi="宋体" w:eastAsia="宋体" w:cs="宋体"/>
          <w:bCs/>
          <w:color w:val="000000"/>
          <w:sz w:val="18"/>
          <w:szCs w:val="18"/>
          <w:lang w:val="en-US" w:eastAsia="zh-CN" w:bidi="ar-SA"/>
        </w:rPr>
        <w:t>理财</w:t>
      </w:r>
      <w:r>
        <w:rPr>
          <w:rFonts w:hint="eastAsia" w:ascii="宋体" w:hAnsi="宋体" w:eastAsia="宋体" w:cs="宋体"/>
          <w:bCs/>
          <w:color w:val="000000"/>
          <w:sz w:val="18"/>
          <w:szCs w:val="18"/>
          <w:lang w:val="en-US" w:eastAsia="zh-CN" w:bidi="ar-SA"/>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产品的投资者类型。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0）理财产品估值：指计算评估理财产品资产和理财产品负债的价值，以确定理财产品份额净值的过程。</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黑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黑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黑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widowControl w:val="0"/>
        <w:autoSpaceDE w:val="0"/>
        <w:autoSpaceDN w:val="0"/>
        <w:adjustRightInd w:val="0"/>
        <w:spacing w:line="360" w:lineRule="auto"/>
        <w:ind w:firstLine="360" w:firstLineChars="200"/>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3）理财产品利益/理财利益：指投资者因持有理财产品份额，按照销售文件约定取得或有权取得的理财产品管理人分配的理财产品资产。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4</w:t>
      </w:r>
      <w:r>
        <w:rPr>
          <w:rFonts w:ascii="宋体" w:hAnsi="宋体" w:eastAsia="宋体" w:cs="宋体"/>
          <w:bCs/>
          <w:color w:val="auto"/>
          <w:sz w:val="18"/>
          <w:szCs w:val="18"/>
          <w:lang w:val="en-US" w:eastAsia="zh-CN" w:bidi="ar-SA"/>
        </w:rPr>
        <w:t xml:space="preserve">）利益分配：指产品管理人向投资者进行理财产品利益分配。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w:t>
      </w:r>
      <w:r>
        <w:rPr>
          <w:rFonts w:ascii="宋体" w:hAnsi="宋体" w:eastAsia="宋体" w:cs="宋体"/>
          <w:bCs/>
          <w:color w:val="auto"/>
          <w:sz w:val="18"/>
          <w:szCs w:val="18"/>
          <w:lang w:val="en-US" w:eastAsia="zh-CN" w:bidi="ar-SA"/>
        </w:rPr>
        <w:t xml:space="preserve">）期间分配：指在理财产品终止日（不含当日）前的理财产品利益分配。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w:t>
      </w:r>
      <w:r>
        <w:rPr>
          <w:rFonts w:ascii="宋体" w:hAnsi="宋体" w:eastAsia="宋体" w:cs="宋体"/>
          <w:bCs/>
          <w:color w:val="auto"/>
          <w:sz w:val="18"/>
          <w:szCs w:val="18"/>
          <w:lang w:val="en-US" w:eastAsia="zh-CN" w:bidi="ar-SA"/>
        </w:rPr>
        <w:t>）终止分配：指在理财产品终止日当日及之后的理财产品利益分配。</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产品开始运作的日期。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w:t>
      </w:r>
      <w:r>
        <w:rPr>
          <w:rFonts w:ascii="宋体" w:hAnsi="Calibri" w:eastAsia="宋体" w:cs="宋体"/>
          <w:color w:val="auto"/>
          <w:sz w:val="18"/>
          <w:szCs w:val="18"/>
          <w:lang w:val="en-US" w:eastAsia="zh-CN" w:bidi="ar-SA"/>
        </w:rPr>
        <w:t>理财</w:t>
      </w:r>
      <w:r>
        <w:rPr>
          <w:rFonts w:hint="eastAsia" w:ascii="宋体" w:hAnsi="Calibri" w:eastAsia="宋体" w:cs="宋体"/>
          <w:color w:val="auto"/>
          <w:sz w:val="18"/>
          <w:szCs w:val="18"/>
          <w:lang w:val="en-US" w:eastAsia="zh-CN" w:bidi="ar-SA"/>
        </w:rPr>
        <w:t>产品终止的日期。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widowControl w:val="0"/>
        <w:autoSpaceDE w:val="0"/>
        <w:autoSpaceDN w:val="0"/>
        <w:adjustRightInd w:val="0"/>
        <w:spacing w:line="360" w:lineRule="auto"/>
        <w:ind w:firstLine="360" w:firstLineChars="200"/>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（11）产品存续期：指自理财产品成立日起，至理财产品终止日的期间。</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2）清算期：指自本理财产品终止日至投资者理财利益到账日之间的期间。</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2）</w:t>
      </w:r>
      <w:r>
        <w:rPr>
          <w:rFonts w:hint="eastAsia" w:ascii="宋体" w:hAnsi="宋体" w:eastAsia="宋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color w:val="000000"/>
          <w:sz w:val="28"/>
          <w:szCs w:val="2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color w:val="000000"/>
          <w:sz w:val="18"/>
          <w:szCs w:val="18"/>
          <w:lang w:val="en-US" w:eastAsia="zh-CN" w:bidi="ar-SA"/>
        </w:rPr>
        <w:t>理财登记托管中心、</w:t>
      </w:r>
      <w:r>
        <w:rPr>
          <w:rFonts w:hint="eastAsia" w:ascii="宋体" w:hAnsi="宋体" w:eastAsia="宋体" w:cs="宋体"/>
          <w:bCs/>
          <w:color w:val="000000"/>
          <w:sz w:val="18"/>
          <w:szCs w:val="18"/>
          <w:lang w:val="en-US" w:eastAsia="zh-CN" w:bidi="ar-SA"/>
        </w:rPr>
        <w:t>银行间交易商协会、证券交易所、证券登记结算机构、相关</w:t>
      </w:r>
      <w:r>
        <w:rPr>
          <w:rFonts w:ascii="宋体" w:hAnsi="宋体" w:eastAsia="宋体" w:cs="宋体"/>
          <w:bCs/>
          <w:color w:val="000000"/>
          <w:sz w:val="18"/>
          <w:szCs w:val="18"/>
          <w:lang w:val="en-US" w:eastAsia="zh-CN" w:bidi="ar-SA"/>
        </w:rPr>
        <w:t>行</w:t>
      </w:r>
      <w:r>
        <w:rPr>
          <w:rFonts w:hint="eastAsia" w:ascii="宋体" w:hAnsi="宋体" w:eastAsia="宋体" w:cs="宋体"/>
          <w:bCs/>
          <w:color w:val="000000"/>
          <w:sz w:val="18"/>
          <w:szCs w:val="18"/>
          <w:lang w:val="en-US" w:eastAsia="zh-CN" w:bidi="ar-SA"/>
        </w:rPr>
        <w:t>业协会依法颁布的，适用于本理财产品相关事宜的法律、行政法规、地方法规、部委规章、地方政府规章、规范性文件、规则、通知、须知、业务指南、指引或操作规程，及其有效的修改、更新或补充。</w:t>
      </w:r>
      <w:r>
        <w:rPr>
          <w:rFonts w:ascii="宋体" w:hAnsi="宋体" w:eastAsia="宋体" w:cs="宋体"/>
          <w:color w:val="000000"/>
          <w:sz w:val="28"/>
          <w:szCs w:val="28"/>
          <w:lang w:val="en-US" w:eastAsia="zh-CN" w:bidi="ar-SA"/>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68" w:name="_Toc176189754"/>
      <w:bookmarkStart w:id="69" w:name="_Toc79154665"/>
      <w:r>
        <w:rPr>
          <w:rFonts w:hint="eastAsia" w:ascii="Calibri" w:hAnsi="宋体" w:eastAsia="宋体" w:cs="宋体"/>
          <w:b/>
          <w:bCs/>
          <w:kern w:val="44"/>
          <w:sz w:val="28"/>
          <w:szCs w:val="28"/>
          <w:lang w:val="en-US" w:eastAsia="zh-CN" w:bidi="ar-SA"/>
        </w:rPr>
        <w:t>第二条  理财产品基本情况</w:t>
      </w:r>
      <w:bookmarkEnd w:id="68"/>
      <w:bookmarkEnd w:id="69"/>
      <w:r>
        <w:rPr>
          <w:rFonts w:hint="eastAsia" w:ascii="Calibri" w:hAnsi="宋体" w:eastAsia="宋体" w:cs="宋体"/>
          <w:b/>
          <w:bCs/>
          <w:kern w:val="44"/>
          <w:sz w:val="28"/>
          <w:szCs w:val="28"/>
          <w:lang w:val="en-US" w:eastAsia="zh-CN" w:bidi="ar-SA"/>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理财产品名称</w:t>
            </w:r>
          </w:p>
        </w:tc>
        <w:tc>
          <w:tcPr>
            <w:tcW w:w="7674" w:type="dxa"/>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ascii="宋体" w:hAnsi="宋体" w:cs="宋体"/>
                <w:bCs/>
                <w:sz w:val="18"/>
                <w:szCs w:val="18"/>
              </w:rPr>
            </w:pPr>
            <w:r>
              <w:rPr>
                <w:rFonts w:hint="eastAsia" w:ascii="宋体" w:hAnsi="宋体" w:eastAsia="宋体" w:cs="宋体"/>
                <w:bCs/>
                <w:kern w:val="0"/>
                <w:sz w:val="18"/>
                <w:szCs w:val="18"/>
                <w:lang w:val="en-US" w:eastAsia="zh-CN" w:bidi="ar"/>
              </w:rPr>
              <w:t>【兴银理财稳利安盈封闭式2026年418期固收类理财产品】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产品销售名称</w:t>
            </w:r>
          </w:p>
        </w:tc>
        <w:tc>
          <w:tcPr>
            <w:tcW w:w="7674" w:type="dxa"/>
            <w:shd w:val="solid" w:color="FFFFFF" w:fill="FFFFFF"/>
            <w:vAlign w:val="top"/>
          </w:tcPr>
          <w:p>
            <w:pPr>
              <w:keepNext w:val="0"/>
              <w:keepLines w:val="0"/>
              <w:widowControl/>
              <w:suppressLineNumbers w:val="0"/>
              <w:spacing w:before="0" w:beforeAutospacing="0" w:after="0" w:afterAutospacing="0" w:line="360" w:lineRule="auto"/>
              <w:ind w:left="0" w:leftChars="0" w:right="0" w:rightChars="0"/>
              <w:jc w:val="left"/>
              <w:rPr>
                <w:rFonts w:ascii="宋体" w:hAnsi="宋体" w:cs="宋体"/>
                <w:kern w:val="0"/>
                <w:sz w:val="22"/>
                <w:szCs w:val="22"/>
              </w:rPr>
            </w:pPr>
            <w:r>
              <w:rPr>
                <w:rFonts w:ascii="宋体" w:hAnsi="宋体" w:eastAsia="宋体" w:cs="宋体"/>
                <w:sz w:val="18"/>
                <w:szCs w:val="22"/>
              </w:rPr>
              <w:t>【稳利安盈2026年418期A】 (适用【A】类份额)</w:t>
            </w:r>
            <w:r>
              <w:rPr>
                <w:rFonts w:ascii="宋体" w:hAnsi="宋体" w:eastAsia="宋体" w:cs="宋体"/>
                <w:sz w:val="18"/>
                <w:szCs w:val="22"/>
              </w:rPr>
              <w:br w:type="textWrapping"/>
            </w:r>
            <w:r>
              <w:rPr>
                <w:rFonts w:ascii="宋体" w:hAnsi="宋体" w:eastAsia="宋体" w:cs="宋体"/>
                <w:sz w:val="18"/>
                <w:szCs w:val="22"/>
              </w:rPr>
              <w:t>【稳利安盈2026年418期B】 (适用【B】类份额)</w:t>
            </w:r>
            <w:r>
              <w:rPr>
                <w:rFonts w:ascii="宋体" w:hAnsi="宋体" w:eastAsia="宋体" w:cs="宋体"/>
                <w:sz w:val="18"/>
                <w:szCs w:val="22"/>
              </w:rPr>
              <w:br w:type="textWrapping"/>
            </w:r>
            <w:r>
              <w:rPr>
                <w:rFonts w:ascii="宋体" w:hAnsi="宋体" w:eastAsia="宋体" w:cs="宋体"/>
                <w:sz w:val="18"/>
                <w:szCs w:val="22"/>
              </w:rPr>
              <w:t>【稳利安盈2026年418期C】 (适用【C】类份额)</w:t>
            </w:r>
            <w:r>
              <w:rPr>
                <w:rFonts w:ascii="宋体" w:hAnsi="宋体" w:eastAsia="宋体" w:cs="宋体"/>
                <w:sz w:val="18"/>
                <w:szCs w:val="22"/>
              </w:rPr>
              <w:br w:type="textWrapping"/>
            </w:r>
            <w:r>
              <w:rPr>
                <w:rFonts w:ascii="宋体" w:hAnsi="宋体" w:eastAsia="宋体" w:cs="宋体"/>
                <w:sz w:val="18"/>
                <w:szCs w:val="22"/>
              </w:rPr>
              <w:t>【稳利安盈2026年418期D】 (适用【D】类份额)</w:t>
            </w:r>
            <w:r>
              <w:rPr>
                <w:rFonts w:ascii="宋体" w:hAnsi="宋体" w:eastAsia="宋体" w:cs="宋体"/>
                <w:sz w:val="18"/>
                <w:szCs w:val="22"/>
              </w:rPr>
              <w:br w:type="textWrapping"/>
            </w:r>
            <w:r>
              <w:rPr>
                <w:rFonts w:ascii="宋体" w:hAnsi="宋体" w:eastAsia="宋体" w:cs="宋体"/>
                <w:sz w:val="18"/>
                <w:szCs w:val="22"/>
              </w:rPr>
              <w:t>【稳利安盈2026年418期E】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产品登记编码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cs="宋体"/>
                <w:b/>
                <w:sz w:val="18"/>
                <w:szCs w:val="18"/>
              </w:rPr>
            </w:pPr>
            <w:r>
              <w:rPr>
                <w:rFonts w:hint="eastAsia" w:ascii="宋体" w:hAnsi="宋体" w:cs="宋体"/>
                <w:sz w:val="18"/>
                <w:szCs w:val="18"/>
              </w:rPr>
              <w:t>【</w:t>
            </w:r>
            <w:r>
              <w:rPr>
                <w:rFonts w:hint="eastAsia" w:ascii="宋体" w:hAnsi="宋体" w:cs="宋体"/>
                <w:sz w:val="18"/>
                <w:szCs w:val="18"/>
                <w:lang w:val="en-US" w:eastAsia="zh-CN"/>
              </w:rPr>
              <w:t>Z7002026001120</w:t>
            </w:r>
            <w:r>
              <w:rPr>
                <w:rFonts w:hint="eastAsia" w:ascii="宋体" w:hAnsi="宋体" w:cs="宋体"/>
                <w:sz w:val="18"/>
                <w:szCs w:val="18"/>
              </w:rPr>
              <w:t>】</w:t>
            </w:r>
            <w:r>
              <w:rPr>
                <w:rFonts w:hint="eastAsia" w:ascii="宋体" w:hAnsi="宋体" w:eastAsia="宋体" w:cs="宋体"/>
                <w:sz w:val="18"/>
                <w:szCs w:val="18"/>
              </w:rPr>
              <w:t>投资者可依据理财产品登记编码在中国理财网</w:t>
            </w:r>
            <w:r>
              <w:rPr>
                <w:rFonts w:hint="default" w:ascii="宋体" w:hAnsi="宋体" w:eastAsia="宋体" w:cs="宋体"/>
                <w:sz w:val="18"/>
                <w:szCs w:val="18"/>
              </w:rPr>
              <w:t>(</w:t>
            </w:r>
            <w:r>
              <w:rPr>
                <w:rFonts w:hint="default" w:ascii="Calibri" w:hAnsi="Calibri" w:cs="宋体"/>
                <w:szCs w:val="22"/>
              </w:rPr>
              <w:fldChar w:fldCharType="begin"/>
            </w:r>
            <w:r>
              <w:rPr>
                <w:rFonts w:hint="default" w:ascii="Calibri" w:hAnsi="Calibri" w:cs="宋体"/>
                <w:szCs w:val="22"/>
              </w:rPr>
              <w:instrText xml:space="preserve"> HYPERLINK "http://www.chinawealth.com.cn" </w:instrText>
            </w:r>
            <w:r>
              <w:rPr>
                <w:rFonts w:hint="default" w:ascii="Calibri" w:hAnsi="Calibri" w:cs="宋体"/>
                <w:szCs w:val="22"/>
              </w:rPr>
              <w:fldChar w:fldCharType="separate"/>
            </w:r>
            <w:r>
              <w:rPr>
                <w:rFonts w:hint="default" w:ascii="宋体" w:hAnsi="宋体" w:eastAsia="宋体" w:cs="宋体"/>
                <w:sz w:val="18"/>
                <w:szCs w:val="18"/>
              </w:rPr>
              <w:t>www.chinawealth.com.cn</w:t>
            </w:r>
            <w:r>
              <w:rPr>
                <w:rFonts w:hint="default" w:ascii="宋体" w:hAnsi="宋体" w:eastAsia="宋体" w:cs="宋体"/>
                <w:sz w:val="18"/>
                <w:szCs w:val="18"/>
              </w:rPr>
              <w:fldChar w:fldCharType="end"/>
            </w:r>
            <w:r>
              <w:rPr>
                <w:rFonts w:hint="default"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cs="宋体"/>
                <w:b/>
                <w:bCs/>
                <w:sz w:val="18"/>
                <w:szCs w:val="18"/>
              </w:rPr>
              <w:t>产品代码</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ascii="宋体" w:hAnsi="宋体" w:cs="宋体"/>
                <w:bCs/>
                <w:sz w:val="18"/>
                <w:szCs w:val="18"/>
              </w:rPr>
            </w:pPr>
            <w:r>
              <w:rPr>
                <w:rFonts w:hint="eastAsia" w:ascii="宋体" w:hAnsi="宋体" w:eastAsia="宋体" w:cs="宋体"/>
                <w:bCs/>
                <w:color w:val="000000"/>
                <w:kern w:val="2"/>
                <w:sz w:val="18"/>
                <w:szCs w:val="18"/>
                <w:lang w:val="en-US" w:eastAsia="zh-CN" w:bidi="ar"/>
              </w:rPr>
              <w:t>【9A264180】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Calibri" w:hAnsi="宋体" w:cs="宋体"/>
                <w:b/>
                <w:sz w:val="18"/>
                <w:szCs w:val="18"/>
              </w:rPr>
            </w:pPr>
            <w:r>
              <w:rPr>
                <w:rFonts w:hint="eastAsia" w:ascii="Calibri" w:hAnsi="宋体" w:cs="宋体"/>
                <w:b/>
                <w:sz w:val="18"/>
                <w:szCs w:val="18"/>
              </w:rPr>
              <w:t>★销售代码</w:t>
            </w:r>
          </w:p>
        </w:tc>
        <w:tc>
          <w:tcPr>
            <w:tcW w:w="7674" w:type="dxa"/>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ascii="Calibri" w:hAnsi="宋体" w:cs="宋体"/>
                <w:sz w:val="18"/>
                <w:szCs w:val="18"/>
              </w:rPr>
            </w:pPr>
            <w:r>
              <w:rPr>
                <w:rFonts w:ascii="宋体" w:hAnsi="宋体" w:eastAsia="宋体" w:cs="宋体"/>
                <w:sz w:val="18"/>
                <w:szCs w:val="22"/>
              </w:rPr>
              <w:t>【9A26418A】 (适用【A】类份额)</w:t>
            </w:r>
            <w:r>
              <w:rPr>
                <w:rFonts w:ascii="宋体" w:hAnsi="宋体" w:eastAsia="宋体" w:cs="宋体"/>
                <w:sz w:val="18"/>
                <w:szCs w:val="22"/>
              </w:rPr>
              <w:br w:type="textWrapping"/>
            </w:r>
            <w:r>
              <w:rPr>
                <w:rFonts w:ascii="宋体" w:hAnsi="宋体" w:eastAsia="宋体" w:cs="宋体"/>
                <w:sz w:val="18"/>
                <w:szCs w:val="22"/>
              </w:rPr>
              <w:t>【9A26418B】 (适用【B】类份额)</w:t>
            </w:r>
            <w:r>
              <w:rPr>
                <w:rFonts w:ascii="宋体" w:hAnsi="宋体" w:eastAsia="宋体" w:cs="宋体"/>
                <w:sz w:val="18"/>
                <w:szCs w:val="22"/>
              </w:rPr>
              <w:br w:type="textWrapping"/>
            </w:r>
            <w:r>
              <w:rPr>
                <w:rFonts w:ascii="宋体" w:hAnsi="宋体" w:eastAsia="宋体" w:cs="宋体"/>
                <w:sz w:val="18"/>
                <w:szCs w:val="22"/>
              </w:rPr>
              <w:t>【9A26418C】 (适用【C】类份额)</w:t>
            </w:r>
            <w:r>
              <w:rPr>
                <w:rFonts w:ascii="宋体" w:hAnsi="宋体" w:eastAsia="宋体" w:cs="宋体"/>
                <w:sz w:val="18"/>
                <w:szCs w:val="22"/>
              </w:rPr>
              <w:br w:type="textWrapping"/>
            </w:r>
            <w:r>
              <w:rPr>
                <w:rFonts w:ascii="宋体" w:hAnsi="宋体" w:eastAsia="宋体" w:cs="宋体"/>
                <w:sz w:val="18"/>
                <w:szCs w:val="22"/>
              </w:rPr>
              <w:t>【9A26418D】 (适用【D】类份额)</w:t>
            </w:r>
            <w:r>
              <w:rPr>
                <w:rFonts w:ascii="宋体" w:hAnsi="宋体" w:eastAsia="宋体" w:cs="宋体"/>
                <w:sz w:val="18"/>
                <w:szCs w:val="22"/>
              </w:rPr>
              <w:br w:type="textWrapping"/>
            </w:r>
            <w:r>
              <w:rPr>
                <w:rFonts w:ascii="宋体" w:hAnsi="宋体" w:eastAsia="宋体" w:cs="宋体"/>
                <w:sz w:val="18"/>
                <w:szCs w:val="22"/>
              </w:rPr>
              <w:t>【9A26418E】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Calibri" w:hAnsi="宋体" w:cs="宋体"/>
                <w:b/>
                <w:sz w:val="18"/>
                <w:szCs w:val="18"/>
              </w:rPr>
              <w:t>产品</w:t>
            </w:r>
            <w:r>
              <w:rPr>
                <w:rFonts w:ascii="Calibri" w:hAnsi="宋体" w:cs="宋体"/>
                <w:b/>
                <w:sz w:val="18"/>
                <w:szCs w:val="18"/>
              </w:rPr>
              <w:t>份额类别</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.本产品根据投资者购买理财产品的金额、</w:t>
            </w:r>
            <w:r>
              <w:rPr>
                <w:rFonts w:ascii="宋体" w:hAnsi="宋体" w:cs="宋体"/>
                <w:bCs/>
                <w:sz w:val="18"/>
                <w:szCs w:val="18"/>
              </w:rPr>
              <w:t>投资者</w:t>
            </w:r>
            <w:r>
              <w:rPr>
                <w:rFonts w:hint="eastAsia" w:ascii="宋体" w:hAnsi="宋体" w:cs="宋体"/>
                <w:bCs/>
                <w:sz w:val="18"/>
                <w:szCs w:val="18"/>
              </w:rPr>
              <w:t>类型、</w:t>
            </w:r>
            <w:r>
              <w:rPr>
                <w:rFonts w:ascii="宋体" w:hAnsi="宋体" w:cs="宋体"/>
                <w:bCs/>
                <w:sz w:val="18"/>
                <w:szCs w:val="18"/>
              </w:rPr>
              <w:t>销售渠道</w:t>
            </w:r>
            <w:r>
              <w:rPr>
                <w:rFonts w:hint="eastAsia" w:ascii="宋体" w:hAnsi="宋体" w:cs="宋体"/>
                <w:bCs/>
                <w:sz w:val="18"/>
                <w:szCs w:val="18"/>
              </w:rPr>
              <w:t>等因素，对投资者所持有的理财产品份额设置不同的理财产品份额类别。</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.本产品设置不同的理财产品份额，每类理财产品份额以下内容</w:t>
            </w:r>
            <w:r>
              <w:rPr>
                <w:rFonts w:ascii="宋体" w:hAnsi="宋体" w:cs="宋体"/>
                <w:bCs/>
                <w:sz w:val="18"/>
                <w:szCs w:val="18"/>
              </w:rPr>
              <w:t>可能</w:t>
            </w:r>
            <w:r>
              <w:rPr>
                <w:rFonts w:hint="eastAsia" w:ascii="宋体" w:hAnsi="宋体" w:cs="宋体"/>
                <w:bCs/>
                <w:sz w:val="18"/>
                <w:szCs w:val="18"/>
              </w:rPr>
              <w:t>单独设置：</w:t>
            </w:r>
          </w:p>
          <w:p>
            <w:pPr>
              <w:spacing w:line="360" w:lineRule="auto"/>
              <w:rPr>
                <w:rFonts w:ascii="宋体" w:hAnsi="宋体" w:cs="宋体"/>
                <w:bCs/>
                <w:sz w:val="18"/>
                <w:szCs w:val="18"/>
              </w:rPr>
            </w:pPr>
            <w:r>
              <w:rPr>
                <w:rFonts w:hint="eastAsia" w:ascii="宋体" w:hAnsi="宋体" w:cs="宋体"/>
                <w:bCs/>
                <w:sz w:val="18"/>
                <w:szCs w:val="18"/>
              </w:rPr>
              <w:t>（1）销售名称</w:t>
            </w:r>
          </w:p>
          <w:p>
            <w:pPr>
              <w:spacing w:line="360" w:lineRule="auto"/>
              <w:rPr>
                <w:rFonts w:ascii="宋体" w:hAnsi="宋体" w:cs="宋体"/>
                <w:bCs/>
                <w:sz w:val="18"/>
                <w:szCs w:val="18"/>
              </w:rPr>
            </w:pPr>
            <w:r>
              <w:rPr>
                <w:rFonts w:hint="eastAsia" w:ascii="宋体" w:hAnsi="宋体" w:cs="宋体"/>
                <w:bCs/>
                <w:sz w:val="18"/>
                <w:szCs w:val="18"/>
              </w:rPr>
              <w:t>（2）收费方式</w:t>
            </w:r>
          </w:p>
          <w:p>
            <w:pPr>
              <w:spacing w:line="360" w:lineRule="auto"/>
              <w:rPr>
                <w:rFonts w:ascii="宋体" w:hAnsi="宋体" w:cs="宋体"/>
                <w:bCs/>
                <w:sz w:val="18"/>
                <w:szCs w:val="18"/>
              </w:rPr>
            </w:pPr>
            <w:r>
              <w:rPr>
                <w:rFonts w:hint="eastAsia" w:ascii="宋体" w:hAnsi="宋体" w:cs="宋体"/>
                <w:bCs/>
                <w:sz w:val="18"/>
                <w:szCs w:val="18"/>
              </w:rPr>
              <w:t>（3）销售服务费</w:t>
            </w:r>
          </w:p>
          <w:p>
            <w:pPr>
              <w:spacing w:line="360" w:lineRule="auto"/>
              <w:rPr>
                <w:rFonts w:ascii="宋体" w:hAnsi="宋体" w:cs="宋体"/>
                <w:bCs/>
                <w:sz w:val="18"/>
                <w:szCs w:val="18"/>
              </w:rPr>
            </w:pPr>
            <w:r>
              <w:rPr>
                <w:rFonts w:hint="eastAsia" w:ascii="宋体" w:hAnsi="宋体" w:cs="宋体"/>
                <w:bCs/>
                <w:sz w:val="18"/>
                <w:szCs w:val="18"/>
              </w:rPr>
              <w:t>（4）销售代码</w:t>
            </w:r>
          </w:p>
          <w:p>
            <w:pPr>
              <w:spacing w:line="360" w:lineRule="auto"/>
              <w:rPr>
                <w:rFonts w:ascii="宋体" w:hAnsi="宋体" w:cs="宋体"/>
                <w:bCs/>
                <w:sz w:val="18"/>
                <w:szCs w:val="18"/>
              </w:rPr>
            </w:pPr>
            <w:r>
              <w:rPr>
                <w:rFonts w:hint="eastAsia" w:ascii="宋体" w:hAnsi="宋体" w:cs="宋体"/>
                <w:bCs/>
                <w:sz w:val="18"/>
                <w:szCs w:val="18"/>
              </w:rPr>
              <w:t>（5）销售对象</w:t>
            </w:r>
          </w:p>
          <w:p>
            <w:pPr>
              <w:spacing w:line="360" w:lineRule="auto"/>
              <w:rPr>
                <w:rFonts w:ascii="宋体" w:hAnsi="宋体" w:cs="宋体"/>
                <w:bCs/>
                <w:sz w:val="18"/>
                <w:szCs w:val="18"/>
              </w:rPr>
            </w:pPr>
            <w:r>
              <w:rPr>
                <w:rFonts w:hint="eastAsia" w:ascii="宋体" w:hAnsi="宋体" w:cs="宋体"/>
                <w:bCs/>
                <w:sz w:val="18"/>
                <w:szCs w:val="18"/>
              </w:rPr>
              <w:t>（6）销售起点金额（认购、申购的起点金额）</w:t>
            </w:r>
          </w:p>
          <w:p>
            <w:pPr>
              <w:spacing w:line="360" w:lineRule="auto"/>
              <w:rPr>
                <w:rFonts w:ascii="宋体" w:hAnsi="宋体" w:cs="宋体"/>
                <w:bCs/>
                <w:sz w:val="18"/>
                <w:szCs w:val="18"/>
              </w:rPr>
            </w:pPr>
            <w:r>
              <w:rPr>
                <w:rFonts w:hint="eastAsia" w:ascii="宋体" w:hAnsi="宋体" w:cs="宋体"/>
                <w:bCs/>
                <w:sz w:val="18"/>
                <w:szCs w:val="18"/>
              </w:rPr>
              <w:t>（7）投资者认购、申购和赎回的数量限制</w:t>
            </w:r>
          </w:p>
          <w:p>
            <w:pPr>
              <w:spacing w:line="360" w:lineRule="auto"/>
              <w:rPr>
                <w:rFonts w:ascii="宋体" w:hAnsi="宋体" w:cs="宋体"/>
                <w:bCs/>
                <w:sz w:val="18"/>
                <w:szCs w:val="18"/>
              </w:rPr>
            </w:pPr>
            <w:r>
              <w:rPr>
                <w:rFonts w:hint="eastAsia" w:ascii="宋体" w:hAnsi="宋体" w:cs="宋体"/>
                <w:bCs/>
                <w:sz w:val="18"/>
                <w:szCs w:val="18"/>
              </w:rPr>
              <w:t>（8）投资者持有本产品的最高限额、最低限额</w:t>
            </w:r>
          </w:p>
          <w:p>
            <w:pPr>
              <w:spacing w:line="360" w:lineRule="auto"/>
              <w:rPr>
                <w:rFonts w:ascii="宋体" w:hAnsi="宋体" w:cs="宋体"/>
                <w:bCs/>
                <w:sz w:val="18"/>
                <w:szCs w:val="18"/>
              </w:rPr>
            </w:pPr>
            <w:r>
              <w:rPr>
                <w:rFonts w:hint="eastAsia" w:ascii="宋体" w:hAnsi="宋体" w:cs="宋体"/>
                <w:bCs/>
                <w:sz w:val="18"/>
                <w:szCs w:val="18"/>
              </w:rPr>
              <w:t>（9）分别计算和公告产品份额净值</w:t>
            </w:r>
          </w:p>
          <w:p>
            <w:pPr>
              <w:spacing w:line="360" w:lineRule="auto"/>
              <w:rPr>
                <w:rFonts w:ascii="宋体" w:hAnsi="宋体" w:cs="宋体"/>
                <w:bCs/>
                <w:sz w:val="18"/>
                <w:szCs w:val="18"/>
              </w:rPr>
            </w:pPr>
            <w:r>
              <w:rPr>
                <w:rFonts w:ascii="宋体" w:hAnsi="宋体" w:cs="宋体"/>
                <w:bCs/>
                <w:sz w:val="18"/>
                <w:szCs w:val="18"/>
              </w:rPr>
              <w:t>3</w:t>
            </w:r>
            <w:r>
              <w:rPr>
                <w:rFonts w:hint="eastAsia" w:ascii="宋体" w:hAnsi="宋体" w:cs="宋体"/>
                <w:bCs/>
                <w:sz w:val="18"/>
                <w:szCs w:val="18"/>
              </w:rPr>
              <w:t>.投资者可根据实际情况自行选择认购的产品份额类别。</w:t>
            </w:r>
          </w:p>
          <w:p>
            <w:pPr>
              <w:spacing w:line="360" w:lineRule="auto"/>
              <w:rPr>
                <w:rFonts w:ascii="宋体" w:hAnsi="宋体" w:cs="宋体"/>
                <w:b/>
                <w:bCs/>
                <w:sz w:val="18"/>
                <w:szCs w:val="18"/>
              </w:rPr>
            </w:pPr>
            <w:r>
              <w:rPr>
                <w:rFonts w:hint="eastAsia" w:ascii="黑体" w:hAnsi="黑体" w:eastAsia="黑体" w:cs="宋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sz w:val="18"/>
                <w:szCs w:val="18"/>
              </w:rPr>
              <w:t>产品基本类型</w:t>
            </w:r>
          </w:p>
        </w:tc>
        <w:tc>
          <w:tcPr>
            <w:tcW w:w="7674" w:type="dxa"/>
            <w:shd w:val="solid" w:color="FFFFFF" w:fill="FFFFFF"/>
            <w:vAlign w:val="center"/>
          </w:tcPr>
          <w:p>
            <w:pPr>
              <w:spacing w:line="360" w:lineRule="auto"/>
              <w:rPr>
                <w:rFonts w:ascii="宋体" w:hAnsi="宋体" w:cs="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产品募集方式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产品运作方式</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cs="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sz w:val="18"/>
                <w:szCs w:val="18"/>
              </w:rPr>
              <w:t>固定</w:t>
            </w:r>
            <w:r>
              <w:rPr>
                <w:rFonts w:ascii="黑体" w:hAnsi="黑体" w:eastAsia="黑体" w:cs="宋体"/>
                <w:sz w:val="18"/>
                <w:szCs w:val="18"/>
              </w:rPr>
              <w:t>收益</w:t>
            </w:r>
            <w:r>
              <w:rPr>
                <w:rFonts w:hint="eastAsia" w:ascii="黑体" w:hAnsi="黑体" w:eastAsia="黑体" w:cs="宋体"/>
                <w:sz w:val="18"/>
                <w:szCs w:val="18"/>
              </w:rPr>
              <w:t>类</w:t>
            </w:r>
            <w:r>
              <w:rPr>
                <w:rFonts w:ascii="黑体" w:hAnsi="黑体" w:eastAsia="黑体" w:cs="宋体"/>
                <w:sz w:val="18"/>
                <w:szCs w:val="18"/>
              </w:rPr>
              <w:t>产品是指根据监管</w:t>
            </w:r>
            <w:r>
              <w:rPr>
                <w:rFonts w:hint="eastAsia" w:ascii="黑体" w:hAnsi="黑体" w:eastAsia="黑体" w:cs="宋体"/>
                <w:sz w:val="18"/>
                <w:szCs w:val="18"/>
              </w:rPr>
              <w:t>相关规定</w:t>
            </w:r>
            <w:r>
              <w:rPr>
                <w:rFonts w:ascii="黑体" w:hAnsi="黑体" w:eastAsia="黑体" w:cs="宋体"/>
                <w:sz w:val="18"/>
                <w:szCs w:val="18"/>
              </w:rPr>
              <w:t>，投资于债权类资产的</w:t>
            </w:r>
            <w:r>
              <w:rPr>
                <w:rFonts w:hint="eastAsia" w:ascii="黑体" w:hAnsi="黑体" w:eastAsia="黑体" w:cs="宋体"/>
                <w:sz w:val="18"/>
                <w:szCs w:val="18"/>
              </w:rPr>
              <w:t>比例</w:t>
            </w:r>
            <w:r>
              <w:rPr>
                <w:rFonts w:ascii="黑体" w:hAnsi="黑体" w:eastAsia="黑体" w:cs="宋体"/>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非保本浮动收益</w:t>
            </w:r>
          </w:p>
          <w:p>
            <w:pPr>
              <w:adjustRightInd w:val="0"/>
              <w:snapToGrid w:val="0"/>
              <w:spacing w:line="360" w:lineRule="auto"/>
              <w:rPr>
                <w:rFonts w:ascii="黑体" w:hAnsi="黑体" w:eastAsia="黑体" w:cs="宋体"/>
                <w:sz w:val="18"/>
                <w:szCs w:val="18"/>
              </w:rPr>
            </w:pPr>
            <w:r>
              <w:rPr>
                <w:rFonts w:hint="eastAsia" w:ascii="黑体" w:hAnsi="黑体" w:eastAsia="黑体" w:cs="宋体"/>
                <w:sz w:val="18"/>
                <w:szCs w:val="18"/>
              </w:rPr>
              <w:t>本产品不保证本金且不保证收益。本产品的收益随投资收益浮动，投资者可能会因市场变动而蒙受损失。</w:t>
            </w:r>
          </w:p>
          <w:p>
            <w:pPr>
              <w:adjustRightInd w:val="0"/>
              <w:snapToGrid w:val="0"/>
              <w:spacing w:line="360" w:lineRule="auto"/>
              <w:rPr>
                <w:rFonts w:ascii="宋体" w:hAnsi="宋体" w:eastAsia="宋体" w:cs="宋体"/>
                <w:color w:val="000000"/>
                <w:sz w:val="18"/>
                <w:szCs w:val="18"/>
              </w:rPr>
            </w:pPr>
            <w:r>
              <w:rPr>
                <w:rFonts w:hint="eastAsia" w:ascii="黑体" w:hAnsi="黑体" w:eastAsia="黑体" w:cs="宋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eastAsia="宋体" w:cs="宋体"/>
                <w:b/>
                <w:sz w:val="18"/>
                <w:szCs w:val="18"/>
              </w:rPr>
              <w:t>理财币种</w:t>
            </w:r>
          </w:p>
        </w:tc>
        <w:tc>
          <w:tcPr>
            <w:tcW w:w="7674" w:type="dxa"/>
            <w:shd w:val="solid" w:color="FFFFFF" w:fill="FFFFFF"/>
            <w:vAlign w:val="center"/>
          </w:tcPr>
          <w:p>
            <w:pPr>
              <w:spacing w:line="360" w:lineRule="auto"/>
              <w:rPr>
                <w:rFonts w:ascii="宋体" w:hAnsi="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w:t>
            </w:r>
            <w:r>
              <w:rPr>
                <w:rFonts w:hint="eastAsia" w:ascii="黑体" w:hAnsi="黑体" w:eastAsia="黑体" w:cs="黑体"/>
                <w:bCs/>
                <w:sz w:val="18"/>
                <w:szCs w:val="18"/>
              </w:rPr>
              <w:t xml:space="preserve"> R1、□ R2、□ R3、□ R4、□ R5】理财产品。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cs="宋体"/>
                <w:b/>
                <w:bCs/>
                <w:sz w:val="18"/>
                <w:szCs w:val="18"/>
              </w:rPr>
            </w:pPr>
            <w:r>
              <w:rPr>
                <w:rFonts w:hint="eastAsia" w:ascii="黑体" w:hAnsi="黑体" w:eastAsia="黑体" w:cs="宋体"/>
                <w:bCs/>
                <w:sz w:val="18"/>
                <w:szCs w:val="18"/>
              </w:rPr>
              <w:t>注</w:t>
            </w:r>
            <w:r>
              <w:rPr>
                <w:rFonts w:ascii="黑体" w:hAnsi="黑体" w:eastAsia="黑体" w:cs="宋体"/>
                <w:bCs/>
                <w:sz w:val="18"/>
                <w:szCs w:val="18"/>
              </w:rPr>
              <w:t>：</w:t>
            </w:r>
            <w:r>
              <w:rPr>
                <w:rFonts w:hint="eastAsia" w:ascii="黑体" w:hAnsi="黑体" w:eastAsia="黑体" w:cs="宋体"/>
                <w:bCs/>
                <w:sz w:val="18"/>
                <w:szCs w:val="18"/>
              </w:rPr>
              <w:t>若本</w:t>
            </w:r>
            <w:r>
              <w:rPr>
                <w:rFonts w:ascii="黑体" w:hAnsi="黑体" w:eastAsia="黑体" w:cs="宋体"/>
                <w:bCs/>
                <w:sz w:val="18"/>
                <w:szCs w:val="18"/>
              </w:rPr>
              <w:t>产品通过代理销售机构销售的，</w:t>
            </w:r>
            <w:r>
              <w:rPr>
                <w:rFonts w:hint="eastAsia" w:ascii="黑体" w:hAnsi="黑体" w:eastAsia="黑体" w:cs="宋体"/>
                <w:bCs/>
                <w:sz w:val="18"/>
                <w:szCs w:val="18"/>
              </w:rPr>
              <w:t>理财产品</w:t>
            </w:r>
            <w:r>
              <w:rPr>
                <w:rFonts w:ascii="黑体" w:hAnsi="黑体" w:eastAsia="黑体" w:cs="宋体"/>
                <w:bCs/>
                <w:sz w:val="18"/>
                <w:szCs w:val="18"/>
              </w:rPr>
              <w:t>评级</w:t>
            </w:r>
            <w:r>
              <w:rPr>
                <w:rFonts w:hint="eastAsia" w:ascii="黑体" w:hAnsi="黑体" w:eastAsia="黑体" w:cs="宋体"/>
                <w:bCs/>
                <w:sz w:val="18"/>
                <w:szCs w:val="18"/>
              </w:rPr>
              <w:t>以</w:t>
            </w:r>
            <w:r>
              <w:rPr>
                <w:rFonts w:ascii="黑体" w:hAnsi="黑体" w:eastAsia="黑体" w:cs="宋体"/>
                <w:bCs/>
                <w:sz w:val="18"/>
                <w:szCs w:val="18"/>
              </w:rPr>
              <w:t>代理销售机构最终披露的评级结果为准。</w:t>
            </w:r>
            <w:r>
              <w:rPr>
                <w:rFonts w:hint="eastAsia" w:ascii="黑体" w:hAnsi="黑体" w:eastAsia="黑体" w:cs="宋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销售对象</w:t>
            </w:r>
          </w:p>
        </w:tc>
        <w:tc>
          <w:tcPr>
            <w:tcW w:w="7674" w:type="dxa"/>
            <w:shd w:val="solid" w:color="FFFFFF" w:fill="FFFFFF"/>
            <w:vAlign w:val="bottom"/>
          </w:tcPr>
          <w:p>
            <w:pPr>
              <w:spacing w:line="360" w:lineRule="auto"/>
              <w:rPr>
                <w:rFonts w:ascii="宋体" w:hAnsi="宋体" w:eastAsia="宋体" w:cs="宋体"/>
                <w:bCs/>
                <w:color w:val="000000"/>
                <w:sz w:val="18"/>
                <w:szCs w:val="18"/>
              </w:rPr>
            </w:pPr>
            <w:r>
              <w:rPr>
                <w:rFonts w:ascii="宋体" w:hAnsi="宋体" w:eastAsia="宋体" w:cs="宋体"/>
                <w:bCs/>
                <w:color w:val="000000"/>
                <w:sz w:val="18"/>
                <w:szCs w:val="18"/>
              </w:rPr>
              <w:t>本产品适合以下类型投资者：</w:t>
            </w:r>
          </w:p>
          <w:p>
            <w:pPr>
              <w:spacing w:line="360" w:lineRule="auto"/>
              <w:rPr>
                <w:rFonts w:hint="eastAsia" w:ascii="宋体" w:hAnsi="宋体" w:eastAsia="宋体" w:cs="宋体"/>
                <w:bCs/>
                <w:color w:val="000000"/>
                <w:sz w:val="18"/>
                <w:szCs w:val="18"/>
              </w:rPr>
            </w:pPr>
            <w:r>
              <w:rPr>
                <w:rFonts w:hint="eastAsia" w:ascii="宋体" w:hAnsi="宋体" w:eastAsia="宋体" w:cs="宋体"/>
                <w:bCs/>
                <w:color w:val="000000"/>
                <w:sz w:val="18"/>
                <w:szCs w:val="18"/>
                <w:lang w:val="en-US" w:eastAsia="zh-CN"/>
              </w:rPr>
              <w:t>■个人投资者</w:t>
            </w:r>
          </w:p>
          <w:p>
            <w:pPr>
              <w:spacing w:line="360" w:lineRule="auto"/>
              <w:rPr>
                <w:rFonts w:ascii="宋体" w:hAnsi="宋体" w:eastAsia="宋体" w:cs="宋体"/>
                <w:bCs/>
                <w:sz w:val="18"/>
                <w:szCs w:val="18"/>
              </w:rPr>
            </w:pPr>
            <w:r>
              <w:rPr>
                <w:rFonts w:hint="eastAsia" w:ascii="宋体" w:hAnsi="宋体" w:eastAsia="宋体" w:cs="宋体"/>
                <w:bCs/>
                <w:color w:val="000000"/>
                <w:sz w:val="18"/>
                <w:szCs w:val="18"/>
                <w:lang w:val="en-US" w:eastAsia="zh-CN"/>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sz w:val="18"/>
                <w:szCs w:val="18"/>
              </w:rPr>
              <w:t>★</w:t>
            </w:r>
            <w:r>
              <w:rPr>
                <w:rFonts w:hint="eastAsia" w:ascii="宋体" w:hAnsi="宋体" w:eastAsia="宋体" w:cs="宋体"/>
                <w:b/>
                <w:bCs/>
                <w:sz w:val="18"/>
                <w:szCs w:val="18"/>
              </w:rPr>
              <w:t>销售场景</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
                <w:bCs/>
                <w:color w:val="000000"/>
                <w:sz w:val="18"/>
                <w:szCs w:val="18"/>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sz w:val="18"/>
                <w:szCs w:val="18"/>
              </w:rPr>
              <w:t>销售机构</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 直销适用</w:t>
            </w:r>
          </w:p>
          <w:p>
            <w:pPr>
              <w:spacing w:line="360" w:lineRule="auto"/>
              <w:jc w:val="left"/>
              <w:rPr>
                <w:rFonts w:ascii="宋体" w:hAnsi="宋体" w:cs="宋体"/>
                <w:sz w:val="18"/>
                <w:szCs w:val="18"/>
              </w:rPr>
            </w:pPr>
            <w:r>
              <w:rPr>
                <w:rFonts w:hint="eastAsia" w:ascii="宋体" w:hAnsi="宋体" w:cs="宋体"/>
                <w:sz w:val="18"/>
                <w:szCs w:val="18"/>
              </w:rPr>
              <w:t>本产品由产品管理人销售。</w:t>
            </w:r>
          </w:p>
          <w:p>
            <w:pPr>
              <w:spacing w:line="360" w:lineRule="auto"/>
              <w:jc w:val="left"/>
              <w:rPr>
                <w:rFonts w:ascii="宋体" w:hAnsi="宋体" w:cs="宋体"/>
                <w:sz w:val="18"/>
                <w:szCs w:val="18"/>
              </w:rPr>
            </w:pPr>
            <w:r>
              <w:rPr>
                <w:rFonts w:hint="eastAsia" w:ascii="宋体" w:hAnsi="宋体" w:cs="宋体"/>
                <w:sz w:val="18"/>
                <w:szCs w:val="18"/>
              </w:rPr>
              <w:t>■ 代销适用</w:t>
            </w:r>
          </w:p>
          <w:p>
            <w:pPr>
              <w:spacing w:line="360" w:lineRule="auto"/>
              <w:jc w:val="left"/>
              <w:rPr>
                <w:rFonts w:ascii="宋体" w:hAnsi="宋体" w:cs="宋体"/>
                <w:sz w:val="18"/>
                <w:szCs w:val="18"/>
              </w:rPr>
            </w:pPr>
            <w:r>
              <w:rPr>
                <w:rFonts w:hint="eastAsia" w:ascii="宋体" w:hAnsi="宋体" w:cs="宋体"/>
                <w:sz w:val="18"/>
                <w:szCs w:val="18"/>
              </w:rPr>
              <w:t>本产品由代理销售机构</w:t>
            </w:r>
            <w:r>
              <w:rPr>
                <w:rFonts w:ascii="宋体" w:hAnsi="宋体" w:cs="宋体"/>
                <w:sz w:val="18"/>
                <w:szCs w:val="18"/>
              </w:rPr>
              <w:t>销售</w:t>
            </w:r>
            <w:r>
              <w:rPr>
                <w:rFonts w:hint="eastAsia" w:ascii="宋体" w:hAnsi="宋体" w:cs="宋体"/>
                <w:sz w:val="18"/>
                <w:szCs w:val="18"/>
              </w:rPr>
              <w:t>。</w:t>
            </w:r>
          </w:p>
          <w:p>
            <w:pPr>
              <w:spacing w:line="360" w:lineRule="auto"/>
              <w:rPr>
                <w:rFonts w:ascii="宋体" w:hAnsi="宋体" w:eastAsia="宋体" w:cs="宋体"/>
                <w:bCs/>
                <w:sz w:val="18"/>
                <w:szCs w:val="18"/>
              </w:rPr>
            </w:pPr>
            <w:r>
              <w:rPr>
                <w:rFonts w:hint="eastAsia" w:ascii="宋体" w:hAnsi="宋体" w:cs="宋体"/>
                <w:sz w:val="18"/>
                <w:szCs w:val="18"/>
              </w:rPr>
              <w:t>代理销售</w:t>
            </w:r>
            <w:r>
              <w:rPr>
                <w:rFonts w:ascii="宋体" w:hAnsi="宋体" w:cs="宋体"/>
                <w:sz w:val="18"/>
                <w:szCs w:val="18"/>
              </w:rPr>
              <w:t>机构</w:t>
            </w:r>
            <w:r>
              <w:rPr>
                <w:rFonts w:hint="eastAsia" w:ascii="宋体" w:hAnsi="宋体" w:cs="宋体"/>
                <w:sz w:val="18"/>
                <w:szCs w:val="18"/>
              </w:rPr>
              <w:t>合作业务</w:t>
            </w:r>
            <w:r>
              <w:rPr>
                <w:rFonts w:ascii="宋体" w:hAnsi="宋体" w:cs="宋体"/>
                <w:sz w:val="18"/>
                <w:szCs w:val="18"/>
              </w:rPr>
              <w:t>情况</w:t>
            </w:r>
            <w:r>
              <w:rPr>
                <w:rFonts w:hint="eastAsia" w:ascii="宋体" w:hAnsi="宋体" w:cs="宋体"/>
                <w:sz w:val="18"/>
                <w:szCs w:val="18"/>
              </w:rPr>
              <w:t>以</w:t>
            </w:r>
            <w:r>
              <w:rPr>
                <w:rFonts w:ascii="宋体" w:hAnsi="宋体" w:cs="宋体"/>
                <w:sz w:val="18"/>
                <w:szCs w:val="18"/>
              </w:rPr>
              <w:t>产品管理人</w:t>
            </w:r>
            <w:r>
              <w:rPr>
                <w:rFonts w:hint="eastAsia" w:ascii="宋体" w:hAnsi="宋体" w:cs="宋体"/>
                <w:sz w:val="18"/>
                <w:szCs w:val="18"/>
              </w:rPr>
              <w:t>公告为准，</w:t>
            </w:r>
            <w:r>
              <w:rPr>
                <w:rFonts w:ascii="宋体" w:hAnsi="宋体" w:cs="宋体"/>
                <w:sz w:val="18"/>
                <w:szCs w:val="18"/>
              </w:rPr>
              <w:t>具体代理</w:t>
            </w:r>
            <w:r>
              <w:rPr>
                <w:rFonts w:hint="eastAsia" w:ascii="宋体" w:hAnsi="宋体" w:cs="宋体"/>
                <w:sz w:val="18"/>
                <w:szCs w:val="18"/>
              </w:rPr>
              <w:t>销售机构</w:t>
            </w:r>
            <w:r>
              <w:rPr>
                <w:rFonts w:ascii="宋体" w:hAnsi="宋体" w:cs="宋体"/>
                <w:sz w:val="18"/>
                <w:szCs w:val="18"/>
              </w:rPr>
              <w:t>以《</w:t>
            </w:r>
            <w:r>
              <w:rPr>
                <w:rFonts w:hint="eastAsia" w:ascii="宋体" w:hAnsi="宋体" w:cs="宋体"/>
                <w:sz w:val="18"/>
                <w:szCs w:val="18"/>
              </w:rPr>
              <w:t>（代理）</w:t>
            </w:r>
            <w:r>
              <w:rPr>
                <w:rFonts w:ascii="宋体" w:hAnsi="宋体" w:cs="宋体"/>
                <w:sz w:val="18"/>
                <w:szCs w:val="18"/>
              </w:rPr>
              <w:t>销售协议书》</w:t>
            </w:r>
            <w:r>
              <w:rPr>
                <w:rFonts w:hint="eastAsia" w:ascii="宋体" w:hAnsi="宋体" w:cs="宋体"/>
                <w:sz w:val="18"/>
                <w:szCs w:val="18"/>
              </w:rPr>
              <w:t>为准</w:t>
            </w:r>
            <w:r>
              <w:rPr>
                <w:rFonts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理财产品托管人</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Calibri" w:hAnsi="Calibri" w:cs="宋体"/>
                <w:szCs w:val="22"/>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规模为【6】亿元，最小成立规模为【1.2】亿元。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674" w:type="dxa"/>
            <w:shd w:val="solid" w:color="FFFFFF" w:fill="FFFFFF"/>
            <w:vAlign w:val="center"/>
          </w:tcPr>
          <w:p>
            <w:pPr>
              <w:spacing w:line="360" w:lineRule="auto"/>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■有固定期限:【406天】</w:t>
            </w:r>
          </w:p>
          <w:p>
            <w:pPr>
              <w:spacing w:line="360" w:lineRule="auto"/>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□无固定期限</w:t>
            </w:r>
          </w:p>
          <w:p>
            <w:pPr>
              <w:spacing w:line="360" w:lineRule="auto"/>
              <w:rPr>
                <w:rFonts w:ascii="宋体" w:hAnsi="宋体" w:eastAsia="宋体" w:cs="宋体"/>
                <w:bCs/>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sz w:val="18"/>
                <w:szCs w:val="18"/>
              </w:rPr>
              <w:t>认购期/募集期</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w:t>
            </w:r>
            <w:r>
              <w:rPr>
                <w:rFonts w:ascii="宋体" w:hAnsi="宋体" w:cs="宋体"/>
                <w:bCs/>
                <w:sz w:val="18"/>
                <w:szCs w:val="18"/>
              </w:rPr>
              <w:t>本产品认购期/募集期为</w:t>
            </w:r>
            <w:r>
              <w:rPr>
                <w:rFonts w:hint="eastAsia" w:ascii="宋体" w:hAnsi="宋体" w:cs="宋体"/>
                <w:bCs/>
                <w:sz w:val="18"/>
                <w:szCs w:val="18"/>
              </w:rPr>
              <w:t>：</w:t>
            </w:r>
            <w:r>
              <w:rPr>
                <w:rFonts w:hint="eastAsia" w:ascii="宋体" w:hAnsi="宋体" w:cs="Times New Roman"/>
                <w:sz w:val="18"/>
                <w:szCs w:val="18"/>
                <w:lang w:val="en-US" w:eastAsia="zh-CN"/>
              </w:rPr>
              <w:t>【2026年06月16日】【09:00】至【2026年06月24日】【17:00】</w:t>
            </w:r>
            <w:r>
              <w:rPr>
                <w:rFonts w:ascii="宋体" w:hAnsi="宋体" w:eastAsia="宋体" w:cs="宋体"/>
                <w:sz w:val="18"/>
                <w:szCs w:val="18"/>
              </w:rPr>
              <w:t>。</w:t>
            </w:r>
          </w:p>
          <w:p>
            <w:pPr>
              <w:spacing w:line="360" w:lineRule="auto"/>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.投资者在认购期/募集</w:t>
            </w:r>
            <w:r>
              <w:rPr>
                <w:rFonts w:hint="eastAsia" w:ascii="宋体" w:hAnsi="宋体" w:cs="宋体"/>
                <w:sz w:val="18"/>
                <w:szCs w:val="22"/>
              </w:rPr>
              <w:t>期内认购</w:t>
            </w:r>
            <w:r>
              <w:rPr>
                <w:rFonts w:hint="eastAsia" w:ascii="宋体" w:hAnsi="宋体" w:cs="宋体"/>
                <w:bCs/>
                <w:sz w:val="18"/>
                <w:szCs w:val="18"/>
              </w:rPr>
              <w:t>本</w:t>
            </w:r>
            <w:r>
              <w:rPr>
                <w:rFonts w:hint="eastAsia" w:ascii="宋体" w:hAnsi="宋体" w:cs="宋体"/>
                <w:sz w:val="18"/>
                <w:szCs w:val="22"/>
              </w:rPr>
              <w:t>理财</w:t>
            </w:r>
            <w:r>
              <w:rPr>
                <w:rFonts w:hint="eastAsia" w:ascii="宋体" w:hAnsi="宋体" w:cs="宋体"/>
                <w:bCs/>
                <w:sz w:val="18"/>
                <w:szCs w:val="18"/>
              </w:rPr>
              <w:t>产品后，</w:t>
            </w:r>
            <w:r>
              <w:rPr>
                <w:rFonts w:hint="eastAsia" w:ascii="宋体" w:hAnsi="宋体" w:cs="宋体"/>
                <w:sz w:val="18"/>
                <w:szCs w:val="22"/>
              </w:rPr>
              <w:t>理财</w:t>
            </w:r>
            <w:r>
              <w:rPr>
                <w:rFonts w:hint="eastAsia" w:ascii="宋体" w:hAnsi="宋体" w:cs="宋体"/>
                <w:bCs/>
                <w:sz w:val="18"/>
                <w:szCs w:val="18"/>
              </w:rPr>
              <w:t>资金将在成立日开始进行投资。</w:t>
            </w:r>
          </w:p>
          <w:p>
            <w:pPr>
              <w:spacing w:line="360" w:lineRule="auto"/>
              <w:rPr>
                <w:rFonts w:ascii="宋体" w:hAnsi="宋体" w:cs="宋体"/>
                <w:sz w:val="18"/>
                <w:szCs w:val="22"/>
              </w:rPr>
            </w:pPr>
            <w:r>
              <w:rPr>
                <w:rFonts w:ascii="宋体" w:hAnsi="宋体" w:cs="宋体"/>
                <w:bCs/>
                <w:sz w:val="18"/>
                <w:szCs w:val="18"/>
              </w:rPr>
              <w:t>3</w:t>
            </w:r>
            <w:r>
              <w:rPr>
                <w:rFonts w:hint="eastAsia" w:ascii="宋体" w:hAnsi="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cs="宋体"/>
                <w:sz w:val="18"/>
                <w:szCs w:val="22"/>
              </w:rPr>
              <w:t>。</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注：关于代理销售机构的实际工作服务时段的提示</w:t>
            </w:r>
          </w:p>
          <w:p>
            <w:pPr>
              <w:spacing w:line="360" w:lineRule="auto"/>
              <w:rPr>
                <w:rFonts w:ascii="黑体" w:hAnsi="黑体" w:eastAsia="黑体" w:cs="黑体"/>
                <w:bCs/>
                <w:color w:val="000000"/>
                <w:sz w:val="18"/>
                <w:szCs w:val="18"/>
              </w:rPr>
            </w:pPr>
            <w:r>
              <w:rPr>
                <w:rFonts w:hint="eastAsia" w:ascii="黑体" w:hAnsi="黑体" w:eastAsia="黑体" w:cs="黑体"/>
                <w:bCs/>
                <w:color w:val="000000"/>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宋体" w:hAnsi="宋体" w:eastAsia="宋体" w:cs="宋体"/>
                <w:bCs/>
                <w:sz w:val="18"/>
                <w:szCs w:val="18"/>
              </w:rPr>
            </w:pPr>
            <w:r>
              <w:rPr>
                <w:rFonts w:hint="eastAsia" w:ascii="黑体" w:hAnsi="黑体" w:eastAsia="黑体" w:cs="黑体"/>
                <w:bCs/>
                <w:color w:val="000000"/>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cs="宋体"/>
                <w:sz w:val="18"/>
                <w:szCs w:val="18"/>
              </w:rPr>
              <w:t>★</w:t>
            </w:r>
            <w:r>
              <w:rPr>
                <w:rFonts w:hint="eastAsia" w:ascii="宋体" w:hAnsi="宋体" w:eastAsia="宋体" w:cs="宋体"/>
                <w:b/>
                <w:bCs/>
                <w:sz w:val="18"/>
                <w:szCs w:val="18"/>
              </w:rPr>
              <w:t>投资冷静期</w:t>
            </w:r>
          </w:p>
        </w:tc>
        <w:tc>
          <w:tcPr>
            <w:tcW w:w="767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cs="宋体"/>
                <w:b/>
                <w:bCs/>
                <w:sz w:val="18"/>
                <w:szCs w:val="18"/>
              </w:rPr>
              <w:t>成立日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.本产品的计划成立日为</w:t>
            </w:r>
            <w:r>
              <w:rPr>
                <w:rFonts w:ascii="宋体" w:hAnsi="宋体" w:cs="宋体"/>
                <w:bCs/>
                <w:sz w:val="18"/>
                <w:szCs w:val="18"/>
              </w:rPr>
              <w:t>：</w:t>
            </w:r>
            <w:r>
              <w:rPr>
                <w:rFonts w:hint="eastAsia" w:ascii="宋体" w:hAnsi="宋体" w:cs="Times New Roman"/>
                <w:sz w:val="18"/>
                <w:szCs w:val="18"/>
              </w:rPr>
              <w:t>【</w:t>
            </w:r>
            <w:r>
              <w:rPr>
                <w:rFonts w:hint="eastAsia" w:ascii="宋体" w:hAnsi="宋体" w:cs="Times New Roman"/>
                <w:sz w:val="18"/>
                <w:szCs w:val="18"/>
                <w:lang w:val="en-US" w:eastAsia="zh-CN"/>
              </w:rPr>
              <w:t>2026年06月25日</w:t>
            </w:r>
            <w:r>
              <w:rPr>
                <w:rFonts w:hint="eastAsia" w:ascii="宋体" w:hAnsi="宋体" w:cs="Times New Roman"/>
                <w:sz w:val="18"/>
                <w:szCs w:val="18"/>
              </w:rPr>
              <w:t>】（遇节假日顺延）</w:t>
            </w:r>
            <w:r>
              <w:rPr>
                <w:rFonts w:hint="eastAsia" w:ascii="宋体" w:hAnsi="宋体" w:cs="宋体"/>
                <w:bCs/>
                <w:sz w:val="18"/>
                <w:szCs w:val="18"/>
              </w:rPr>
              <w:t>。</w:t>
            </w:r>
          </w:p>
          <w:p>
            <w:pPr>
              <w:spacing w:line="360" w:lineRule="auto"/>
              <w:rPr>
                <w:rFonts w:ascii="宋体" w:hAnsi="宋体" w:eastAsia="宋体" w:cs="宋体"/>
                <w:bCs/>
                <w:sz w:val="18"/>
                <w:szCs w:val="18"/>
              </w:rPr>
            </w:pPr>
            <w:r>
              <w:rPr>
                <w:rFonts w:ascii="宋体" w:hAnsi="宋体" w:cs="宋体"/>
                <w:bCs/>
                <w:sz w:val="18"/>
                <w:szCs w:val="18"/>
              </w:rPr>
              <w:t>2</w:t>
            </w:r>
            <w:r>
              <w:rPr>
                <w:rFonts w:hint="eastAsia" w:ascii="宋体" w:hAnsi="宋体" w:cs="宋体"/>
                <w:bCs/>
                <w:sz w:val="18"/>
                <w:szCs w:val="18"/>
              </w:rPr>
              <w:t>.</w:t>
            </w:r>
            <w:r>
              <w:rPr>
                <w:rFonts w:ascii="宋体" w:hAnsi="宋体" w:cs="宋体"/>
                <w:bCs/>
                <w:sz w:val="18"/>
                <w:szCs w:val="18"/>
              </w:rPr>
              <w:t>产品管理人有权根据实际募集情况提前或延后产品成立日期，并相应调整其他产品要素</w:t>
            </w:r>
            <w:r>
              <w:rPr>
                <w:rFonts w:hint="eastAsia" w:ascii="宋体" w:hAnsi="宋体" w:cs="宋体"/>
                <w:bCs/>
                <w:sz w:val="18"/>
                <w:szCs w:val="18"/>
              </w:rPr>
              <w:t>，</w:t>
            </w:r>
            <w:r>
              <w:rPr>
                <w:rFonts w:ascii="宋体" w:hAnsi="宋体" w:cs="宋体"/>
                <w:bCs/>
                <w:sz w:val="18"/>
                <w:szCs w:val="18"/>
              </w:rPr>
              <w:t>将依约</w:t>
            </w:r>
            <w:r>
              <w:rPr>
                <w:rFonts w:hint="eastAsia" w:ascii="宋体" w:hAnsi="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cs="宋体"/>
                <w:b/>
                <w:bCs/>
                <w:sz w:val="18"/>
                <w:szCs w:val="18"/>
              </w:rPr>
            </w:pPr>
            <w:r>
              <w:rPr>
                <w:rFonts w:hint="eastAsia" w:ascii="宋体" w:hAnsi="宋体" w:cs="宋体"/>
                <w:b/>
                <w:bCs/>
                <w:sz w:val="18"/>
                <w:szCs w:val="18"/>
              </w:rPr>
              <w:t>终止日</w:t>
            </w:r>
          </w:p>
        </w:tc>
        <w:tc>
          <w:tcPr>
            <w:tcW w:w="7674" w:type="dxa"/>
            <w:shd w:val="solid" w:color="FFFFFF" w:fill="FFFFFF"/>
            <w:vAlign w:val="center"/>
          </w:tcPr>
          <w:p>
            <w:pPr>
              <w:spacing w:line="360" w:lineRule="auto"/>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.本产品的计划终止日为</w:t>
            </w:r>
            <w:r>
              <w:rPr>
                <w:rFonts w:ascii="宋体" w:hAnsi="宋体" w:cs="宋体"/>
                <w:bCs/>
                <w:sz w:val="18"/>
                <w:szCs w:val="18"/>
              </w:rPr>
              <w:t>：</w:t>
            </w:r>
            <w:r>
              <w:rPr>
                <w:rFonts w:hint="eastAsia" w:ascii="宋体" w:hAnsi="宋体" w:cs="Times New Roman"/>
                <w:sz w:val="18"/>
                <w:szCs w:val="18"/>
              </w:rPr>
              <w:t>【</w:t>
            </w:r>
            <w:r>
              <w:rPr>
                <w:rFonts w:hint="eastAsia" w:ascii="宋体" w:hAnsi="宋体" w:cs="Times New Roman"/>
                <w:sz w:val="18"/>
                <w:szCs w:val="18"/>
                <w:lang w:val="en-US" w:eastAsia="zh-CN"/>
              </w:rPr>
              <w:t>2027年08月05日</w:t>
            </w:r>
            <w:r>
              <w:rPr>
                <w:rFonts w:hint="eastAsia" w:ascii="宋体" w:hAnsi="宋体" w:cs="Times New Roman"/>
                <w:sz w:val="18"/>
                <w:szCs w:val="18"/>
              </w:rPr>
              <w:t>】（遇节假日顺延）</w:t>
            </w:r>
            <w:r>
              <w:rPr>
                <w:rFonts w:hint="eastAsia" w:ascii="宋体" w:hAnsi="宋体" w:cs="宋体"/>
                <w:bCs/>
                <w:sz w:val="18"/>
                <w:szCs w:val="18"/>
              </w:rPr>
              <w:t>。</w:t>
            </w:r>
          </w:p>
          <w:p>
            <w:pPr>
              <w:spacing w:line="360" w:lineRule="auto"/>
              <w:rPr>
                <w:rFonts w:ascii="宋体" w:hAnsi="宋体" w:cs="Times New Roman"/>
                <w:sz w:val="18"/>
                <w:szCs w:val="18"/>
              </w:rPr>
            </w:pPr>
            <w:r>
              <w:rPr>
                <w:rFonts w:hint="eastAsia" w:ascii="宋体" w:hAnsi="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674" w:type="dxa"/>
            <w:shd w:val="solid" w:color="FFFFFF" w:fill="FFFFFF"/>
            <w:vAlign w:val="center"/>
          </w:tcPr>
          <w:p>
            <w:pPr>
              <w:spacing w:line="360" w:lineRule="auto"/>
              <w:rPr>
                <w:rFonts w:hint="eastAsia" w:ascii="宋体" w:hAnsi="宋体" w:eastAsia="宋体" w:cs="宋体"/>
                <w:sz w:val="18"/>
                <w:szCs w:val="18"/>
              </w:rPr>
            </w:pPr>
            <w:r>
              <w:rPr>
                <w:rFonts w:ascii="宋体" w:hAnsi="宋体" w:eastAsia="宋体" w:cs="宋体"/>
                <w:sz w:val="18"/>
                <w:szCs w:val="22"/>
              </w:rPr>
              <w:t>每笔购买起点金额为【1】元; 超出起点金额的部分以【0.01】元的整数倍递增。（适用【A】类份额)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超出起点金额的部分以【0.01】元的整数倍递增。（适用【B】类份额)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超出起点金额的部分以【0.01】元的整数倍递增。（适用【C】类份额)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超出起点金额的部分以【0.01】元的整数倍递增。（适用【D】类份额)</w:t>
            </w:r>
            <w:r>
              <w:rPr>
                <w:rFonts w:ascii="宋体" w:hAnsi="宋体" w:eastAsia="宋体" w:cs="宋体"/>
                <w:sz w:val="18"/>
                <w:szCs w:val="22"/>
              </w:rPr>
              <w:br w:type="textWrapping"/>
            </w:r>
            <w:r>
              <w:rPr>
                <w:rFonts w:ascii="宋体" w:hAnsi="宋体" w:eastAsia="宋体" w:cs="宋体"/>
                <w:sz w:val="18"/>
                <w:szCs w:val="22"/>
              </w:rPr>
              <w:t>每笔购买起点金额为【1】元; 超出起点金额的部分以【0.01】元的整数倍递增。（适用【E】类份额)</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Calibri" w:hAnsi="宋体" w:cs="宋体"/>
                <w:b/>
                <w:sz w:val="18"/>
                <w:szCs w:val="18"/>
              </w:rPr>
              <w:t>★认购的数量限制</w:t>
            </w:r>
          </w:p>
        </w:tc>
        <w:tc>
          <w:tcPr>
            <w:tcW w:w="7674" w:type="dxa"/>
            <w:shd w:val="solid" w:color="FFFFFF" w:fill="FFFFFF"/>
            <w:vAlign w:val="center"/>
          </w:tcPr>
          <w:p>
            <w:pPr>
              <w:widowControl w:val="0"/>
              <w:autoSpaceDE w:val="0"/>
              <w:autoSpaceDN w:val="0"/>
              <w:adjustRightInd w:val="0"/>
              <w:spacing w:line="360" w:lineRule="auto"/>
              <w:rPr>
                <w:rFonts w:hint="eastAsia" w:ascii="宋体" w:hAnsi="宋体" w:eastAsia="宋体" w:cs="宋体"/>
                <w:bCs/>
                <w:color w:val="000000"/>
                <w:sz w:val="18"/>
                <w:szCs w:val="18"/>
                <w:lang w:val="en-US" w:eastAsia="zh-CN" w:bidi="ar-SA"/>
              </w:rPr>
            </w:pPr>
            <w:r>
              <w:rPr>
                <w:rFonts w:ascii="宋体" w:hAnsi="宋体" w:eastAsia="宋体" w:cs="宋体"/>
                <w:color w:val="000000"/>
                <w:sz w:val="18"/>
                <w:szCs w:val="24"/>
                <w:lang w:val="en-US" w:eastAsia="zh-CN" w:bidi="ar-SA"/>
              </w:rPr>
              <w:t>认购的数量限制</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（1）单一投资者认购上限为【/】元。（适用【A】类份额)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单一投资者认购上限为【/】元。（适用【B】类份额)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单一投资者认购上限为【/】元。（适用【C】类份额)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单一投资者认购上限为【/】元。（适用【D】类份额)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单一投资者认购上限为【/】元。（适用【E】类份额)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（2）产品存续期间，单一投资者最高持有份额上限为【/】份，符合产品管理人流动性管理的稳定资金除外。（适用【A】类份额)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产品存续期间，单一投资者最高持有份额上限为【/】份，符合产品管理人流动性管理的稳定资金除外。（适用【B】类份额)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产品存续期间，单一投资者最高持有份额上限为【/】份，符合产品管理人流动性管理的稳定资金除外。（适用【C】类份额)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产品存续期间，单一投资者最高持有份额上限为【/】份，符合产品管理人流动性管理的稳定资金除外。（适用【D】类份额)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产品存续期间，单一投资者最高持有份额上限为【/】份，符合产品管理人流动性管理的稳定资金除外。（适用【E】类份额)</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spacing w:line="360" w:lineRule="auto"/>
              <w:rPr>
                <w:rFonts w:ascii="宋体" w:hAnsi="宋体" w:eastAsia="宋体" w:cs="宋体"/>
                <w:sz w:val="18"/>
                <w:szCs w:val="18"/>
              </w:rPr>
            </w:pPr>
            <w:r>
              <w:rPr>
                <w:rFonts w:ascii="黑体" w:hAnsi="黑体" w:eastAsia="黑体" w:cs="黑体"/>
                <w:sz w:val="18"/>
                <w:szCs w:val="22"/>
              </w:rPr>
              <w:t>注：本产品单一投资者持有份额不得超过产品总份额50%。</w:t>
            </w:r>
            <w:r>
              <w:rPr>
                <w:rFonts w:ascii="黑体" w:hAnsi="黑体" w:eastAsia="黑体" w:cs="黑体"/>
                <w:sz w:val="18"/>
                <w:szCs w:val="22"/>
              </w:rPr>
              <w:br w:type="textWrapping"/>
            </w:r>
            <w:r>
              <w:rPr>
                <w:rFonts w:ascii="黑体" w:hAnsi="黑体" w:eastAsia="黑体" w:cs="黑体"/>
                <w:sz w:val="18"/>
                <w:szCs w:val="22"/>
              </w:rPr>
              <w:t>（1）投资者认购或申购确认后可能导致其持有份额超过产品总份额50%的，管理人有权拒绝或暂停认购、申购。</w:t>
            </w:r>
            <w:r>
              <w:rPr>
                <w:rFonts w:ascii="黑体" w:hAnsi="黑体" w:eastAsia="黑体" w:cs="黑体"/>
                <w:sz w:val="18"/>
                <w:szCs w:val="22"/>
              </w:rPr>
              <w:br w:type="textWrapping"/>
            </w:r>
            <w:r>
              <w:rPr>
                <w:rFonts w:ascii="黑体" w:hAnsi="黑体" w:eastAsia="黑体" w:cs="黑体"/>
                <w:sz w:val="18"/>
                <w:szCs w:val="22"/>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67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cs="宋体"/>
                <w:b/>
                <w:bCs/>
                <w:kern w:val="0"/>
                <w:sz w:val="18"/>
                <w:szCs w:val="18"/>
              </w:rPr>
              <w:t>理财产品份额净值</w:t>
            </w:r>
          </w:p>
        </w:tc>
        <w:tc>
          <w:tcPr>
            <w:tcW w:w="767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w:t>
            </w:r>
            <w:r>
              <w:rPr>
                <w:rFonts w:ascii="宋体" w:hAnsi="宋体" w:eastAsia="宋体" w:cs="宋体"/>
                <w:bCs/>
                <w:sz w:val="18"/>
                <w:szCs w:val="18"/>
              </w:rPr>
              <w:t>的费用和税收。</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产品终止日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cs="宋体"/>
                <w:sz w:val="18"/>
                <w:szCs w:val="18"/>
              </w:rPr>
              <w:t>★</w:t>
            </w:r>
            <w:r>
              <w:rPr>
                <w:rFonts w:hint="eastAsia" w:ascii="宋体" w:hAnsi="宋体" w:eastAsia="宋体" w:cs="宋体"/>
                <w:b/>
                <w:bCs/>
                <w:sz w:val="18"/>
                <w:szCs w:val="18"/>
              </w:rPr>
              <w:t>业绩比较基准</w:t>
            </w:r>
          </w:p>
        </w:tc>
        <w:tc>
          <w:tcPr>
            <w:tcW w:w="7674" w:type="dxa"/>
            <w:shd w:val="solid" w:color="FFFFFF" w:fill="FFFFFF"/>
            <w:vAlign w:val="center"/>
          </w:tcPr>
          <w:p>
            <w:pPr>
              <w:spacing w:line="360" w:lineRule="auto"/>
              <w:jc w:val="left"/>
              <w:rPr>
                <w:rFonts w:hint="eastAsia" w:ascii="Calibri" w:hAnsi="宋体" w:cs="宋体"/>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w:t>
            </w:r>
            <w:r>
              <w:rPr>
                <w:rFonts w:ascii="宋体" w:hAnsi="宋体" w:eastAsia="宋体" w:cs="宋体"/>
                <w:sz w:val="18"/>
                <w:szCs w:val="22"/>
              </w:rPr>
              <w:br w:type="textWrapping"/>
            </w:r>
            <w:r>
              <w:rPr>
                <w:rFonts w:ascii="宋体" w:hAnsi="宋体" w:eastAsia="宋体" w:cs="宋体"/>
                <w:sz w:val="18"/>
                <w:szCs w:val="22"/>
              </w:rPr>
              <w:t>年化【2.15%】。（适用【A】类份额)</w:t>
            </w:r>
            <w:r>
              <w:rPr>
                <w:rFonts w:ascii="宋体" w:hAnsi="宋体" w:eastAsia="宋体" w:cs="宋体"/>
                <w:sz w:val="18"/>
                <w:szCs w:val="22"/>
              </w:rPr>
              <w:br w:type="textWrapping"/>
            </w:r>
            <w:r>
              <w:rPr>
                <w:rFonts w:ascii="宋体" w:hAnsi="宋体" w:eastAsia="宋体" w:cs="宋体"/>
                <w:sz w:val="18"/>
                <w:szCs w:val="22"/>
              </w:rPr>
              <w:t>年化【2.17%】。（适用【B】类份额)</w:t>
            </w:r>
            <w:r>
              <w:rPr>
                <w:rFonts w:ascii="宋体" w:hAnsi="宋体" w:eastAsia="宋体" w:cs="宋体"/>
                <w:sz w:val="18"/>
                <w:szCs w:val="22"/>
              </w:rPr>
              <w:br w:type="textWrapping"/>
            </w:r>
            <w:r>
              <w:rPr>
                <w:rFonts w:ascii="宋体" w:hAnsi="宋体" w:eastAsia="宋体" w:cs="宋体"/>
                <w:sz w:val="18"/>
                <w:szCs w:val="22"/>
              </w:rPr>
              <w:t>年化【2.12%】。（适用【C】类份额)</w:t>
            </w:r>
            <w:r>
              <w:rPr>
                <w:rFonts w:ascii="宋体" w:hAnsi="宋体" w:eastAsia="宋体" w:cs="宋体"/>
                <w:sz w:val="18"/>
                <w:szCs w:val="22"/>
              </w:rPr>
              <w:br w:type="textWrapping"/>
            </w:r>
            <w:r>
              <w:rPr>
                <w:rFonts w:ascii="宋体" w:hAnsi="宋体" w:eastAsia="宋体" w:cs="宋体"/>
                <w:sz w:val="18"/>
                <w:szCs w:val="22"/>
              </w:rPr>
              <w:t>年化【2.02%】。（适用【D】类份额)</w:t>
            </w:r>
            <w:r>
              <w:rPr>
                <w:rFonts w:ascii="宋体" w:hAnsi="宋体" w:eastAsia="宋体" w:cs="宋体"/>
                <w:sz w:val="18"/>
                <w:szCs w:val="22"/>
              </w:rPr>
              <w:br w:type="textWrapping"/>
            </w:r>
            <w:r>
              <w:rPr>
                <w:rFonts w:ascii="宋体" w:hAnsi="宋体" w:eastAsia="宋体" w:cs="宋体"/>
                <w:sz w:val="18"/>
                <w:szCs w:val="22"/>
              </w:rPr>
              <w:t>年化【1.92%】。（适用【E】类份额)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宋体" w:hAnsi="宋体" w:eastAsia="宋体" w:cs="宋体"/>
                <w:b/>
                <w:bCs/>
                <w:sz w:val="18"/>
                <w:szCs w:val="18"/>
              </w:rPr>
            </w:pPr>
            <w:r>
              <w:rPr>
                <w:rFonts w:hint="eastAsia" w:ascii="宋体" w:hAnsi="宋体" w:cs="宋体"/>
                <w:b/>
                <w:sz w:val="18"/>
                <w:szCs w:val="22"/>
              </w:rPr>
              <w:t>（1）</w:t>
            </w:r>
            <w:r>
              <w:rPr>
                <w:rFonts w:hint="eastAsia" w:ascii="黑体" w:hAnsi="黑体" w:eastAsia="黑体" w:cs="宋体"/>
                <w:sz w:val="18"/>
                <w:szCs w:val="18"/>
              </w:rPr>
              <w:t>★</w:t>
            </w:r>
            <w:r>
              <w:rPr>
                <w:rFonts w:hint="eastAsia" w:ascii="黑体" w:hAnsi="黑体" w:eastAsia="黑体" w:cs="宋体"/>
                <w:sz w:val="18"/>
                <w:szCs w:val="22"/>
              </w:rPr>
              <w:t>业绩比较基准</w:t>
            </w:r>
            <w:r>
              <w:rPr>
                <w:rFonts w:hint="eastAsia" w:ascii="黑体" w:hAnsi="黑体" w:eastAsia="黑体" w:cs="宋体"/>
                <w:bCs/>
                <w:sz w:val="18"/>
                <w:szCs w:val="18"/>
              </w:rPr>
              <w:t>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Calibri" w:cs="宋体"/>
                <w:sz w:val="18"/>
                <w:szCs w:val="18"/>
              </w:rPr>
              <w:t>★</w:t>
            </w:r>
            <w:r>
              <w:rPr>
                <w:rFonts w:hint="eastAsia" w:ascii="Calibri" w:hAnsi="Calibri" w:cs="宋体"/>
                <w:b/>
                <w:sz w:val="18"/>
                <w:szCs w:val="18"/>
              </w:rPr>
              <w:t>业绩报酬计提</w:t>
            </w:r>
            <w:r>
              <w:rPr>
                <w:rFonts w:ascii="宋体" w:hAnsi="宋体" w:cs="宋体"/>
                <w:b/>
                <w:sz w:val="18"/>
                <w:szCs w:val="18"/>
              </w:rPr>
              <w:t>基准</w:t>
            </w:r>
          </w:p>
        </w:tc>
        <w:tc>
          <w:tcPr>
            <w:tcW w:w="7674" w:type="dxa"/>
            <w:shd w:val="solid" w:color="FFFFFF" w:fill="FFFFFF"/>
            <w:vAlign w:val="center"/>
          </w:tcPr>
          <w:p>
            <w:pPr>
              <w:spacing w:line="360" w:lineRule="auto"/>
              <w:jc w:val="left"/>
              <w:rPr>
                <w:rFonts w:hint="eastAsia" w:ascii="Calibri" w:hAnsi="宋体" w:cs="宋体"/>
                <w:bCs/>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w:t>
            </w:r>
            <w:r>
              <w:rPr>
                <w:rFonts w:ascii="宋体" w:hAnsi="宋体" w:eastAsia="宋体" w:cs="宋体"/>
                <w:sz w:val="18"/>
                <w:szCs w:val="22"/>
              </w:rPr>
              <w:br w:type="textWrapping"/>
            </w:r>
            <w:r>
              <w:rPr>
                <w:rFonts w:ascii="宋体" w:hAnsi="宋体" w:eastAsia="宋体" w:cs="宋体"/>
                <w:sz w:val="18"/>
                <w:szCs w:val="22"/>
              </w:rPr>
              <w:t>年化【2.15%】。（适用【A】类份额)</w:t>
            </w:r>
            <w:r>
              <w:rPr>
                <w:rFonts w:ascii="宋体" w:hAnsi="宋体" w:eastAsia="宋体" w:cs="宋体"/>
                <w:sz w:val="18"/>
                <w:szCs w:val="22"/>
              </w:rPr>
              <w:br w:type="textWrapping"/>
            </w:r>
            <w:r>
              <w:rPr>
                <w:rFonts w:ascii="宋体" w:hAnsi="宋体" w:eastAsia="宋体" w:cs="宋体"/>
                <w:sz w:val="18"/>
                <w:szCs w:val="22"/>
              </w:rPr>
              <w:t>年化【2.17%】。（适用【B】类份额)</w:t>
            </w:r>
            <w:r>
              <w:rPr>
                <w:rFonts w:ascii="宋体" w:hAnsi="宋体" w:eastAsia="宋体" w:cs="宋体"/>
                <w:sz w:val="18"/>
                <w:szCs w:val="22"/>
              </w:rPr>
              <w:br w:type="textWrapping"/>
            </w:r>
            <w:r>
              <w:rPr>
                <w:rFonts w:ascii="宋体" w:hAnsi="宋体" w:eastAsia="宋体" w:cs="宋体"/>
                <w:sz w:val="18"/>
                <w:szCs w:val="22"/>
              </w:rPr>
              <w:t>年化【2.12%】。（适用【C】类份额)</w:t>
            </w:r>
            <w:r>
              <w:rPr>
                <w:rFonts w:ascii="宋体" w:hAnsi="宋体" w:eastAsia="宋体" w:cs="宋体"/>
                <w:sz w:val="18"/>
                <w:szCs w:val="22"/>
              </w:rPr>
              <w:br w:type="textWrapping"/>
            </w:r>
            <w:r>
              <w:rPr>
                <w:rFonts w:ascii="宋体" w:hAnsi="宋体" w:eastAsia="宋体" w:cs="宋体"/>
                <w:sz w:val="18"/>
                <w:szCs w:val="22"/>
              </w:rPr>
              <w:t>年化【2.02%】。（适用【D】类份额)</w:t>
            </w:r>
            <w:r>
              <w:rPr>
                <w:rFonts w:ascii="宋体" w:hAnsi="宋体" w:eastAsia="宋体" w:cs="宋体"/>
                <w:sz w:val="18"/>
                <w:szCs w:val="22"/>
              </w:rPr>
              <w:br w:type="textWrapping"/>
            </w:r>
            <w:r>
              <w:rPr>
                <w:rFonts w:ascii="宋体" w:hAnsi="宋体" w:eastAsia="宋体" w:cs="宋体"/>
                <w:sz w:val="18"/>
                <w:szCs w:val="22"/>
              </w:rPr>
              <w:t>年化【1.92%】。（适用【E】类份额)</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cs="宋体"/>
                <w:bCs/>
                <w:sz w:val="18"/>
                <w:szCs w:val="18"/>
              </w:rPr>
            </w:pPr>
            <w:r>
              <w:rPr>
                <w:rFonts w:ascii="宋体" w:hAnsi="宋体" w:cs="宋体"/>
                <w:bCs/>
                <w:sz w:val="18"/>
                <w:szCs w:val="18"/>
              </w:rPr>
              <w:t>2.业绩报酬计提基准的提示</w:t>
            </w:r>
            <w:r>
              <w:rPr>
                <w:rFonts w:hint="eastAsia" w:ascii="宋体" w:hAnsi="宋体" w:cs="宋体"/>
                <w:bCs/>
                <w:sz w:val="18"/>
                <w:szCs w:val="18"/>
              </w:rPr>
              <w:t>：</w:t>
            </w:r>
          </w:p>
          <w:p>
            <w:pPr>
              <w:autoSpaceDE w:val="0"/>
              <w:autoSpaceDN w:val="0"/>
              <w:adjustRightInd w:val="0"/>
              <w:spacing w:line="360" w:lineRule="auto"/>
              <w:jc w:val="left"/>
              <w:rPr>
                <w:rFonts w:ascii="黑体" w:hAnsi="黑体" w:eastAsia="黑体" w:cs="宋体"/>
                <w:sz w:val="18"/>
                <w:szCs w:val="22"/>
              </w:rPr>
            </w:pPr>
            <w:r>
              <w:rPr>
                <w:rFonts w:hint="eastAsia" w:ascii="黑体" w:hAnsi="黑体" w:eastAsia="黑体" w:cs="宋体"/>
                <w:sz w:val="18"/>
                <w:szCs w:val="22"/>
              </w:rPr>
              <w:t>（</w:t>
            </w:r>
            <w:r>
              <w:rPr>
                <w:rFonts w:ascii="黑体" w:hAnsi="黑体" w:eastAsia="黑体" w:cs="宋体"/>
                <w:sz w:val="18"/>
                <w:szCs w:val="22"/>
              </w:rPr>
              <w:t>1）</w:t>
            </w:r>
            <w:r>
              <w:rPr>
                <w:rFonts w:hint="eastAsia" w:ascii="黑体" w:hAnsi="黑体" w:eastAsia="黑体" w:cs="宋体"/>
                <w:sz w:val="18"/>
                <w:szCs w:val="18"/>
              </w:rPr>
              <w:t>★</w:t>
            </w:r>
            <w:r>
              <w:rPr>
                <w:rFonts w:hint="eastAsia" w:ascii="黑体" w:hAnsi="黑体" w:eastAsia="黑体" w:cs="宋体"/>
                <w:sz w:val="18"/>
                <w:szCs w:val="22"/>
              </w:rPr>
              <w:t>业绩报酬计提基准仅作为管理人计算超额业绩报酬的参照标准</w:t>
            </w:r>
            <w:r>
              <w:rPr>
                <w:rFonts w:hint="eastAsia" w:ascii="黑体" w:hAnsi="黑体" w:eastAsia="黑体" w:cs="宋体"/>
                <w:bCs/>
                <w:sz w:val="18"/>
                <w:szCs w:val="18"/>
              </w:rPr>
              <w:t>。业绩报酬计提基准不是预期收益率</w:t>
            </w:r>
            <w:r>
              <w:rPr>
                <w:rFonts w:hint="eastAsia" w:ascii="黑体" w:hAnsi="黑体" w:eastAsia="黑体" w:cs="宋体"/>
                <w:sz w:val="18"/>
                <w:szCs w:val="22"/>
              </w:rPr>
              <w:t>，不代表产品</w:t>
            </w:r>
            <w:r>
              <w:rPr>
                <w:rFonts w:hint="eastAsia" w:ascii="黑体" w:hAnsi="黑体" w:eastAsia="黑体" w:cs="宋体"/>
                <w:bCs/>
                <w:sz w:val="18"/>
                <w:szCs w:val="18"/>
              </w:rPr>
              <w:t>的</w:t>
            </w:r>
            <w:r>
              <w:rPr>
                <w:rFonts w:hint="eastAsia" w:ascii="黑体" w:hAnsi="黑体" w:eastAsia="黑体" w:cs="宋体"/>
                <w:sz w:val="18"/>
                <w:szCs w:val="22"/>
              </w:rPr>
              <w:t>未来表现</w:t>
            </w:r>
            <w:r>
              <w:rPr>
                <w:rFonts w:hint="eastAsia" w:ascii="黑体" w:hAnsi="黑体" w:eastAsia="黑体" w:cs="宋体"/>
                <w:bCs/>
                <w:sz w:val="18"/>
                <w:szCs w:val="18"/>
              </w:rPr>
              <w:t>和</w:t>
            </w:r>
            <w:r>
              <w:rPr>
                <w:rFonts w:hint="eastAsia" w:ascii="黑体" w:hAnsi="黑体" w:eastAsia="黑体" w:cs="宋体"/>
                <w:sz w:val="18"/>
                <w:szCs w:val="22"/>
              </w:rPr>
              <w:t>实际收益，不</w:t>
            </w:r>
            <w:r>
              <w:rPr>
                <w:rFonts w:hint="eastAsia" w:ascii="黑体" w:hAnsi="黑体" w:eastAsia="黑体" w:cs="宋体"/>
                <w:bCs/>
                <w:sz w:val="18"/>
                <w:szCs w:val="18"/>
              </w:rPr>
              <w:t>构成对</w:t>
            </w:r>
            <w:r>
              <w:rPr>
                <w:rFonts w:hint="eastAsia" w:ascii="黑体" w:hAnsi="黑体" w:eastAsia="黑体" w:cs="宋体"/>
                <w:sz w:val="18"/>
                <w:szCs w:val="22"/>
              </w:rPr>
              <w:t>产品收益的</w:t>
            </w:r>
            <w:r>
              <w:rPr>
                <w:rFonts w:hint="eastAsia" w:ascii="黑体" w:hAnsi="黑体" w:eastAsia="黑体" w:cs="宋体"/>
                <w:bCs/>
                <w:sz w:val="18"/>
                <w:szCs w:val="18"/>
              </w:rPr>
              <w:t>承诺</w:t>
            </w:r>
            <w:r>
              <w:rPr>
                <w:rFonts w:hint="eastAsia" w:ascii="黑体" w:hAnsi="黑体" w:eastAsia="黑体" w:cs="宋体"/>
                <w:sz w:val="18"/>
                <w:szCs w:val="22"/>
              </w:rPr>
              <w:t>，投资须谨慎。</w:t>
            </w:r>
          </w:p>
          <w:p>
            <w:pPr>
              <w:spacing w:line="360" w:lineRule="auto"/>
              <w:jc w:val="left"/>
              <w:rPr>
                <w:rFonts w:ascii="宋体" w:hAnsi="宋体" w:cs="宋体"/>
                <w:b/>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Calibri" w:hAnsi="Calibri" w:cs="宋体"/>
                <w:sz w:val="18"/>
                <w:szCs w:val="18"/>
              </w:rPr>
            </w:pPr>
            <w:r>
              <w:rPr>
                <w:rFonts w:hint="eastAsia" w:ascii="Calibri" w:hAnsi="宋体" w:cs="宋体"/>
                <w:b/>
                <w:sz w:val="18"/>
                <w:szCs w:val="18"/>
              </w:rPr>
              <w:t>★</w:t>
            </w:r>
            <w:r>
              <w:rPr>
                <w:rFonts w:hint="eastAsia" w:ascii="Calibri" w:hAnsi="Calibri" w:cs="宋体"/>
                <w:b/>
                <w:sz w:val="18"/>
                <w:szCs w:val="18"/>
              </w:rPr>
              <w:t>理财产品利益分配</w:t>
            </w:r>
          </w:p>
        </w:tc>
        <w:tc>
          <w:tcPr>
            <w:tcW w:w="7674" w:type="dxa"/>
            <w:shd w:val="solid" w:color="FFFFFF" w:fill="FFFFFF"/>
            <w:vAlign w:val="center"/>
          </w:tcPr>
          <w:p>
            <w:pPr>
              <w:spacing w:line="360" w:lineRule="auto"/>
              <w:jc w:val="left"/>
              <w:rPr>
                <w:rFonts w:ascii="Calibri" w:hAnsi="宋体" w:cs="宋体"/>
                <w:bCs/>
                <w:sz w:val="18"/>
                <w:szCs w:val="18"/>
              </w:rPr>
            </w:pPr>
            <w:r>
              <w:rPr>
                <w:rFonts w:hint="eastAsia" w:ascii="Calibri" w:hAnsi="宋体" w:cs="宋体"/>
                <w:bCs/>
                <w:sz w:val="18"/>
                <w:szCs w:val="18"/>
              </w:rPr>
              <w:t>1</w:t>
            </w:r>
            <w:r>
              <w:rPr>
                <w:rFonts w:ascii="Calibri" w:hAnsi="宋体" w:cs="宋体"/>
                <w:bCs/>
                <w:sz w:val="18"/>
                <w:szCs w:val="18"/>
              </w:rPr>
              <w:t>.</w:t>
            </w:r>
            <w:r>
              <w:rPr>
                <w:rFonts w:hint="eastAsia" w:ascii="Calibri" w:hAnsi="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Calibri" w:hAnsi="宋体" w:cs="宋体"/>
                <w:bCs/>
                <w:sz w:val="18"/>
                <w:szCs w:val="18"/>
              </w:rPr>
            </w:pPr>
            <w:r>
              <w:rPr>
                <w:rFonts w:hint="eastAsia" w:ascii="Calibri" w:hAnsi="宋体" w:cs="宋体"/>
                <w:bCs/>
                <w:sz w:val="18"/>
                <w:szCs w:val="18"/>
              </w:rPr>
              <w:t>2</w:t>
            </w:r>
            <w:r>
              <w:rPr>
                <w:rFonts w:ascii="Calibri" w:hAnsi="宋体" w:cs="宋体"/>
                <w:bCs/>
                <w:sz w:val="18"/>
                <w:szCs w:val="18"/>
              </w:rPr>
              <w:t>.具体理财产品利益分配</w:t>
            </w:r>
            <w:r>
              <w:rPr>
                <w:rFonts w:hint="eastAsia" w:ascii="Calibri" w:hAnsi="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cs="宋体"/>
                <w:sz w:val="18"/>
                <w:szCs w:val="18"/>
              </w:rPr>
              <w:t>★</w:t>
            </w:r>
            <w:r>
              <w:rPr>
                <w:rFonts w:hint="eastAsia" w:ascii="宋体" w:hAnsi="宋体" w:eastAsia="宋体" w:cs="宋体"/>
                <w:b/>
                <w:bCs/>
                <w:sz w:val="18"/>
                <w:szCs w:val="18"/>
              </w:rPr>
              <w:t>理财产品费用</w:t>
            </w:r>
          </w:p>
        </w:tc>
        <w:tc>
          <w:tcPr>
            <w:tcW w:w="7674" w:type="dxa"/>
            <w:shd w:val="solid" w:color="FFFFFF" w:fill="FFFFFF"/>
            <w:vAlign w:val="center"/>
          </w:tcPr>
          <w:p>
            <w:pPr>
              <w:spacing w:line="360" w:lineRule="auto"/>
              <w:rPr>
                <w:rFonts w:hint="eastAsia" w:ascii="宋体" w:hAnsi="宋体" w:eastAsia="宋体" w:cs="宋体"/>
                <w:bCs/>
                <w:color w:val="000000"/>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w:t>
            </w:r>
            <w:r>
              <w:rPr>
                <w:rFonts w:ascii="黑体" w:hAnsi="黑体" w:eastAsia="黑体" w:cs="黑体"/>
                <w:sz w:val="18"/>
                <w:szCs w:val="22"/>
              </w:rPr>
              <w:br w:type="textWrapping"/>
            </w:r>
            <w:r>
              <w:rPr>
                <w:rFonts w:ascii="黑体" w:hAnsi="黑体" w:eastAsia="黑体" w:cs="黑体"/>
                <w:sz w:val="18"/>
                <w:szCs w:val="22"/>
              </w:rPr>
              <w:t>【/】。（适用【A】类份额）</w:t>
            </w:r>
            <w:r>
              <w:rPr>
                <w:rFonts w:ascii="黑体" w:hAnsi="黑体" w:eastAsia="黑体" w:cs="黑体"/>
                <w:sz w:val="18"/>
                <w:szCs w:val="22"/>
              </w:rPr>
              <w:br w:type="textWrapping"/>
            </w:r>
            <w:r>
              <w:rPr>
                <w:rFonts w:ascii="黑体" w:hAnsi="黑体" w:eastAsia="黑体" w:cs="黑体"/>
                <w:sz w:val="18"/>
                <w:szCs w:val="22"/>
              </w:rPr>
              <w:t>【/】。（适用【B】类份额）</w:t>
            </w:r>
            <w:r>
              <w:rPr>
                <w:rFonts w:ascii="黑体" w:hAnsi="黑体" w:eastAsia="黑体" w:cs="黑体"/>
                <w:sz w:val="18"/>
                <w:szCs w:val="22"/>
              </w:rPr>
              <w:br w:type="textWrapping"/>
            </w:r>
            <w:r>
              <w:rPr>
                <w:rFonts w:ascii="黑体" w:hAnsi="黑体" w:eastAsia="黑体" w:cs="黑体"/>
                <w:sz w:val="18"/>
                <w:szCs w:val="22"/>
              </w:rPr>
              <w:t>【/】。（适用【C】类份额）</w:t>
            </w:r>
            <w:r>
              <w:rPr>
                <w:rFonts w:ascii="黑体" w:hAnsi="黑体" w:eastAsia="黑体" w:cs="黑体"/>
                <w:sz w:val="18"/>
                <w:szCs w:val="22"/>
              </w:rPr>
              <w:br w:type="textWrapping"/>
            </w:r>
            <w:r>
              <w:rPr>
                <w:rFonts w:ascii="黑体" w:hAnsi="黑体" w:eastAsia="黑体" w:cs="黑体"/>
                <w:sz w:val="18"/>
                <w:szCs w:val="22"/>
              </w:rPr>
              <w:t>【/】。（适用【D】类份额）</w:t>
            </w:r>
            <w:r>
              <w:rPr>
                <w:rFonts w:ascii="黑体" w:hAnsi="黑体" w:eastAsia="黑体" w:cs="黑体"/>
                <w:sz w:val="18"/>
                <w:szCs w:val="22"/>
              </w:rPr>
              <w:br w:type="textWrapping"/>
            </w:r>
            <w:r>
              <w:rPr>
                <w:rFonts w:ascii="黑体" w:hAnsi="黑体" w:eastAsia="黑体" w:cs="黑体"/>
                <w:sz w:val="18"/>
                <w:szCs w:val="22"/>
              </w:rPr>
              <w:t>【/】。（适用【E】类份额）</w:t>
            </w:r>
            <w:r>
              <w:rPr>
                <w:rFonts w:ascii="黑体" w:hAnsi="黑体" w:eastAsia="黑体" w:cs="黑体"/>
                <w:sz w:val="18"/>
                <w:szCs w:val="22"/>
              </w:rPr>
              <w:br w:type="textWrapping"/>
            </w:r>
            <w:r>
              <w:rPr>
                <w:rFonts w:ascii="黑体" w:hAnsi="黑体" w:eastAsia="黑体" w:cs="黑体"/>
                <w:sz w:val="18"/>
                <w:szCs w:val="22"/>
              </w:rPr>
              <w:t>（2）销售服务费：</w:t>
            </w:r>
            <w:r>
              <w:rPr>
                <w:rFonts w:ascii="黑体" w:hAnsi="黑体" w:eastAsia="黑体" w:cs="黑体"/>
                <w:sz w:val="18"/>
                <w:szCs w:val="22"/>
              </w:rPr>
              <w:br w:type="textWrapping"/>
            </w:r>
            <w:r>
              <w:rPr>
                <w:rFonts w:ascii="黑体" w:hAnsi="黑体" w:eastAsia="黑体" w:cs="黑体"/>
                <w:sz w:val="18"/>
                <w:szCs w:val="22"/>
              </w:rPr>
              <w:t>年化费率【0.07%】。（适用【A】类份额）</w:t>
            </w:r>
            <w:r>
              <w:rPr>
                <w:rFonts w:ascii="黑体" w:hAnsi="黑体" w:eastAsia="黑体" w:cs="黑体"/>
                <w:sz w:val="18"/>
                <w:szCs w:val="22"/>
              </w:rPr>
              <w:br w:type="textWrapping"/>
            </w:r>
            <w:r>
              <w:rPr>
                <w:rFonts w:ascii="黑体" w:hAnsi="黑体" w:eastAsia="黑体" w:cs="黑体"/>
                <w:sz w:val="18"/>
                <w:szCs w:val="22"/>
              </w:rPr>
              <w:t>年化费率【0.05%】。（适用【B】类份额）</w:t>
            </w:r>
            <w:r>
              <w:rPr>
                <w:rFonts w:ascii="黑体" w:hAnsi="黑体" w:eastAsia="黑体" w:cs="黑体"/>
                <w:sz w:val="18"/>
                <w:szCs w:val="22"/>
              </w:rPr>
              <w:br w:type="textWrapping"/>
            </w:r>
            <w:r>
              <w:rPr>
                <w:rFonts w:ascii="黑体" w:hAnsi="黑体" w:eastAsia="黑体" w:cs="黑体"/>
                <w:sz w:val="18"/>
                <w:szCs w:val="22"/>
              </w:rPr>
              <w:t>年化费率【0.1%】。（适用【C】类份额）</w:t>
            </w:r>
            <w:r>
              <w:rPr>
                <w:rFonts w:ascii="黑体" w:hAnsi="黑体" w:eastAsia="黑体" w:cs="黑体"/>
                <w:sz w:val="18"/>
                <w:szCs w:val="22"/>
              </w:rPr>
              <w:br w:type="textWrapping"/>
            </w:r>
            <w:r>
              <w:rPr>
                <w:rFonts w:ascii="黑体" w:hAnsi="黑体" w:eastAsia="黑体" w:cs="黑体"/>
                <w:sz w:val="18"/>
                <w:szCs w:val="22"/>
              </w:rPr>
              <w:t>年化费率【0.2%】。（适用【D】类份额）</w:t>
            </w:r>
            <w:r>
              <w:rPr>
                <w:rFonts w:ascii="黑体" w:hAnsi="黑体" w:eastAsia="黑体" w:cs="黑体"/>
                <w:sz w:val="18"/>
                <w:szCs w:val="22"/>
              </w:rPr>
              <w:br w:type="textWrapping"/>
            </w:r>
            <w:r>
              <w:rPr>
                <w:rFonts w:ascii="黑体" w:hAnsi="黑体" w:eastAsia="黑体" w:cs="黑体"/>
                <w:sz w:val="18"/>
                <w:szCs w:val="22"/>
              </w:rPr>
              <w:t>年化费率【0.3%】。（适用【E】类份额）</w:t>
            </w:r>
            <w:r>
              <w:rPr>
                <w:rFonts w:ascii="黑体" w:hAnsi="黑体" w:eastAsia="黑体" w:cs="黑体"/>
                <w:sz w:val="18"/>
                <w:szCs w:val="22"/>
              </w:rPr>
              <w:br w:type="textWrapping"/>
            </w:r>
            <w:r>
              <w:rPr>
                <w:rFonts w:ascii="黑体" w:hAnsi="黑体" w:eastAsia="黑体" w:cs="黑体"/>
                <w:sz w:val="18"/>
                <w:szCs w:val="22"/>
              </w:rPr>
              <w:t>（3）投资管理费：年化费率【0.03%】</w:t>
            </w:r>
            <w:r>
              <w:rPr>
                <w:rFonts w:ascii="黑体" w:hAnsi="黑体" w:eastAsia="黑体" w:cs="黑体"/>
                <w:sz w:val="18"/>
                <w:szCs w:val="22"/>
              </w:rPr>
              <w:br w:type="textWrapping"/>
            </w:r>
            <w:r>
              <w:rPr>
                <w:rFonts w:ascii="黑体" w:hAnsi="黑体" w:eastAsia="黑体" w:cs="黑体"/>
                <w:sz w:val="18"/>
                <w:szCs w:val="22"/>
              </w:rPr>
              <w:t>（4）产品托管费：年化费率【0.01%】</w:t>
            </w:r>
            <w:r>
              <w:rPr>
                <w:rFonts w:ascii="黑体" w:hAnsi="黑体" w:eastAsia="黑体" w:cs="黑体"/>
                <w:sz w:val="18"/>
                <w:szCs w:val="22"/>
              </w:rPr>
              <w:br w:type="textWrapping"/>
            </w:r>
            <w:r>
              <w:rPr>
                <w:rFonts w:ascii="黑体" w:hAnsi="黑体" w:eastAsia="黑体" w:cs="黑体"/>
                <w:sz w:val="18"/>
                <w:szCs w:val="22"/>
              </w:rPr>
              <w:t>（5）超额业绩报酬：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cs="宋体"/>
                <w:bCs/>
                <w:sz w:val="18"/>
                <w:szCs w:val="18"/>
              </w:rPr>
            </w:pPr>
            <w:r>
              <w:rPr>
                <w:rFonts w:hint="eastAsia" w:ascii="黑体" w:hAnsi="黑体" w:eastAsia="黑体" w:cs="宋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宋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Calibri" w:hAnsi="宋体" w:cs="宋体"/>
                <w:sz w:val="18"/>
                <w:szCs w:val="18"/>
              </w:rPr>
            </w:pPr>
            <w:r>
              <w:rPr>
                <w:rFonts w:hint="eastAsia" w:ascii="宋体" w:hAnsi="宋体" w:cs="宋体"/>
                <w:b/>
                <w:bCs/>
                <w:kern w:val="0"/>
                <w:sz w:val="18"/>
                <w:szCs w:val="18"/>
              </w:rPr>
              <w:t>税收</w:t>
            </w:r>
          </w:p>
        </w:tc>
        <w:tc>
          <w:tcPr>
            <w:tcW w:w="7674" w:type="dxa"/>
            <w:shd w:val="solid" w:color="FFFFFF" w:fill="FFFFFF"/>
            <w:vAlign w:val="center"/>
          </w:tcPr>
          <w:p>
            <w:pPr>
              <w:spacing w:line="360" w:lineRule="auto"/>
              <w:rPr>
                <w:rFonts w:ascii="宋体" w:hAnsi="宋体" w:cs="宋体"/>
                <w:bCs/>
                <w:color w:val="000000"/>
                <w:sz w:val="18"/>
                <w:szCs w:val="18"/>
              </w:rPr>
            </w:pPr>
            <w:r>
              <w:rPr>
                <w:rFonts w:hint="eastAsia" w:ascii="Calibri"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674" w:type="dxa"/>
            <w:shd w:val="solid" w:color="FFFFFF" w:fill="FFFFFF"/>
            <w:vAlign w:val="center"/>
          </w:tcPr>
          <w:p>
            <w:pPr>
              <w:spacing w:line="360" w:lineRule="auto"/>
              <w:jc w:val="left"/>
              <w:rPr>
                <w:rFonts w:ascii="宋体" w:hAnsi="宋体" w:cs="宋体"/>
                <w:sz w:val="18"/>
                <w:szCs w:val="18"/>
              </w:rPr>
            </w:pPr>
            <w:r>
              <w:rPr>
                <w:rFonts w:hint="eastAsia" w:ascii="宋体" w:hAnsi="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cs="宋体"/>
          <w:color w:val="000000"/>
          <w:kern w:val="0"/>
          <w:sz w:val="18"/>
          <w:szCs w:val="18"/>
        </w:rPr>
      </w:pPr>
      <w:r>
        <w:rPr>
          <w:rFonts w:ascii="Calibri" w:hAnsi="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0" w:name="_Toc79154666"/>
      <w:bookmarkStart w:id="71" w:name="_Toc17618975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72" w:name="_Toc79392573"/>
      <w:r>
        <w:rPr>
          <w:rFonts w:hint="eastAsia" w:ascii="Times New Roman" w:hAnsi="Calibri" w:eastAsia="宋体" w:cs="宋体"/>
          <w:b/>
          <w:bCs/>
          <w:kern w:val="44"/>
          <w:sz w:val="30"/>
          <w:szCs w:val="44"/>
          <w:lang w:val="en-US" w:eastAsia="zh-CN" w:bidi="ar-SA"/>
        </w:rPr>
        <w:t>理财产品的认购</w:t>
      </w:r>
      <w:bookmarkEnd w:id="70"/>
      <w:bookmarkEnd w:id="71"/>
    </w:p>
    <w:p>
      <w:pPr>
        <w:spacing w:line="360" w:lineRule="auto"/>
        <w:ind w:firstLine="361" w:firstLineChars="200"/>
        <w:rPr>
          <w:rFonts w:ascii="宋体" w:hAnsi="宋体" w:cs="宋体"/>
          <w:b/>
          <w:bCs/>
          <w:sz w:val="18"/>
          <w:szCs w:val="18"/>
        </w:rPr>
      </w:pPr>
      <w:bookmarkStart w:id="73" w:name="_Hlt88031774"/>
      <w:bookmarkEnd w:id="73"/>
      <w:bookmarkStart w:id="74" w:name="_Hlt88031741"/>
      <w:r>
        <w:rPr>
          <w:rFonts w:hint="eastAsia" w:ascii="宋体" w:hAnsi="宋体" w:cs="宋体"/>
          <w:b/>
          <w:bCs/>
          <w:sz w:val="18"/>
          <w:szCs w:val="18"/>
        </w:rPr>
        <w:t>（一）理财产品的认购</w:t>
      </w:r>
    </w:p>
    <w:p>
      <w:pPr>
        <w:spacing w:line="360" w:lineRule="auto"/>
        <w:ind w:firstLine="361" w:firstLineChars="200"/>
        <w:rPr>
          <w:rFonts w:ascii="宋体" w:hAnsi="宋体" w:cs="宋体"/>
          <w:b/>
          <w:bCs/>
          <w:sz w:val="18"/>
          <w:szCs w:val="18"/>
        </w:rPr>
      </w:pPr>
      <w:r>
        <w:rPr>
          <w:rFonts w:ascii="宋体" w:hAnsi="宋体" w:cs="宋体"/>
          <w:b/>
          <w:bCs/>
          <w:sz w:val="18"/>
          <w:szCs w:val="18"/>
        </w:rPr>
        <w:t>1.</w:t>
      </w:r>
      <w:r>
        <w:rPr>
          <w:rFonts w:hint="eastAsia" w:ascii="宋体" w:hAnsi="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cs="宋体"/>
          <w:b/>
          <w:bCs/>
          <w:sz w:val="18"/>
          <w:szCs w:val="18"/>
        </w:rPr>
      </w:pPr>
      <w:r>
        <w:rPr>
          <w:rFonts w:ascii="宋体" w:hAnsi="宋体" w:cs="宋体"/>
          <w:b/>
          <w:bCs/>
          <w:sz w:val="18"/>
          <w:szCs w:val="18"/>
        </w:rPr>
        <w:t>2.认购</w:t>
      </w:r>
      <w:r>
        <w:rPr>
          <w:rFonts w:hint="eastAsia" w:ascii="宋体" w:hAnsi="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宋体" w:hAnsi="宋体" w:eastAsia="宋体" w:cs="宋体"/>
                <w:bCs/>
                <w:sz w:val="18"/>
                <w:szCs w:val="18"/>
              </w:rPr>
            </w:pPr>
            <w:r>
              <w:rPr>
                <w:rFonts w:hint="eastAsia" w:ascii="宋体" w:hAnsi="宋体" w:cs="Times New Roman"/>
                <w:bCs/>
                <w:kern w:val="0"/>
                <w:sz w:val="18"/>
                <w:szCs w:val="18"/>
              </w:rPr>
              <w:t>产品成立日</w:t>
            </w:r>
          </w:p>
        </w:tc>
      </w:tr>
    </w:tbl>
    <w:p>
      <w:pPr>
        <w:spacing w:line="360" w:lineRule="auto"/>
        <w:ind w:firstLine="360" w:firstLineChars="200"/>
        <w:rPr>
          <w:rFonts w:ascii="宋体" w:hAnsi="宋体" w:cs="宋体"/>
          <w:bCs/>
          <w:kern w:val="0"/>
          <w:sz w:val="18"/>
          <w:szCs w:val="18"/>
        </w:rPr>
      </w:pPr>
      <w:r>
        <w:rPr>
          <w:rFonts w:hint="eastAsia" w:ascii="宋体" w:hAnsi="宋体" w:cs="宋体"/>
          <w:bCs/>
          <w:sz w:val="18"/>
          <w:szCs w:val="18"/>
        </w:rPr>
        <w:t>认购期/募集期内投资者可</w:t>
      </w:r>
      <w:r>
        <w:rPr>
          <w:rFonts w:hint="eastAsia" w:ascii="宋体" w:hAnsi="宋体" w:cs="宋体"/>
          <w:bCs/>
          <w:kern w:val="0"/>
          <w:sz w:val="18"/>
          <w:szCs w:val="18"/>
        </w:rPr>
        <w:t>提交认购申请</w:t>
      </w:r>
      <w:r>
        <w:rPr>
          <w:rFonts w:hint="eastAsia" w:ascii="宋体" w:hAnsi="宋体" w:cs="宋体"/>
          <w:bCs/>
          <w:sz w:val="18"/>
          <w:szCs w:val="18"/>
        </w:rPr>
        <w:t>。</w:t>
      </w:r>
      <w:r>
        <w:rPr>
          <w:rFonts w:hint="eastAsia" w:ascii="宋体" w:hAnsi="宋体" w:cs="宋体"/>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宋体" w:hAnsi="宋体" w:cs="宋体"/>
          <w:b/>
          <w:bCs/>
          <w:sz w:val="18"/>
          <w:szCs w:val="18"/>
        </w:rPr>
      </w:pPr>
      <w:r>
        <w:rPr>
          <w:rFonts w:ascii="宋体" w:hAnsi="宋体" w:cs="宋体"/>
          <w:b/>
          <w:bCs/>
          <w:sz w:val="18"/>
          <w:szCs w:val="18"/>
        </w:rPr>
        <w:t>4</w:t>
      </w:r>
      <w:r>
        <w:rPr>
          <w:rFonts w:hint="eastAsia" w:ascii="宋体" w:hAnsi="宋体" w:cs="宋体"/>
          <w:b/>
          <w:bCs/>
          <w:sz w:val="18"/>
          <w:szCs w:val="18"/>
        </w:rPr>
        <w:t>.</w:t>
      </w:r>
      <w:r>
        <w:rPr>
          <w:rFonts w:ascii="宋体" w:hAnsi="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cs="宋体"/>
          <w:bCs/>
          <w:sz w:val="18"/>
          <w:szCs w:val="18"/>
        </w:rPr>
      </w:pPr>
      <w:r>
        <w:rPr>
          <w:rFonts w:hint="eastAsia" w:ascii="宋体" w:hAnsi="宋体" w:cs="宋体"/>
          <w:sz w:val="18"/>
          <w:szCs w:val="18"/>
        </w:rPr>
        <w:t>详见</w:t>
      </w:r>
      <w:r>
        <w:rPr>
          <w:rFonts w:hint="eastAsia" w:ascii="宋体" w:hAnsi="宋体" w:eastAsia="宋体" w:cs="宋体"/>
          <w:sz w:val="18"/>
          <w:szCs w:val="18"/>
        </w:rPr>
        <w:t>《产品说明书》“第二条 理财产品基本情况”</w:t>
      </w:r>
      <w:r>
        <w:rPr>
          <w:rFonts w:hint="eastAsia" w:ascii="Calibri" w:hAnsi="Calibri" w:cs="宋体"/>
          <w:bCs/>
          <w:sz w:val="18"/>
          <w:szCs w:val="18"/>
        </w:rPr>
        <w:t>。</w:t>
      </w:r>
    </w:p>
    <w:p>
      <w:pPr>
        <w:spacing w:line="360" w:lineRule="auto"/>
        <w:ind w:firstLine="361" w:firstLineChars="200"/>
        <w:rPr>
          <w:rFonts w:ascii="宋体" w:hAnsi="宋体" w:cs="宋体"/>
          <w:b/>
          <w:bCs/>
          <w:sz w:val="18"/>
          <w:szCs w:val="18"/>
        </w:rPr>
      </w:pPr>
      <w:r>
        <w:rPr>
          <w:rFonts w:ascii="宋体" w:hAnsi="宋体" w:cs="宋体"/>
          <w:b/>
          <w:bCs/>
          <w:sz w:val="18"/>
          <w:szCs w:val="18"/>
        </w:rPr>
        <w:t>6.认购份额的计算</w:t>
      </w:r>
      <w:r>
        <w:rPr>
          <w:rFonts w:hint="eastAsia" w:ascii="宋体" w:hAnsi="宋体" w:cs="宋体"/>
          <w:b/>
          <w:bCs/>
          <w:sz w:val="18"/>
          <w:szCs w:val="18"/>
        </w:rPr>
        <w:t xml:space="preserve">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cs="宋体"/>
          <w:b/>
          <w:bCs/>
          <w:sz w:val="18"/>
          <w:szCs w:val="18"/>
        </w:rPr>
      </w:pPr>
      <w:r>
        <w:rPr>
          <w:rFonts w:ascii="宋体" w:hAnsi="宋体" w:cs="宋体"/>
          <w:b/>
          <w:bCs/>
          <w:sz w:val="18"/>
          <w:szCs w:val="18"/>
        </w:rPr>
        <w:t>9.募集期认购资金利息的处理</w:t>
      </w:r>
    </w:p>
    <w:p>
      <w:pPr>
        <w:widowControl w:val="0"/>
        <w:autoSpaceDE w:val="0"/>
        <w:autoSpaceDN w:val="0"/>
        <w:adjustRightInd w:val="0"/>
        <w:spacing w:line="360" w:lineRule="auto"/>
        <w:ind w:firstLine="360" w:firstLineChars="200"/>
        <w:rPr>
          <w:rFonts w:hint="eastAsia" w:ascii="宋体" w:hAnsi="宋体" w:eastAsia="宋体" w:cs="宋体"/>
          <w:b w:val="0"/>
          <w:bCs/>
          <w:color w:val="auto"/>
          <w:sz w:val="18"/>
          <w:szCs w:val="18"/>
          <w:lang w:val="en-US" w:eastAsia="zh-CN" w:bidi="ar-SA"/>
        </w:rPr>
      </w:pPr>
      <w:r>
        <w:rPr>
          <w:rFonts w:hint="eastAsia" w:ascii="宋体" w:hAnsi="宋体" w:eastAsia="宋体" w:cs="宋体"/>
          <w:b w:val="0"/>
          <w:bCs/>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cs="宋体"/>
          <w:bCs/>
          <w:sz w:val="18"/>
          <w:szCs w:val="18"/>
        </w:rPr>
      </w:pPr>
      <w:r>
        <w:rPr>
          <w:rFonts w:ascii="宋体" w:hAnsi="宋体" w:cs="宋体"/>
          <w:bCs/>
          <w:sz w:val="18"/>
          <w:szCs w:val="18"/>
        </w:rPr>
        <w:br w:type="page"/>
      </w:r>
    </w:p>
    <w:bookmarkEnd w:id="72"/>
    <w:bookmarkEnd w:id="7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5" w:name="_Toc4771"/>
      <w:bookmarkStart w:id="76" w:name="_Toc176189756"/>
      <w:bookmarkStart w:id="77" w:name="_Toc15203"/>
      <w:bookmarkStart w:id="78" w:name="_Toc90742688"/>
      <w:bookmarkStart w:id="79" w:name="_Toc7151"/>
      <w:bookmarkStart w:id="80" w:name="_Toc27189"/>
      <w:bookmarkStart w:id="81" w:name="_Toc74065741"/>
      <w:bookmarkStart w:id="82" w:name="_Toc3266"/>
      <w:bookmarkStart w:id="83" w:name="_Toc29948"/>
      <w:bookmarkStart w:id="84" w:name="_Toc27226"/>
      <w:bookmarkStart w:id="85" w:name="_Toc90742321"/>
      <w:bookmarkStart w:id="86" w:name="_Toc29784"/>
      <w:bookmarkStart w:id="87" w:name="_Toc6714"/>
      <w:bookmarkStart w:id="88" w:name="_Toc16265"/>
      <w:bookmarkStart w:id="89" w:name="_Toc22074"/>
      <w:bookmarkStart w:id="90" w:name="_Toc79154668"/>
      <w:bookmarkStart w:id="91" w:name="_Toc90742390"/>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四条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75"/>
      <w:bookmarkEnd w:id="76"/>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本产品为封闭式产品，不设置申购与赎回。</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2" w:name="_Toc176189757"/>
      <w:r>
        <w:rPr>
          <w:rFonts w:ascii="Times New Roman" w:hAnsi="Calibri" w:eastAsia="宋体" w:cs="宋体"/>
          <w:b/>
          <w:bCs/>
          <w:kern w:val="44"/>
          <w:sz w:val="30"/>
          <w:szCs w:val="44"/>
          <w:lang w:val="en-US" w:eastAsia="zh-CN" w:bidi="ar-SA"/>
        </w:rPr>
        <w:t>第五</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hint="eastAsia" w:ascii="宋体" w:hAnsi="宋体" w:eastAsia="宋体" w:cs="宋体"/>
          <w:bCs/>
          <w:color w:val="auto"/>
          <w:sz w:val="18"/>
          <w:szCs w:val="18"/>
        </w:rPr>
      </w:pPr>
      <w:r>
        <w:rPr>
          <w:rFonts w:ascii="宋体" w:hAnsi="宋体" w:eastAsia="宋体" w:cs="宋体"/>
          <w:sz w:val="18"/>
          <w:szCs w:val="22"/>
        </w:rPr>
        <w:t>（1）银行存款、债券逆回购、货币基金等货币市场工具及其它银行间和交易所资金融通工具；</w:t>
      </w:r>
      <w:r>
        <w:rPr>
          <w:rFonts w:ascii="宋体" w:hAnsi="宋体" w:eastAsia="宋体" w:cs="宋体"/>
          <w:sz w:val="18"/>
          <w:szCs w:val="22"/>
        </w:rPr>
        <w:br w:type="textWrapping"/>
      </w:r>
      <w:r>
        <w:rPr>
          <w:rFonts w:ascii="宋体" w:hAnsi="宋体" w:eastAsia="宋体" w:cs="宋体"/>
          <w:sz w:val="18"/>
          <w:szCs w:val="22"/>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szCs w:val="22"/>
        </w:rPr>
        <w:br w:type="textWrapping"/>
      </w:r>
      <w:r>
        <w:rPr>
          <w:rFonts w:ascii="宋体" w:hAnsi="宋体" w:eastAsia="宋体" w:cs="宋体"/>
          <w:sz w:val="18"/>
          <w:szCs w:val="22"/>
        </w:rPr>
        <w:t>（3）符合监管要求的债权类资产；</w:t>
      </w:r>
      <w:r>
        <w:rPr>
          <w:rFonts w:ascii="宋体" w:hAnsi="宋体" w:eastAsia="宋体" w:cs="宋体"/>
          <w:sz w:val="18"/>
          <w:szCs w:val="22"/>
        </w:rPr>
        <w:br w:type="textWrapping"/>
      </w:r>
      <w:r>
        <w:rPr>
          <w:rFonts w:ascii="宋体" w:hAnsi="宋体" w:eastAsia="宋体" w:cs="宋体"/>
          <w:sz w:val="18"/>
          <w:szCs w:val="22"/>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szCs w:val="22"/>
        </w:rPr>
        <w:br w:type="textWrapping"/>
      </w:r>
      <w:r>
        <w:rPr>
          <w:rFonts w:ascii="宋体" w:hAnsi="宋体" w:eastAsia="宋体" w:cs="宋体"/>
          <w:sz w:val="18"/>
          <w:szCs w:val="22"/>
        </w:rPr>
        <w:t>（5）其他风险不高于前述资产的资产。</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ascii="宋体" w:hAnsi="宋体" w:eastAsia="宋体" w:cs="宋体"/>
          <w:sz w:val="18"/>
          <w:szCs w:val="22"/>
        </w:rPr>
        <w:t>（1）本产品投资于债权类资产的比例不低于产品总资产的80%。</w:t>
      </w:r>
      <w:r>
        <w:rPr>
          <w:rFonts w:ascii="宋体" w:hAnsi="宋体" w:eastAsia="宋体" w:cs="宋体"/>
          <w:sz w:val="18"/>
          <w:szCs w:val="22"/>
        </w:rPr>
        <w:br w:type="textWrapping"/>
      </w:r>
      <w:r>
        <w:rPr>
          <w:rFonts w:ascii="宋体" w:hAnsi="宋体" w:eastAsia="宋体" w:cs="宋体"/>
          <w:sz w:val="18"/>
          <w:szCs w:val="22"/>
        </w:rPr>
        <w:t>（2）符合监管要求的非标准化债权类资产低于产品净资产的50%。</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hint="eastAsia" w:ascii="宋体" w:hAnsi="宋体" w:eastAsia="宋体" w:cs="宋体"/>
          <w:b/>
          <w:bCs w:val="0"/>
          <w:kern w:val="0"/>
          <w:sz w:val="18"/>
          <w:szCs w:val="18"/>
        </w:rPr>
      </w:pPr>
      <w:r>
        <w:rPr>
          <w:rFonts w:hint="eastAsia" w:ascii="宋体" w:hAnsi="宋体" w:eastAsia="宋体" w:cs="宋体"/>
          <w:b/>
          <w:bCs w:val="0"/>
          <w:kern w:val="0"/>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w:t>
      </w:r>
      <w:r>
        <w:rPr>
          <w:rFonts w:ascii="宋体" w:hAnsi="宋体" w:eastAsia="宋体" w:cs="宋体"/>
          <w:bCs/>
          <w:sz w:val="18"/>
          <w:szCs w:val="18"/>
        </w:rPr>
        <w:t>销售文件</w:t>
      </w:r>
      <w:r>
        <w:rPr>
          <w:rFonts w:hint="eastAsia" w:ascii="宋体" w:hAnsi="宋体" w:eastAsia="宋体" w:cs="宋体"/>
          <w:bCs/>
          <w:sz w:val="18"/>
          <w:szCs w:val="18"/>
        </w:rPr>
        <w:t>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w:t>
      </w:r>
      <w:r>
        <w:rPr>
          <w:rFonts w:ascii="宋体" w:hAnsi="宋体" w:eastAsia="宋体" w:cs="宋体"/>
          <w:bCs/>
          <w:sz w:val="18"/>
          <w:szCs w:val="18"/>
        </w:rPr>
        <w:t>销售文件的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cs="宋体"/>
          <w:bCs/>
          <w:sz w:val="18"/>
          <w:szCs w:val="18"/>
        </w:rPr>
        <w:t>无需投资者</w:t>
      </w:r>
      <w:r>
        <w:rPr>
          <w:rFonts w:hint="eastAsia" w:ascii="黑体" w:hAnsi="黑体" w:eastAsia="黑体" w:cs="宋体"/>
          <w:bCs/>
          <w:sz w:val="18"/>
          <w:szCs w:val="18"/>
        </w:rPr>
        <w:t>书面</w:t>
      </w:r>
      <w:r>
        <w:rPr>
          <w:rFonts w:ascii="黑体" w:hAnsi="黑体" w:eastAsia="黑体" w:cs="宋体"/>
          <w:bCs/>
          <w:sz w:val="18"/>
          <w:szCs w:val="18"/>
        </w:rPr>
        <w:t>同意</w:t>
      </w:r>
      <w:r>
        <w:rPr>
          <w:rFonts w:hint="eastAsia" w:ascii="黑体" w:hAnsi="黑体" w:eastAsia="黑体" w:cs="宋体"/>
          <w:bCs/>
          <w:sz w:val="18"/>
          <w:szCs w:val="18"/>
        </w:rPr>
        <w:t>。</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按照本销售文件及其他相关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（3）全部理财产品持有单一上市公司发行的股票，不得超过该上市公司可流通股票的30%。</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 xml:space="preserve">（4）全部开放式公募理财产品投资单一上市公司发行的股票不得超过该上市公司可流通股票的15%。 </w:t>
      </w:r>
    </w:p>
    <w:p>
      <w:pPr>
        <w:spacing w:line="360" w:lineRule="auto"/>
        <w:ind w:firstLine="360" w:firstLineChars="200"/>
        <w:rPr>
          <w:rFonts w:hint="eastAsia" w:ascii="宋体" w:hAnsi="宋体" w:eastAsia="宋体" w:cs="宋体"/>
          <w:bCs/>
          <w:sz w:val="18"/>
          <w:szCs w:val="18"/>
        </w:rPr>
      </w:pPr>
      <w:r>
        <w:rPr>
          <w:rFonts w:hint="eastAsia" w:ascii="宋体" w:hAnsi="宋体" w:eastAsia="宋体" w:cs="宋体"/>
          <w:bCs/>
          <w:sz w:val="18"/>
          <w:szCs w:val="18"/>
        </w:rPr>
        <w:t>（5）本产品因为流动性需要可开展存单质押、债券正回购等融资业务，本产品总资产不超过净资产的200%。</w:t>
      </w:r>
    </w:p>
    <w:p>
      <w:pPr>
        <w:spacing w:line="360" w:lineRule="auto"/>
        <w:ind w:firstLine="360" w:firstLineChars="200"/>
        <w:rPr>
          <w:rFonts w:hint="eastAsia" w:ascii="宋体" w:hAnsi="宋体" w:eastAsia="宋体" w:cs="宋体"/>
          <w:bCs/>
          <w:sz w:val="18"/>
          <w:szCs w:val="18"/>
        </w:rPr>
      </w:pPr>
      <w:r>
        <w:rPr>
          <w:rFonts w:hint="eastAsia" w:ascii="宋体" w:hAnsi="宋体" w:eastAsia="宋体" w:cs="宋体"/>
          <w:bCs/>
          <w:sz w:val="18"/>
          <w:szCs w:val="18"/>
        </w:rPr>
        <w:t>（6）本产品投资于信用债券、银行存款、非标准化债权类资产融资人的信用评级均不得低于AA+。</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cs="宋体"/>
          <w:bCs/>
          <w:sz w:val="18"/>
          <w:szCs w:val="18"/>
        </w:rPr>
      </w:pPr>
      <w:r>
        <w:rPr>
          <w:rFonts w:ascii="宋体" w:hAnsi="宋体" w:cs="宋体"/>
          <w:bCs/>
          <w:sz w:val="18"/>
          <w:szCs w:val="18"/>
        </w:rPr>
        <w:t>2.</w:t>
      </w:r>
      <w:r>
        <w:rPr>
          <w:rFonts w:hint="eastAsia" w:ascii="宋体" w:hAnsi="宋体" w:cs="宋体"/>
          <w:bCs/>
          <w:sz w:val="18"/>
          <w:szCs w:val="18"/>
        </w:rPr>
        <w:t>其他投资限制：</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1</w:t>
      </w:r>
      <w:r>
        <w:rPr>
          <w:rFonts w:hint="eastAsia" w:ascii="宋体" w:hAnsi="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w:t>
      </w:r>
      <w:r>
        <w:rPr>
          <w:rFonts w:hint="eastAsia" w:ascii="宋体" w:hAnsi="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w:t>
      </w:r>
      <w:r>
        <w:rPr>
          <w:rFonts w:hint="eastAsia" w:ascii="宋体" w:hAnsi="宋体" w:cs="宋体"/>
          <w:bCs/>
          <w:sz w:val="18"/>
          <w:szCs w:val="18"/>
        </w:rPr>
        <w:t>）不得直接或间接投资于《商业银行理财业务监督管理办法》（银保监会令</w:t>
      </w:r>
      <w:r>
        <w:rPr>
          <w:rFonts w:ascii="宋体" w:hAnsi="宋体" w:cs="宋体"/>
          <w:bCs/>
          <w:sz w:val="18"/>
          <w:szCs w:val="18"/>
        </w:rPr>
        <w:t>2018年第6号）第三十五条所列示资产之外，由未经金融监督管理部门许可设立、</w:t>
      </w:r>
      <w:r>
        <w:rPr>
          <w:rFonts w:hint="eastAsia" w:ascii="宋体" w:hAnsi="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4</w:t>
      </w:r>
      <w:r>
        <w:rPr>
          <w:rFonts w:hint="eastAsia" w:ascii="宋体" w:hAnsi="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w:t>
      </w:r>
      <w:r>
        <w:rPr>
          <w:rFonts w:hint="eastAsia" w:ascii="宋体" w:hAnsi="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如果法律法规对本销售文件约定的投资限制进行变更的，以变更后的规定为准。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【产品采取绝对收益策略，追求资产长期稳定增值。】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00000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93" w:name="_Toc26986"/>
      <w:bookmarkStart w:id="94" w:name="_Toc141703885"/>
      <w:bookmarkStart w:id="95" w:name="_Toc79154669"/>
      <w:bookmarkStart w:id="96" w:name="_Toc17912"/>
      <w:bookmarkStart w:id="97" w:name="_Toc7848"/>
      <w:bookmarkStart w:id="98" w:name="_Toc18797"/>
      <w:bookmarkStart w:id="99" w:name="_Toc176189758"/>
      <w:bookmarkStart w:id="100" w:name="_Toc74065742"/>
      <w:bookmarkStart w:id="101" w:name="_Toc139991735"/>
      <w:bookmarkStart w:id="102" w:name="_Toc1823"/>
      <w:bookmarkStart w:id="103" w:name="_Toc4741"/>
      <w:bookmarkStart w:id="104" w:name="_Toc21988"/>
      <w:bookmarkStart w:id="105" w:name="_Toc18329"/>
      <w:bookmarkStart w:id="106" w:name="_Toc18526"/>
      <w:bookmarkStart w:id="107" w:name="_Toc14893"/>
      <w:r>
        <w:rPr>
          <w:rFonts w:ascii="Times New Roman" w:hAnsi="Calibri" w:eastAsia="宋体" w:cs="宋体"/>
          <w:b/>
          <w:bCs/>
          <w:kern w:val="44"/>
          <w:sz w:val="30"/>
          <w:szCs w:val="44"/>
          <w:lang w:val="en-US" w:eastAsia="zh-CN" w:bidi="ar-SA"/>
        </w:rPr>
        <w:t>第六</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08"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0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9" w:name="_Toc10463"/>
      <w:bookmarkStart w:id="110" w:name="_Toc123051452"/>
      <w:bookmarkStart w:id="111" w:name="_Toc4003"/>
      <w:bookmarkStart w:id="112" w:name="_Toc610"/>
      <w:bookmarkStart w:id="113" w:name="_Toc141703886"/>
      <w:bookmarkStart w:id="114" w:name="_Toc7920"/>
      <w:bookmarkStart w:id="115" w:name="_Toc74065743"/>
      <w:bookmarkStart w:id="116" w:name="_Toc123102453"/>
      <w:bookmarkStart w:id="117" w:name="_Toc79392606"/>
      <w:bookmarkStart w:id="118" w:name="_Toc23822"/>
      <w:bookmarkStart w:id="119" w:name="_Toc139991736"/>
      <w:bookmarkStart w:id="120" w:name="_Toc98560352"/>
      <w:bookmarkStart w:id="121" w:name="_Toc176189759"/>
      <w:bookmarkStart w:id="122" w:name="_Toc1427"/>
      <w:bookmarkStart w:id="123" w:name="_Toc48649707"/>
      <w:bookmarkStart w:id="124" w:name="_Toc23261"/>
      <w:bookmarkStart w:id="125" w:name="_Toc17244"/>
      <w:bookmarkStart w:id="126" w:name="_Toc79154670"/>
      <w:bookmarkStart w:id="127" w:name="_Toc1270"/>
      <w:bookmarkStart w:id="128" w:name="_Toc123112234"/>
      <w:bookmarkStart w:id="129" w:name="_Toc20733"/>
      <w:r>
        <w:rPr>
          <w:rFonts w:ascii="Times New Roman" w:hAnsi="Calibri" w:eastAsia="宋体" w:cs="宋体"/>
          <w:b/>
          <w:bCs/>
          <w:kern w:val="44"/>
          <w:sz w:val="30"/>
          <w:szCs w:val="44"/>
          <w:lang w:val="en-US" w:eastAsia="zh-CN" w:bidi="ar-SA"/>
        </w:rPr>
        <w:t>第七</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理财产品项下资产的估值</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本产品存续期间，每【周】进行一次估值。如遇产品到期日、季度末、半年度末、年度末等时间节点管理人将增加估值日。</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452" w:firstLineChars="25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1.标准化债权类资产估值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（1）投资以收取合同现金流量为目的并持有到期的标准化债权类资产，可使用摊余成本计量。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（2）除（1）以外的标准化债权类资产以公允价值计量，主要依据为第三方估值机构提供的价格数据。第三方估值机构包括：中央国债登记结算公司和中证指数有限公司。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3</w:t>
      </w:r>
      <w:r>
        <w:rPr>
          <w:rFonts w:hint="eastAsia" w:ascii="宋体" w:hAnsi="宋体" w:eastAsia="宋体" w:cs="宋体"/>
          <w:color w:val="000000"/>
          <w:sz w:val="18"/>
          <w:szCs w:val="18"/>
          <w:lang w:val="en-US" w:eastAsia="zh-CN" w:bidi="ar-SA"/>
        </w:rPr>
        <w:t>）对已发行但未上市流通，且第三方估值机构未提供估值数据的标准化债权类资产，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w:t>
      </w:r>
      <w:r>
        <w:rPr>
          <w:rFonts w:ascii="宋体" w:hAnsi="宋体" w:eastAsia="宋体" w:cs="宋体"/>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hint="eastAsia" w:ascii="宋体" w:hAnsi="宋体" w:eastAsia="宋体" w:cs="宋体"/>
          <w:color w:val="000000"/>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bCs/>
          <w:color w:val="000000"/>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4.上市公司股票估值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（4）长期停牌股票，根据停牌原因、停牌时间及停牌公司公告等信息，采用估值技术确定公允价值。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000000"/>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6.优先股</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7.证券投资基金估值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1)本产品投资的ETF基金、境内上市定期开放式基金、封闭式基金，按照所投资基金估值日的收盘价估值；估值日无交易的，以最近交易日的收盘价估值。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3)本产品投资的境内上市交易型货币市场基金，如所投资基金披露份额净值，则按所投资基金估值日的份额净值估值</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hint="eastAsia" w:ascii="宋体" w:hAnsi="宋体" w:eastAsia="宋体" w:cs="宋体"/>
          <w:color w:val="000000"/>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8.其他资产管理产品的估值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宋体" w:hAnsi="宋体" w:eastAsia="宋体" w:cs="宋体"/>
          <w:bCs/>
          <w:color w:val="000000"/>
          <w:sz w:val="18"/>
          <w:szCs w:val="18"/>
          <w:lang w:val="en-US" w:eastAsia="zh-CN" w:bidi="ar-SA"/>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10.存款、拆借、回购等货币市场工具的估值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ascii="宋体" w:hAnsi="宋体" w:eastAsia="宋体" w:cs="宋体"/>
          <w:color w:val="000000"/>
          <w:sz w:val="18"/>
          <w:szCs w:val="18"/>
          <w:lang w:val="en-US" w:eastAsia="zh-CN" w:bidi="ar-SA"/>
        </w:rPr>
        <w:t>1</w:t>
      </w:r>
      <w:r>
        <w:rPr>
          <w:rFonts w:hint="eastAsia" w:ascii="宋体" w:hAnsi="宋体" w:eastAsia="宋体" w:cs="宋体"/>
          <w:color w:val="000000"/>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ascii="黑体" w:hAnsi="黑体" w:eastAsia="黑体" w:cs="宋体"/>
          <w:color w:val="000000"/>
          <w:sz w:val="18"/>
          <w:szCs w:val="18"/>
          <w:lang w:val="en-US" w:eastAsia="zh-CN" w:bidi="ar-SA"/>
        </w:rPr>
        <w:t>12.★估值方法的调整</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1.产品份额净值是按照估值日产品资产净值除以当日产品总份额计算。国家另有规定的，从其规定。</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widowControl w:val="0"/>
        <w:autoSpaceDE w:val="0"/>
        <w:autoSpaceDN w:val="0"/>
        <w:adjustRightInd w:val="0"/>
        <w:spacing w:line="360" w:lineRule="auto"/>
        <w:ind w:firstLine="361" w:firstLineChars="200"/>
        <w:rPr>
          <w:rFonts w:ascii="宋体" w:hAnsi="宋体" w:eastAsia="宋体" w:cs="宋体"/>
          <w:b/>
          <w:bCs/>
          <w:color w:val="000000"/>
          <w:sz w:val="18"/>
          <w:szCs w:val="18"/>
          <w:lang w:val="en-US" w:eastAsia="zh-CN" w:bidi="ar-SA"/>
        </w:rPr>
      </w:pPr>
      <w:r>
        <w:rPr>
          <w:rFonts w:hint="eastAsia" w:ascii="宋体" w:hAnsi="宋体" w:eastAsia="宋体" w:cs="宋体"/>
          <w:b/>
          <w:bCs/>
          <w:color w:val="000000"/>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cs="宋体"/>
          <w:kern w:val="0"/>
          <w:sz w:val="18"/>
          <w:szCs w:val="18"/>
        </w:rPr>
      </w:pPr>
      <w:r>
        <w:rPr>
          <w:rFonts w:ascii="Calibri" w:hAnsi="宋体" w:cs="宋体"/>
          <w:sz w:val="18"/>
          <w:szCs w:val="18"/>
        </w:rPr>
        <w:br w:type="page"/>
      </w:r>
    </w:p>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30" w:name="_Hlt70481650"/>
      <w:bookmarkEnd w:id="130"/>
      <w:bookmarkStart w:id="131" w:name="_Toc98560353"/>
      <w:bookmarkStart w:id="132" w:name="_Toc123112235"/>
      <w:bookmarkStart w:id="133" w:name="_Toc12245"/>
      <w:bookmarkStart w:id="134" w:name="_Toc14835"/>
      <w:bookmarkStart w:id="135" w:name="_Toc141703887"/>
      <w:bookmarkStart w:id="136" w:name="_Toc15143"/>
      <w:bookmarkStart w:id="137" w:name="_Toc31653"/>
      <w:bookmarkStart w:id="138" w:name="_Toc74065744"/>
      <w:bookmarkStart w:id="139" w:name="_Toc139991737"/>
      <w:bookmarkStart w:id="140" w:name="_Toc6405"/>
      <w:bookmarkStart w:id="141" w:name="_Toc123102454"/>
      <w:bookmarkStart w:id="142" w:name="_Toc31644"/>
      <w:bookmarkStart w:id="143" w:name="_Toc3601"/>
      <w:bookmarkStart w:id="144" w:name="_Toc176189760"/>
      <w:bookmarkStart w:id="145" w:name="_Toc123051453"/>
      <w:bookmarkStart w:id="146" w:name="_Toc31235"/>
      <w:bookmarkStart w:id="147" w:name="_Toc79154671"/>
      <w:bookmarkStart w:id="148" w:name="_Toc26207"/>
      <w:bookmarkStart w:id="149" w:name="_Toc29251"/>
      <w:r>
        <w:rPr>
          <w:rFonts w:ascii="Times New Roman" w:hAnsi="Calibri" w:eastAsia="宋体" w:cs="宋体"/>
          <w:b/>
          <w:bCs/>
          <w:kern w:val="44"/>
          <w:sz w:val="30"/>
          <w:szCs w:val="44"/>
          <w:lang w:val="en-US" w:eastAsia="zh-CN" w:bidi="ar-SA"/>
        </w:rPr>
        <w:t>第八</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Start w:id="150" w:name="_Hlt55355235"/>
      <w:bookmarkEnd w:id="150"/>
      <w:bookmarkStart w:id="151" w:name="_Toc523711668"/>
      <w:bookmarkStart w:id="152" w:name="_Toc57530239"/>
      <w:bookmarkStart w:id="153" w:name="_Toc79392580"/>
      <w:bookmarkStart w:id="154" w:name="_Toc15118234"/>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3.理财产品存续期间，产品管理人</w:t>
      </w:r>
      <w:r>
        <w:rPr>
          <w:rFonts w:ascii="宋体" w:hAnsi="宋体" w:eastAsia="宋体" w:cs="宋体"/>
          <w:color w:val="auto"/>
          <w:sz w:val="18"/>
          <w:szCs w:val="18"/>
          <w:lang w:val="en-US" w:eastAsia="zh-CN" w:bidi="ar-SA"/>
        </w:rPr>
        <w:t>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cs="宋体"/>
          <w:b/>
          <w:sz w:val="18"/>
          <w:szCs w:val="18"/>
        </w:rPr>
      </w:pPr>
      <w:r>
        <w:rPr>
          <w:rFonts w:hint="eastAsia" w:ascii="宋体" w:hAnsi="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cs="宋体"/>
          <w:kern w:val="0"/>
          <w:sz w:val="18"/>
          <w:szCs w:val="18"/>
        </w:rPr>
      </w:pPr>
      <w:r>
        <w:rPr>
          <w:rFonts w:ascii="Calibri" w:hAnsi="宋体" w:cs="宋体"/>
          <w:sz w:val="18"/>
          <w:szCs w:val="18"/>
        </w:rPr>
        <w:br w:type="page"/>
      </w:r>
    </w:p>
    <w:bookmarkEnd w:id="151"/>
    <w:bookmarkEnd w:id="152"/>
    <w:bookmarkEnd w:id="153"/>
    <w:bookmarkEnd w:id="154"/>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55" w:name="_Hlt88825574"/>
      <w:bookmarkEnd w:id="155"/>
      <w:bookmarkStart w:id="156" w:name="_Hlt88897298"/>
      <w:bookmarkEnd w:id="156"/>
      <w:bookmarkStart w:id="157" w:name="_Toc98560354"/>
      <w:bookmarkStart w:id="158" w:name="_Toc141703888"/>
      <w:bookmarkStart w:id="159" w:name="_Toc123102455"/>
      <w:bookmarkStart w:id="160" w:name="_Toc79154672"/>
      <w:bookmarkStart w:id="161" w:name="_Toc176189761"/>
      <w:bookmarkStart w:id="162" w:name="_Toc74065745"/>
      <w:bookmarkStart w:id="163" w:name="_Toc4559"/>
      <w:bookmarkStart w:id="164" w:name="_Toc25783"/>
      <w:bookmarkStart w:id="165" w:name="_Toc139991738"/>
      <w:bookmarkStart w:id="166" w:name="_Toc11030"/>
      <w:bookmarkStart w:id="167" w:name="_Toc79392583"/>
      <w:bookmarkStart w:id="168" w:name="_Toc6447"/>
      <w:bookmarkStart w:id="169" w:name="_Toc7058"/>
      <w:bookmarkStart w:id="170" w:name="_Toc9706"/>
      <w:bookmarkStart w:id="171" w:name="_Toc3771"/>
      <w:bookmarkStart w:id="172" w:name="_Toc3321"/>
      <w:bookmarkStart w:id="173" w:name="_Toc123112236"/>
      <w:bookmarkStart w:id="174" w:name="_Toc123051454"/>
      <w:bookmarkStart w:id="175" w:name="_Toc18567"/>
      <w:bookmarkStart w:id="176" w:name="_Toc10650"/>
      <w:r>
        <w:rPr>
          <w:rFonts w:ascii="Times New Roman" w:hAnsi="Calibri" w:eastAsia="宋体" w:cs="宋体"/>
          <w:b/>
          <w:bCs/>
          <w:kern w:val="44"/>
          <w:sz w:val="30"/>
          <w:szCs w:val="44"/>
          <w:lang w:val="en-US" w:eastAsia="zh-CN" w:bidi="ar-SA"/>
        </w:rPr>
        <w:t>第九</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val="0"/>
        <w:autoSpaceDE w:val="0"/>
        <w:autoSpaceDN w:val="0"/>
        <w:adjustRightInd w:val="0"/>
        <w:spacing w:line="360" w:lineRule="auto"/>
        <w:ind w:firstLine="360" w:firstLineChars="200"/>
        <w:rPr>
          <w:rFonts w:hint="eastAsia" w:ascii="黑体" w:hAnsi="黑体" w:eastAsia="黑体" w:cs="黑体"/>
          <w:b/>
          <w:bCs/>
          <w:color w:val="000000"/>
          <w:kern w:val="0"/>
          <w:sz w:val="18"/>
          <w:szCs w:val="18"/>
          <w:lang w:val="en-US" w:eastAsia="zh-CN" w:bidi="ar-SA"/>
        </w:rPr>
      </w:pPr>
      <w:r>
        <w:rPr>
          <w:rFonts w:ascii="宋体" w:hAnsi="宋体" w:eastAsia="宋体" w:cs="宋体"/>
          <w:color w:val="000000"/>
          <w:sz w:val="18"/>
          <w:szCs w:val="24"/>
          <w:lang w:val="en-US" w:eastAsia="zh-CN" w:bidi="ar-SA"/>
        </w:rPr>
        <w:t>本产品的销售服务费于产品成立日一次性计提，每日摊销。销售服务费的计算方法如下：</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H＝E×销售服务费年费率×产品期限总天数÷365</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H为应计提的产品销售服务费</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E为产品成立日的产品总份额</w:t>
      </w:r>
      <w:r>
        <w:rPr>
          <w:rFonts w:ascii="宋体" w:hAnsi="宋体" w:eastAsia="宋体" w:cs="宋体"/>
          <w:color w:val="000000"/>
          <w:sz w:val="18"/>
          <w:szCs w:val="24"/>
          <w:lang w:val="en-US" w:eastAsia="zh-CN" w:bidi="ar-SA"/>
        </w:rPr>
        <w:br w:type="textWrapping"/>
      </w:r>
      <w:r>
        <w:rPr>
          <w:rFonts w:ascii="宋体" w:hAnsi="宋体" w:eastAsia="宋体" w:cs="宋体"/>
          <w:color w:val="000000"/>
          <w:sz w:val="18"/>
          <w:szCs w:val="24"/>
          <w:lang w:val="en-US" w:eastAsia="zh-CN" w:bidi="ar-SA"/>
        </w:rPr>
        <w:t xml:space="preserve">  销售服务费依照上述约定，从理财财产中支付。费率具体数值以《产品说明书》“第二条 理财产品基本情况”为准。</w:t>
      </w:r>
      <w:r>
        <w:rPr>
          <w:rFonts w:ascii="宋体" w:hAnsi="宋体" w:eastAsia="宋体" w:cs="宋体"/>
          <w:color w:val="000000"/>
          <w:sz w:val="18"/>
          <w:szCs w:val="24"/>
          <w:lang w:val="en-US" w:eastAsia="zh-CN" w:bidi="ar-SA"/>
        </w:rPr>
        <w:br w:type="textWrapping"/>
      </w:r>
      <w:r>
        <w:rPr>
          <w:rFonts w:ascii="宋体" w:hAnsi="宋体" w:eastAsia="宋体" w:cs="宋体"/>
          <w:b/>
          <w:bCs/>
          <w:color w:val="000000"/>
          <w:sz w:val="18"/>
          <w:szCs w:val="24"/>
          <w:lang w:val="en-US" w:eastAsia="zh-CN" w:bidi="ar-SA"/>
        </w:rPr>
        <w:t xml:space="preserve">  注：</w:t>
      </w:r>
      <w:r>
        <w:rPr>
          <w:rFonts w:ascii="宋体" w:hAnsi="宋体" w:eastAsia="宋体" w:cs="宋体"/>
          <w:b/>
          <w:bCs/>
          <w:color w:val="000000"/>
          <w:sz w:val="18"/>
          <w:szCs w:val="24"/>
          <w:lang w:val="en-US" w:eastAsia="zh-CN" w:bidi="ar-SA"/>
        </w:rPr>
        <w:br w:type="textWrapping"/>
      </w:r>
      <w:r>
        <w:rPr>
          <w:rFonts w:ascii="宋体" w:hAnsi="宋体" w:eastAsia="宋体" w:cs="宋体"/>
          <w:b/>
          <w:bCs/>
          <w:color w:val="000000"/>
          <w:sz w:val="18"/>
          <w:szCs w:val="24"/>
          <w:lang w:val="en-US" w:eastAsia="zh-CN" w:bidi="ar-SA"/>
        </w:rPr>
        <w:t xml:space="preserve">  1）H对应的销售服务主要集中于产品认购募集期间。</w:t>
      </w:r>
      <w:r>
        <w:rPr>
          <w:rFonts w:ascii="宋体" w:hAnsi="宋体" w:eastAsia="宋体" w:cs="宋体"/>
          <w:b/>
          <w:bCs/>
          <w:color w:val="000000"/>
          <w:sz w:val="18"/>
          <w:szCs w:val="24"/>
          <w:lang w:val="en-US" w:eastAsia="zh-CN" w:bidi="ar-SA"/>
        </w:rPr>
        <w:br w:type="textWrapping"/>
      </w:r>
      <w:r>
        <w:rPr>
          <w:rFonts w:ascii="宋体" w:hAnsi="宋体" w:eastAsia="宋体" w:cs="宋体"/>
          <w:b/>
          <w:bCs/>
          <w:color w:val="000000"/>
          <w:sz w:val="18"/>
          <w:szCs w:val="24"/>
          <w:lang w:val="en-US" w:eastAsia="zh-CN" w:bidi="ar-SA"/>
        </w:rPr>
        <w:t xml:space="preserve">  2）如本产品发生提前终止，则产品管理人根据实际产品期限天数/实际份额计算销售服务费，多收取的销售服务费退还至理财产品资产。 </w:t>
      </w:r>
    </w:p>
    <w:p>
      <w:pPr>
        <w:widowControl w:val="0"/>
        <w:autoSpaceDE w:val="0"/>
        <w:autoSpaceDN w:val="0"/>
        <w:adjustRightInd w:val="0"/>
        <w:spacing w:line="360" w:lineRule="auto"/>
        <w:ind w:firstLine="360" w:firstLineChars="200"/>
        <w:rPr>
          <w:rFonts w:hint="eastAsia" w:ascii="黑体" w:hAnsi="黑体" w:eastAsia="黑体" w:cs="黑体"/>
          <w:color w:val="000000"/>
          <w:kern w:val="0"/>
          <w:sz w:val="18"/>
          <w:szCs w:val="18"/>
          <w:lang w:val="en-US" w:eastAsia="zh-CN" w:bidi="ar-SA"/>
        </w:rPr>
      </w:pP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pPr>
        <w:widowControl/>
        <w:spacing w:line="360" w:lineRule="auto"/>
        <w:ind w:firstLine="361" w:firstLineChars="200"/>
        <w:jc w:val="left"/>
        <w:rPr>
          <w:rFonts w:hint="eastAsia" w:ascii="黑体" w:hAnsi="黑体" w:eastAsia="黑体" w:cs="黑体"/>
          <w:b/>
          <w:bCs/>
          <w:sz w:val="18"/>
          <w:szCs w:val="18"/>
        </w:rPr>
      </w:pP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cs="宋体"/>
          <w:kern w:val="0"/>
          <w:sz w:val="18"/>
          <w:szCs w:val="18"/>
        </w:rPr>
      </w:pPr>
      <w:r>
        <w:rPr>
          <w:rFonts w:hint="eastAsia" w:ascii="宋体" w:hAnsi="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177" w:name="_Toc3963"/>
      <w:bookmarkStart w:id="178" w:name="_Toc1745"/>
      <w:r>
        <w:rPr>
          <w:rFonts w:ascii="Calibri" w:hAnsi="Calibri" w:eastAsia="宋体" w:cs="宋体"/>
          <w:b/>
          <w:bCs/>
          <w:kern w:val="44"/>
          <w:sz w:val="44"/>
          <w:szCs w:val="44"/>
          <w:lang w:val="en-US" w:eastAsia="zh-CN" w:bidi="ar-SA"/>
        </w:rPr>
        <w:br w:type="page"/>
      </w:r>
      <w:bookmarkStart w:id="179" w:name="_Toc141703889"/>
      <w:bookmarkStart w:id="180" w:name="_Toc16164"/>
      <w:bookmarkStart w:id="181" w:name="_Toc98560355"/>
      <w:bookmarkStart w:id="182" w:name="_Toc176189762"/>
      <w:bookmarkStart w:id="183" w:name="_Toc3080"/>
      <w:bookmarkStart w:id="184" w:name="_Toc123051455"/>
      <w:bookmarkStart w:id="185" w:name="_Toc725"/>
      <w:bookmarkStart w:id="186" w:name="_Toc79154673"/>
      <w:bookmarkStart w:id="187" w:name="_Toc3572"/>
      <w:bookmarkStart w:id="188" w:name="_Toc123102456"/>
      <w:bookmarkStart w:id="189" w:name="_Toc18206"/>
      <w:bookmarkStart w:id="190" w:name="_Toc139991739"/>
      <w:bookmarkStart w:id="191" w:name="_Toc74065746"/>
      <w:bookmarkStart w:id="192" w:name="_Toc123112237"/>
      <w:bookmarkStart w:id="193" w:name="_Toc31821"/>
      <w:bookmarkStart w:id="194" w:name="_Toc10398"/>
      <w:bookmarkStart w:id="195" w:name="_Toc21735"/>
      <w:r>
        <w:rPr>
          <w:rFonts w:hint="eastAsia" w:ascii="Calibri" w:hAnsi="Calibri" w:eastAsia="宋体" w:cs="宋体"/>
          <w:b/>
          <w:bCs/>
          <w:kern w:val="44"/>
          <w:sz w:val="30"/>
          <w:szCs w:val="44"/>
          <w:lang w:val="en-US" w:eastAsia="zh-CN" w:bidi="ar-SA"/>
        </w:rPr>
        <w:t>第</w:t>
      </w:r>
      <w:r>
        <w:rPr>
          <w:rFonts w:ascii="Calibri" w:hAnsi="Calibri" w:eastAsia="宋体" w:cs="宋体"/>
          <w:b/>
          <w:bCs/>
          <w:kern w:val="44"/>
          <w:sz w:val="30"/>
          <w:szCs w:val="44"/>
          <w:lang w:val="en-US" w:eastAsia="zh-CN" w:bidi="ar-SA"/>
        </w:rPr>
        <w:t>十</w:t>
      </w:r>
      <w:r>
        <w:rPr>
          <w:rFonts w:hint="eastAsia" w:ascii="Calibri" w:hAnsi="Calibri" w:eastAsia="宋体" w:cs="宋体"/>
          <w:b/>
          <w:bCs/>
          <w:kern w:val="44"/>
          <w:sz w:val="30"/>
          <w:szCs w:val="44"/>
          <w:lang w:val="en-US" w:eastAsia="zh-CN" w:bidi="ar-SA"/>
        </w:rPr>
        <w:t>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spacing w:line="360" w:lineRule="auto"/>
        <w:ind w:firstLine="361" w:firstLineChars="200"/>
        <w:rPr>
          <w:rFonts w:ascii="宋体" w:hAnsi="宋体" w:eastAsia="宋体" w:cs="宋体"/>
          <w:b/>
          <w:bCs/>
          <w:sz w:val="18"/>
          <w:szCs w:val="18"/>
        </w:rPr>
      </w:pPr>
      <w:bookmarkStart w:id="196" w:name="_Toc15118245"/>
      <w:bookmarkStart w:id="197" w:name="_Toc79392593"/>
      <w:bookmarkStart w:id="198" w:name="_Toc57530252"/>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宋体" w:hAnsi="宋体" w:eastAsia="宋体" w:cs="宋体"/>
          <w:bCs/>
          <w:sz w:val="18"/>
          <w:szCs w:val="18"/>
        </w:rPr>
        <w:t>5</w:t>
      </w:r>
      <w:r>
        <w:rPr>
          <w:rFonts w:hint="eastAsia" w:ascii="宋体" w:hAnsi="宋体" w:eastAsia="宋体" w:cs="宋体"/>
          <w:bCs/>
          <w:sz w:val="18"/>
          <w:szCs w:val="18"/>
        </w:rPr>
        <w:t>】个工作日，清算期超过【</w:t>
      </w:r>
      <w:r>
        <w:rPr>
          <w:rFonts w:ascii="宋体" w:hAnsi="宋体" w:eastAsia="宋体" w:cs="宋体"/>
          <w:bCs/>
          <w:sz w:val="18"/>
          <w:szCs w:val="18"/>
        </w:rPr>
        <w:t>5</w:t>
      </w:r>
      <w:r>
        <w:rPr>
          <w:rFonts w:hint="eastAsia" w:ascii="宋体" w:hAnsi="宋体" w:eastAsia="宋体" w:cs="宋体"/>
          <w:bCs/>
          <w:sz w:val="18"/>
          <w:szCs w:val="18"/>
        </w:rPr>
        <w:t>】个工作日的，</w:t>
      </w:r>
      <w:r>
        <w:rPr>
          <w:rFonts w:ascii="宋体" w:hAnsi="宋体" w:eastAsia="宋体" w:cs="宋体"/>
          <w:bCs/>
          <w:sz w:val="18"/>
          <w:szCs w:val="18"/>
        </w:rPr>
        <w:t>将依约</w:t>
      </w:r>
      <w:r>
        <w:rPr>
          <w:rFonts w:hint="eastAsia" w:ascii="宋体" w:hAnsi="宋体" w:eastAsia="宋体" w:cs="宋体"/>
          <w:bCs/>
          <w:sz w:val="18"/>
          <w:szCs w:val="18"/>
        </w:rPr>
        <w:t>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部分终止的比例：理财产品将按比例（已变现资产</w:t>
      </w:r>
      <w:r>
        <w:rPr>
          <w:rFonts w:ascii="宋体" w:hAnsi="宋体" w:eastAsia="宋体" w:cs="宋体"/>
          <w:bCs/>
          <w:sz w:val="18"/>
          <w:szCs w:val="18"/>
        </w:rPr>
        <w:t>/理财产品净资产）</w:t>
      </w:r>
      <w:r>
        <w:rPr>
          <w:rFonts w:hint="eastAsia" w:ascii="宋体" w:hAnsi="宋体" w:eastAsia="宋体" w:cs="宋体"/>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部分终止的利益分配：产品管理人将依照销售文件公布部分终止日并指定利益分配日（一般为部分终止日之后的【</w:t>
      </w:r>
      <w:r>
        <w:rPr>
          <w:rFonts w:ascii="宋体" w:hAnsi="宋体" w:eastAsia="宋体" w:cs="宋体"/>
          <w:bCs/>
          <w:sz w:val="18"/>
          <w:szCs w:val="18"/>
        </w:rPr>
        <w:t>5</w:t>
      </w:r>
      <w:r>
        <w:rPr>
          <w:rFonts w:hint="eastAsia" w:ascii="宋体" w:hAnsi="宋体" w:eastAsia="宋体" w:cs="宋体"/>
          <w:bCs/>
          <w:sz w:val="18"/>
          <w:szCs w:val="18"/>
        </w:rPr>
        <w:t>】个工作日以内）。产品管理人应将理财利益于指定的利益分配</w:t>
      </w:r>
      <w:r>
        <w:rPr>
          <w:rFonts w:ascii="宋体" w:hAnsi="宋体" w:eastAsia="宋体" w:cs="宋体"/>
          <w:bCs/>
          <w:sz w:val="18"/>
          <w:szCs w:val="18"/>
        </w:rPr>
        <w:t>日</w:t>
      </w:r>
      <w:r>
        <w:rPr>
          <w:rFonts w:hint="eastAsia" w:ascii="宋体" w:hAnsi="宋体" w:eastAsia="宋体" w:cs="宋体"/>
          <w:bCs/>
          <w:sz w:val="18"/>
          <w:szCs w:val="18"/>
        </w:rPr>
        <w:t>（遇节假日顺延）向投资者分配。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w:t>
      </w:r>
      <w:r>
        <w:rPr>
          <w:rFonts w:ascii="宋体" w:hAnsi="宋体" w:eastAsia="宋体" w:cs="宋体"/>
          <w:bCs/>
          <w:sz w:val="18"/>
          <w:szCs w:val="18"/>
        </w:rPr>
        <w:t>利益</w:t>
      </w:r>
      <w:r>
        <w:rPr>
          <w:rFonts w:hint="eastAsia" w:ascii="宋体" w:hAnsi="宋体" w:eastAsia="宋体" w:cs="宋体"/>
          <w:bCs/>
          <w:sz w:val="18"/>
          <w:szCs w:val="18"/>
        </w:rPr>
        <w:t>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ascii="宋体" w:hAnsi="宋体" w:eastAsia="宋体" w:cs="宋体"/>
          <w:bCs/>
          <w:sz w:val="18"/>
          <w:szCs w:val="18"/>
        </w:rPr>
        <w:t>3.理财</w:t>
      </w:r>
      <w:r>
        <w:rPr>
          <w:rFonts w:hint="eastAsia" w:ascii="宋体" w:hAnsi="宋体" w:eastAsia="宋体" w:cs="宋体"/>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default" w:ascii="宋体" w:hAnsi="宋体" w:eastAsia="宋体" w:cs="宋体"/>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宋体" w:hAnsi="宋体" w:eastAsia="宋体" w:cs="宋体"/>
          <w:bCs/>
          <w:sz w:val="18"/>
          <w:szCs w:val="18"/>
        </w:rPr>
        <w:t>【5】</w:t>
      </w:r>
      <w:r>
        <w:rPr>
          <w:rFonts w:hint="default" w:ascii="宋体" w:hAnsi="宋体" w:eastAsia="宋体" w:cs="宋体"/>
          <w:bCs/>
          <w:sz w:val="18"/>
          <w:szCs w:val="18"/>
          <w:lang w:val="en-US" w:eastAsia="zh-CN"/>
        </w:rPr>
        <w:t>个工作日内按投资者持有的理财产品份额比例向投资者进行再次分配。</w:t>
      </w:r>
    </w:p>
    <w:bookmarkEnd w:id="196"/>
    <w:bookmarkEnd w:id="197"/>
    <w:bookmarkEnd w:id="198"/>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r>
        <w:rPr>
          <w:rFonts w:ascii="Times New Roman" w:hAnsi="Calibri" w:eastAsia="宋体" w:cs="宋体"/>
          <w:b w:val="0"/>
          <w:bCs w:val="0"/>
          <w:kern w:val="2"/>
          <w:sz w:val="44"/>
          <w:szCs w:val="44"/>
          <w:lang w:val="en-US" w:eastAsia="zh-CN" w:bidi="ar-SA"/>
        </w:rPr>
        <w:br w:type="page"/>
      </w:r>
      <w:bookmarkStart w:id="199" w:name="_Toc176189763"/>
      <w:bookmarkStart w:id="200" w:name="_Toc3329"/>
      <w:bookmarkStart w:id="201" w:name="_Toc5170"/>
      <w:bookmarkStart w:id="202" w:name="_Toc79392622"/>
      <w:bookmarkStart w:id="203" w:name="_Toc739"/>
      <w:bookmarkStart w:id="204" w:name="_Toc139991740"/>
      <w:bookmarkStart w:id="205" w:name="_Toc17198"/>
      <w:bookmarkStart w:id="206" w:name="_Toc79154674"/>
      <w:bookmarkStart w:id="207" w:name="_Toc141703890"/>
      <w:bookmarkStart w:id="208" w:name="_Toc74065747"/>
      <w:bookmarkStart w:id="209" w:name="_Toc17920"/>
      <w:bookmarkStart w:id="210" w:name="_Toc123051456"/>
      <w:bookmarkStart w:id="211" w:name="_Toc123102457"/>
      <w:bookmarkStart w:id="212" w:name="_Toc48649708"/>
      <w:bookmarkStart w:id="213" w:name="_Toc32584"/>
      <w:bookmarkStart w:id="214" w:name="_Toc8791"/>
      <w:bookmarkStart w:id="215" w:name="_Toc32092"/>
      <w:bookmarkStart w:id="216" w:name="_Toc98560356"/>
      <w:bookmarkStart w:id="217" w:name="_Toc21237"/>
      <w:bookmarkStart w:id="218" w:name="_Toc29408"/>
      <w:bookmarkStart w:id="219" w:name="_Toc123112238"/>
      <w:r>
        <w:rPr>
          <w:rFonts w:ascii="Times New Roman" w:hAnsi="Calibri" w:eastAsia="宋体" w:cs="宋体"/>
          <w:b/>
          <w:bCs/>
          <w:kern w:val="44"/>
          <w:sz w:val="30"/>
          <w:szCs w:val="44"/>
          <w:lang w:val="en-US" w:eastAsia="zh-CN" w:bidi="ar-SA"/>
        </w:rPr>
        <w:t>第十一</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理财产品的信息披露</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spacing w:line="360" w:lineRule="auto"/>
        <w:ind w:firstLine="361"/>
        <w:rPr>
          <w:rFonts w:ascii="宋体" w:hAnsi="宋体" w:cs="宋体"/>
          <w:b/>
          <w:bCs/>
          <w:sz w:val="18"/>
          <w:szCs w:val="18"/>
        </w:rPr>
      </w:pPr>
      <w:r>
        <w:rPr>
          <w:rFonts w:hint="eastAsia" w:ascii="宋体" w:hAnsi="宋体" w:cs="宋体"/>
          <w:b/>
          <w:bCs/>
          <w:sz w:val="18"/>
          <w:szCs w:val="18"/>
        </w:rPr>
        <w:t>（一）信息</w:t>
      </w:r>
      <w:r>
        <w:rPr>
          <w:rFonts w:ascii="宋体" w:hAnsi="宋体" w:cs="宋体"/>
          <w:b/>
          <w:bCs/>
          <w:sz w:val="18"/>
          <w:szCs w:val="18"/>
        </w:rPr>
        <w:t>披露的原则</w:t>
      </w:r>
    </w:p>
    <w:p>
      <w:pPr>
        <w:spacing w:line="360" w:lineRule="auto"/>
        <w:ind w:firstLine="360"/>
        <w:rPr>
          <w:rFonts w:ascii="宋体" w:hAnsi="宋体" w:cs="宋体"/>
          <w:b/>
          <w:bCs/>
          <w:sz w:val="18"/>
          <w:szCs w:val="18"/>
        </w:rPr>
      </w:pPr>
      <w:r>
        <w:rPr>
          <w:rFonts w:hint="eastAsia" w:ascii="宋体" w:hAnsi="宋体" w:cs="宋体"/>
          <w:bCs/>
          <w:sz w:val="18"/>
          <w:szCs w:val="18"/>
        </w:rPr>
        <w:t>产品管理人</w:t>
      </w:r>
      <w:r>
        <w:rPr>
          <w:rFonts w:ascii="宋体" w:hAnsi="宋体" w:cs="宋体"/>
          <w:bCs/>
          <w:sz w:val="18"/>
          <w:szCs w:val="18"/>
        </w:rPr>
        <w:t>遵循真实性、准确性、完整性和及时性原则</w:t>
      </w:r>
      <w:r>
        <w:rPr>
          <w:rFonts w:hint="eastAsia" w:ascii="宋体" w:hAnsi="宋体" w:cs="宋体"/>
          <w:bCs/>
          <w:sz w:val="18"/>
          <w:szCs w:val="18"/>
        </w:rPr>
        <w:t>进行</w:t>
      </w:r>
      <w:r>
        <w:rPr>
          <w:rFonts w:ascii="宋体" w:hAnsi="宋体" w:cs="宋体"/>
          <w:bCs/>
          <w:sz w:val="18"/>
          <w:szCs w:val="18"/>
        </w:rPr>
        <w:t>信息披露</w:t>
      </w:r>
      <w:r>
        <w:rPr>
          <w:rFonts w:hint="eastAsia" w:ascii="宋体" w:hAnsi="宋体" w:cs="宋体"/>
          <w:bCs/>
          <w:sz w:val="18"/>
          <w:szCs w:val="18"/>
        </w:rPr>
        <w:t>。</w:t>
      </w:r>
    </w:p>
    <w:p>
      <w:pPr>
        <w:spacing w:line="360" w:lineRule="auto"/>
        <w:ind w:firstLine="361"/>
        <w:rPr>
          <w:rFonts w:ascii="宋体" w:hAnsi="宋体" w:cs="宋体"/>
          <w:b/>
          <w:bCs/>
          <w:sz w:val="18"/>
          <w:szCs w:val="18"/>
        </w:rPr>
      </w:pPr>
      <w:r>
        <w:rPr>
          <w:rFonts w:hint="eastAsia" w:ascii="宋体" w:hAnsi="宋体" w:cs="宋体"/>
          <w:b/>
          <w:bCs/>
          <w:sz w:val="18"/>
          <w:szCs w:val="18"/>
        </w:rPr>
        <w:t>（二）信息披露的渠道</w:t>
      </w:r>
    </w:p>
    <w:p>
      <w:pPr>
        <w:spacing w:line="360" w:lineRule="auto"/>
        <w:ind w:firstLine="360"/>
        <w:rPr>
          <w:rFonts w:ascii="宋体" w:hAnsi="宋体" w:cs="宋体"/>
          <w:bCs/>
          <w:sz w:val="18"/>
          <w:szCs w:val="18"/>
        </w:rPr>
      </w:pPr>
      <w:r>
        <w:rPr>
          <w:rFonts w:ascii="宋体" w:hAnsi="宋体" w:cs="宋体"/>
          <w:bCs/>
          <w:sz w:val="18"/>
          <w:szCs w:val="18"/>
        </w:rPr>
        <w:t>1.</w:t>
      </w:r>
      <w:r>
        <w:rPr>
          <w:rFonts w:hint="eastAsia" w:ascii="宋体" w:hAnsi="宋体" w:cs="宋体"/>
          <w:bCs/>
          <w:sz w:val="18"/>
          <w:szCs w:val="18"/>
        </w:rPr>
        <w:t>理财产品的信息披露将通过产品管理人或销售机构的门户网站、电子销售渠道或营业网点等进行</w:t>
      </w:r>
      <w:r>
        <w:rPr>
          <w:rFonts w:ascii="宋体" w:hAnsi="宋体" w:cs="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rPr>
          <w:rFonts w:ascii="宋体" w:hAnsi="宋体" w:cs="宋体"/>
          <w:bCs/>
          <w:sz w:val="18"/>
          <w:szCs w:val="18"/>
        </w:rPr>
      </w:pPr>
      <w:r>
        <w:rPr>
          <w:rFonts w:ascii="宋体" w:hAnsi="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cs="宋体"/>
          <w:bCs/>
          <w:sz w:val="18"/>
          <w:szCs w:val="18"/>
        </w:rPr>
      </w:pPr>
      <w:r>
        <w:rPr>
          <w:rFonts w:ascii="宋体" w:hAnsi="宋体" w:cs="宋体"/>
          <w:bCs/>
          <w:sz w:val="18"/>
          <w:szCs w:val="18"/>
        </w:rPr>
        <w:t>4.在保障投资者知情权的前提下</w:t>
      </w:r>
      <w:r>
        <w:rPr>
          <w:rFonts w:hint="eastAsia" w:ascii="宋体" w:hAnsi="宋体" w:cs="宋体"/>
          <w:bCs/>
          <w:sz w:val="18"/>
          <w:szCs w:val="18"/>
        </w:rPr>
        <w:t>，</w:t>
      </w:r>
      <w:r>
        <w:rPr>
          <w:rFonts w:ascii="宋体" w:hAnsi="宋体" w:cs="宋体"/>
          <w:bCs/>
          <w:sz w:val="18"/>
          <w:szCs w:val="18"/>
        </w:rPr>
        <w:t>产品管理人保留变更信息披露渠道的权利。</w:t>
      </w:r>
    </w:p>
    <w:p>
      <w:pPr>
        <w:spacing w:line="360" w:lineRule="auto"/>
        <w:ind w:firstLine="361"/>
        <w:rPr>
          <w:rFonts w:ascii="宋体" w:hAnsi="宋体" w:cs="宋体"/>
          <w:b/>
          <w:bCs/>
          <w:sz w:val="18"/>
          <w:szCs w:val="18"/>
        </w:rPr>
      </w:pPr>
      <w:r>
        <w:rPr>
          <w:rFonts w:hint="eastAsia" w:ascii="宋体" w:hAnsi="宋体" w:cs="宋体"/>
          <w:b/>
          <w:bCs/>
          <w:sz w:val="18"/>
          <w:szCs w:val="18"/>
        </w:rPr>
        <w:t>（三）信息披露的内容</w:t>
      </w:r>
    </w:p>
    <w:p>
      <w:pPr>
        <w:spacing w:line="360" w:lineRule="auto"/>
        <w:ind w:firstLine="360"/>
        <w:rPr>
          <w:rFonts w:ascii="宋体" w:hAnsi="宋体" w:cs="宋体"/>
          <w:bCs/>
          <w:sz w:val="18"/>
          <w:szCs w:val="18"/>
        </w:rPr>
      </w:pPr>
      <w:r>
        <w:rPr>
          <w:rFonts w:hint="eastAsia" w:ascii="宋体" w:hAnsi="宋体" w:cs="宋体"/>
          <w:bCs/>
          <w:sz w:val="18"/>
          <w:szCs w:val="18"/>
        </w:rPr>
        <w:t>理财产品信息披露</w:t>
      </w:r>
      <w:r>
        <w:rPr>
          <w:rFonts w:ascii="宋体" w:hAnsi="宋体" w:cs="宋体"/>
          <w:bCs/>
          <w:sz w:val="18"/>
          <w:szCs w:val="18"/>
        </w:rPr>
        <w:t>包括但不限于产品成立、产品终止、</w:t>
      </w:r>
      <w:r>
        <w:rPr>
          <w:rFonts w:hint="eastAsia" w:ascii="宋体" w:hAnsi="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cs="宋体"/>
          <w:b/>
          <w:bCs/>
          <w:sz w:val="18"/>
          <w:szCs w:val="18"/>
        </w:rPr>
      </w:pPr>
      <w:r>
        <w:rPr>
          <w:rFonts w:hint="eastAsia" w:ascii="宋体" w:hAnsi="宋体" w:cs="宋体"/>
          <w:b/>
          <w:bCs/>
          <w:sz w:val="18"/>
          <w:szCs w:val="18"/>
        </w:rPr>
        <w:t>（四）信息披露的频率和时间</w:t>
      </w:r>
    </w:p>
    <w:p>
      <w:pPr>
        <w:spacing w:line="360" w:lineRule="auto"/>
        <w:ind w:firstLine="360"/>
        <w:rPr>
          <w:rFonts w:ascii="宋体" w:hAnsi="宋体" w:cs="宋体"/>
          <w:bCs/>
          <w:sz w:val="18"/>
          <w:szCs w:val="18"/>
        </w:rPr>
      </w:pPr>
      <w:r>
        <w:rPr>
          <w:rFonts w:ascii="宋体" w:hAnsi="宋体" w:cs="宋体"/>
          <w:bCs/>
          <w:sz w:val="18"/>
          <w:szCs w:val="18"/>
        </w:rPr>
        <w:t>1.产品成立公告</w:t>
      </w:r>
    </w:p>
    <w:p>
      <w:pPr>
        <w:spacing w:line="360" w:lineRule="auto"/>
        <w:ind w:firstLine="360"/>
        <w:rPr>
          <w:rFonts w:ascii="宋体" w:hAnsi="宋体" w:cs="宋体"/>
          <w:bCs/>
          <w:sz w:val="18"/>
          <w:szCs w:val="18"/>
        </w:rPr>
      </w:pPr>
      <w:r>
        <w:rPr>
          <w:rFonts w:hint="eastAsia" w:ascii="宋体" w:hAnsi="宋体" w:cs="宋体"/>
          <w:bCs/>
          <w:sz w:val="18"/>
          <w:szCs w:val="18"/>
        </w:rPr>
        <w:t>本产品成立后</w:t>
      </w:r>
      <w:r>
        <w:rPr>
          <w:rFonts w:ascii="宋体" w:hAnsi="宋体" w:cs="宋体"/>
          <w:bCs/>
          <w:sz w:val="18"/>
          <w:szCs w:val="18"/>
        </w:rPr>
        <w:t>5个工作日内，产品管理人将发布产品成立公告。</w:t>
      </w:r>
    </w:p>
    <w:p>
      <w:pPr>
        <w:spacing w:line="360" w:lineRule="auto"/>
        <w:ind w:firstLine="360"/>
        <w:rPr>
          <w:rFonts w:ascii="宋体" w:hAnsi="宋体" w:cs="宋体"/>
          <w:bCs/>
          <w:sz w:val="18"/>
          <w:szCs w:val="18"/>
        </w:rPr>
      </w:pPr>
      <w:r>
        <w:rPr>
          <w:rFonts w:ascii="宋体" w:hAnsi="宋体" w:cs="宋体"/>
          <w:bCs/>
          <w:sz w:val="18"/>
          <w:szCs w:val="18"/>
        </w:rPr>
        <w:t>2.重大事项</w:t>
      </w:r>
      <w:r>
        <w:rPr>
          <w:rFonts w:hint="eastAsia" w:ascii="宋体" w:hAnsi="宋体" w:cs="宋体"/>
          <w:bCs/>
          <w:sz w:val="18"/>
          <w:szCs w:val="18"/>
        </w:rPr>
        <w:t>公告</w:t>
      </w:r>
    </w:p>
    <w:p>
      <w:pPr>
        <w:spacing w:line="360" w:lineRule="auto"/>
        <w:ind w:firstLine="360"/>
        <w:rPr>
          <w:rFonts w:ascii="宋体" w:hAnsi="宋体" w:cs="宋体"/>
          <w:bCs/>
          <w:sz w:val="18"/>
          <w:szCs w:val="18"/>
        </w:rPr>
      </w:pPr>
      <w:r>
        <w:rPr>
          <w:rFonts w:hint="eastAsia" w:ascii="宋体" w:hAnsi="宋体" w:cs="宋体"/>
          <w:bCs/>
          <w:sz w:val="18"/>
          <w:szCs w:val="18"/>
        </w:rPr>
        <w:t>在发生可能对理财产品投资者或者理财产品收益产生重大影响的事件后</w:t>
      </w:r>
      <w:r>
        <w:rPr>
          <w:rFonts w:ascii="宋体" w:hAnsi="宋体" w:cs="宋体"/>
          <w:bCs/>
          <w:sz w:val="18"/>
          <w:szCs w:val="18"/>
        </w:rPr>
        <w:t>2个工作日内发布重大事项公告。</w:t>
      </w:r>
    </w:p>
    <w:p>
      <w:pPr>
        <w:spacing w:line="360" w:lineRule="auto"/>
        <w:ind w:firstLine="360"/>
        <w:rPr>
          <w:rFonts w:ascii="宋体" w:hAnsi="宋体" w:cs="宋体"/>
          <w:bCs/>
          <w:sz w:val="18"/>
          <w:szCs w:val="18"/>
        </w:rPr>
      </w:pPr>
      <w:r>
        <w:rPr>
          <w:rFonts w:ascii="宋体" w:hAnsi="宋体" w:cs="宋体"/>
          <w:bCs/>
          <w:sz w:val="18"/>
          <w:szCs w:val="18"/>
        </w:rPr>
        <w:t>3.定期报告</w:t>
      </w:r>
    </w:p>
    <w:p>
      <w:pPr>
        <w:spacing w:line="360" w:lineRule="auto"/>
        <w:ind w:firstLine="360"/>
        <w:rPr>
          <w:rFonts w:ascii="宋体" w:hAnsi="宋体" w:cs="宋体"/>
          <w:bCs/>
          <w:sz w:val="18"/>
          <w:szCs w:val="18"/>
        </w:rPr>
      </w:pPr>
      <w:r>
        <w:rPr>
          <w:rFonts w:hint="eastAsia" w:ascii="宋体" w:hAnsi="宋体" w:cs="宋体"/>
          <w:bCs/>
          <w:sz w:val="18"/>
          <w:szCs w:val="18"/>
        </w:rPr>
        <w:t>定期报告分为</w:t>
      </w:r>
      <w:r>
        <w:rPr>
          <w:rFonts w:ascii="宋体" w:hAnsi="宋体" w:cs="宋体"/>
          <w:bCs/>
          <w:sz w:val="18"/>
          <w:szCs w:val="18"/>
        </w:rPr>
        <w:t>季度、半年度和年度定期报告。</w:t>
      </w:r>
      <w:r>
        <w:rPr>
          <w:rFonts w:hint="eastAsia" w:ascii="宋体" w:hAnsi="宋体" w:cs="宋体"/>
          <w:bCs/>
          <w:sz w:val="18"/>
          <w:szCs w:val="18"/>
        </w:rPr>
        <w:t>产品成立超过</w:t>
      </w:r>
      <w:r>
        <w:rPr>
          <w:rFonts w:ascii="宋体" w:hAnsi="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cs="宋体"/>
          <w:bCs/>
          <w:sz w:val="18"/>
          <w:szCs w:val="18"/>
        </w:rPr>
      </w:pPr>
      <w:r>
        <w:rPr>
          <w:rFonts w:ascii="宋体" w:hAnsi="宋体" w:cs="宋体"/>
          <w:bCs/>
          <w:sz w:val="18"/>
          <w:szCs w:val="18"/>
        </w:rPr>
        <w:t>4.到期公告</w:t>
      </w:r>
    </w:p>
    <w:p>
      <w:pPr>
        <w:spacing w:line="360" w:lineRule="auto"/>
        <w:ind w:firstLine="360"/>
        <w:rPr>
          <w:rFonts w:ascii="宋体" w:hAnsi="宋体" w:cs="宋体"/>
          <w:bCs/>
          <w:sz w:val="18"/>
          <w:szCs w:val="18"/>
        </w:rPr>
      </w:pPr>
      <w:r>
        <w:rPr>
          <w:rFonts w:hint="eastAsia" w:ascii="宋体" w:hAnsi="宋体" w:cs="宋体"/>
          <w:bCs/>
          <w:sz w:val="18"/>
          <w:szCs w:val="18"/>
        </w:rPr>
        <w:t>如果产品管理人主动提前终止本产品，产品管理人将提前</w:t>
      </w:r>
      <w:r>
        <w:rPr>
          <w:rFonts w:ascii="宋体" w:hAnsi="宋体" w:cs="宋体"/>
          <w:bCs/>
          <w:sz w:val="18"/>
          <w:szCs w:val="18"/>
        </w:rPr>
        <w:t>2个工作日进行公告。本产品终止后5个工作日内，产品管理人发布产品到期公告。</w:t>
      </w:r>
    </w:p>
    <w:p>
      <w:pPr>
        <w:spacing w:line="360" w:lineRule="auto"/>
        <w:ind w:firstLine="360"/>
        <w:rPr>
          <w:rFonts w:ascii="宋体" w:hAnsi="宋体" w:cs="宋体"/>
          <w:bCs/>
          <w:sz w:val="18"/>
          <w:szCs w:val="18"/>
        </w:rPr>
      </w:pPr>
      <w:r>
        <w:rPr>
          <w:rFonts w:ascii="宋体" w:hAnsi="宋体" w:cs="宋体"/>
          <w:bCs/>
          <w:sz w:val="18"/>
          <w:szCs w:val="18"/>
        </w:rPr>
        <w:t>5.估值日公告</w:t>
      </w:r>
    </w:p>
    <w:p>
      <w:pPr>
        <w:spacing w:line="360" w:lineRule="auto"/>
        <w:ind w:firstLine="360"/>
        <w:rPr>
          <w:rFonts w:ascii="宋体" w:hAnsi="宋体" w:cs="宋体"/>
          <w:bCs/>
          <w:sz w:val="18"/>
          <w:szCs w:val="18"/>
        </w:rPr>
      </w:pPr>
      <w:r>
        <w:rPr>
          <w:rFonts w:hint="eastAsia" w:ascii="宋体" w:hAnsi="宋体" w:cs="宋体"/>
          <w:bCs/>
          <w:sz w:val="18"/>
          <w:szCs w:val="18"/>
        </w:rPr>
        <w:t>产品</w:t>
      </w:r>
      <w:r>
        <w:rPr>
          <w:rFonts w:ascii="宋体" w:hAnsi="宋体" w:cs="宋体"/>
          <w:bCs/>
          <w:sz w:val="18"/>
          <w:szCs w:val="18"/>
        </w:rPr>
        <w:t>存续</w:t>
      </w:r>
      <w:r>
        <w:rPr>
          <w:rFonts w:hint="eastAsia" w:ascii="宋体" w:hAnsi="宋体" w:cs="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
      <w:pPr>
        <w:spacing w:line="360" w:lineRule="auto"/>
        <w:ind w:firstLine="360"/>
        <w:rPr>
          <w:rFonts w:ascii="宋体" w:hAnsi="宋体" w:cs="宋体"/>
          <w:bCs/>
          <w:sz w:val="18"/>
          <w:szCs w:val="18"/>
        </w:rPr>
      </w:pPr>
      <w:r>
        <w:rPr>
          <w:rFonts w:ascii="宋体" w:hAnsi="宋体" w:cs="宋体"/>
          <w:bCs/>
          <w:sz w:val="18"/>
          <w:szCs w:val="18"/>
        </w:rPr>
        <w:t>6.临时公告</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★产品管理人</w:t>
      </w:r>
      <w:r>
        <w:rPr>
          <w:rFonts w:ascii="黑体" w:hAnsi="黑体" w:eastAsia="黑体" w:cs="宋体"/>
          <w:bCs/>
          <w:sz w:val="18"/>
          <w:szCs w:val="18"/>
        </w:rPr>
        <w:t>对</w:t>
      </w:r>
      <w:r>
        <w:rPr>
          <w:rFonts w:hint="eastAsia" w:ascii="黑体" w:hAnsi="黑体" w:eastAsia="黑体" w:cs="宋体"/>
          <w:bCs/>
          <w:sz w:val="18"/>
          <w:szCs w:val="18"/>
        </w:rPr>
        <w:t>投资范围、投资资产种类、</w:t>
      </w:r>
      <w:r>
        <w:rPr>
          <w:rFonts w:ascii="黑体" w:hAnsi="黑体" w:eastAsia="黑体" w:cs="宋体"/>
          <w:bCs/>
          <w:sz w:val="18"/>
          <w:szCs w:val="18"/>
        </w:rPr>
        <w:t>投资</w:t>
      </w:r>
      <w:r>
        <w:rPr>
          <w:rFonts w:hint="eastAsia" w:ascii="黑体" w:hAnsi="黑体" w:eastAsia="黑体" w:cs="宋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bCs/>
          <w:sz w:val="18"/>
          <w:szCs w:val="18"/>
        </w:rPr>
        <w:t>2个工作日发布变更公告</w:t>
      </w:r>
      <w:r>
        <w:rPr>
          <w:rFonts w:hint="eastAsia" w:ascii="黑体" w:hAnsi="黑体" w:eastAsia="黑体" w:cs="宋体"/>
          <w:bCs/>
          <w:sz w:val="18"/>
          <w:szCs w:val="18"/>
        </w:rPr>
        <w:t>。</w:t>
      </w:r>
    </w:p>
    <w:p>
      <w:pPr>
        <w:spacing w:line="360" w:lineRule="auto"/>
        <w:ind w:firstLine="360" w:firstLineChars="20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2）在发生</w:t>
      </w:r>
      <w:r>
        <w:rPr>
          <w:rFonts w:hint="eastAsia" w:ascii="宋体" w:hAnsi="宋体" w:cs="宋体"/>
          <w:sz w:val="18"/>
          <w:szCs w:val="18"/>
        </w:rPr>
        <w:t>产品管理人</w:t>
      </w:r>
      <w:r>
        <w:rPr>
          <w:rFonts w:hint="eastAsia" w:ascii="宋体" w:hAnsi="宋体" w:cs="宋体"/>
          <w:bCs/>
          <w:sz w:val="18"/>
          <w:szCs w:val="18"/>
        </w:rPr>
        <w:t>拒绝或暂停接受</w:t>
      </w:r>
      <w:r>
        <w:rPr>
          <w:rFonts w:ascii="宋体" w:hAnsi="宋体" w:cs="宋体"/>
          <w:bCs/>
          <w:sz w:val="18"/>
          <w:szCs w:val="18"/>
        </w:rPr>
        <w:t>投资者</w:t>
      </w:r>
      <w:r>
        <w:rPr>
          <w:rFonts w:hint="eastAsia" w:ascii="宋体" w:hAnsi="宋体" w:cs="宋体"/>
          <w:bCs/>
          <w:sz w:val="18"/>
          <w:szCs w:val="18"/>
        </w:rPr>
        <w:t>认购申请、暂停理财产品估值</w:t>
      </w:r>
      <w:r>
        <w:rPr>
          <w:rFonts w:ascii="宋体" w:hAnsi="宋体" w:cs="宋体"/>
          <w:bCs/>
          <w:sz w:val="18"/>
          <w:szCs w:val="18"/>
        </w:rPr>
        <w:t>等</w:t>
      </w:r>
      <w:r>
        <w:rPr>
          <w:rFonts w:hint="eastAsia" w:ascii="宋体" w:hAnsi="宋体" w:cs="宋体"/>
          <w:bCs/>
          <w:sz w:val="18"/>
          <w:szCs w:val="18"/>
        </w:rPr>
        <w:t>情形</w:t>
      </w:r>
      <w:r>
        <w:rPr>
          <w:rFonts w:ascii="宋体" w:hAnsi="宋体" w:cs="宋体"/>
          <w:bCs/>
          <w:sz w:val="18"/>
          <w:szCs w:val="18"/>
        </w:rPr>
        <w:t>时，</w:t>
      </w:r>
      <w:r>
        <w:rPr>
          <w:rFonts w:hint="eastAsia" w:ascii="宋体" w:hAnsi="宋体" w:cs="宋体"/>
          <w:sz w:val="18"/>
          <w:szCs w:val="18"/>
        </w:rPr>
        <w:t>产品管理人</w:t>
      </w:r>
      <w:r>
        <w:rPr>
          <w:rFonts w:hint="eastAsia" w:ascii="宋体" w:hAnsi="宋体" w:cs="宋体"/>
          <w:bCs/>
          <w:sz w:val="18"/>
          <w:szCs w:val="18"/>
        </w:rPr>
        <w:t>将</w:t>
      </w:r>
      <w:r>
        <w:rPr>
          <w:rFonts w:ascii="宋体" w:hAnsi="宋体" w:cs="宋体"/>
          <w:bCs/>
          <w:sz w:val="18"/>
          <w:szCs w:val="18"/>
        </w:rPr>
        <w:t>于3个</w:t>
      </w:r>
      <w:r>
        <w:rPr>
          <w:rFonts w:hint="eastAsia" w:ascii="宋体" w:hAnsi="宋体" w:cs="宋体"/>
          <w:bCs/>
          <w:sz w:val="18"/>
          <w:szCs w:val="18"/>
        </w:rPr>
        <w:t>交易</w:t>
      </w:r>
      <w:r>
        <w:rPr>
          <w:rFonts w:ascii="宋体" w:hAnsi="宋体" w:cs="宋体"/>
          <w:bCs/>
          <w:sz w:val="18"/>
          <w:szCs w:val="18"/>
        </w:rPr>
        <w:t>日</w:t>
      </w:r>
      <w:r>
        <w:rPr>
          <w:rFonts w:hint="eastAsia" w:ascii="宋体" w:hAnsi="宋体" w:cs="宋体"/>
          <w:bCs/>
          <w:sz w:val="18"/>
          <w:szCs w:val="18"/>
        </w:rPr>
        <w:t>内告知投资者，并说明运用相关措施的原因和拟采取的应对安排等</w:t>
      </w:r>
      <w:r>
        <w:rPr>
          <w:rFonts w:ascii="宋体" w:hAnsi="宋体" w:cs="宋体"/>
          <w:bCs/>
          <w:sz w:val="18"/>
          <w:szCs w:val="18"/>
        </w:rPr>
        <w:t>。</w:t>
      </w:r>
      <w:r>
        <w:rPr>
          <w:rFonts w:hint="eastAsia" w:ascii="宋体" w:hAnsi="宋体" w:cs="宋体"/>
          <w:bCs/>
          <w:sz w:val="18"/>
          <w:szCs w:val="18"/>
        </w:rPr>
        <w:t>在发生涉及产品认购事项调整时，管理人将发布临时公告。</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4）★在本产品存续期内，如因国家法律法规、监管规定发生变化，或是出于维护本产品正常运营的需要，在不损害投资者</w:t>
      </w:r>
      <w:r>
        <w:rPr>
          <w:rFonts w:hint="eastAsia" w:ascii="黑体" w:hAnsi="黑体" w:eastAsia="黑体" w:cs="宋体"/>
          <w:bCs/>
          <w:sz w:val="18"/>
          <w:szCs w:val="18"/>
        </w:rPr>
        <w:t>权益</w:t>
      </w:r>
      <w:r>
        <w:rPr>
          <w:rFonts w:ascii="黑体" w:hAnsi="黑体" w:eastAsia="黑体" w:cs="宋体"/>
          <w:bCs/>
          <w:sz w:val="18"/>
          <w:szCs w:val="18"/>
        </w:rPr>
        <w:t>的前提下，</w:t>
      </w:r>
      <w:r>
        <w:rPr>
          <w:rFonts w:hint="eastAsia" w:ascii="黑体" w:hAnsi="黑体" w:eastAsia="黑体" w:cs="宋体"/>
          <w:bCs/>
          <w:sz w:val="18"/>
          <w:szCs w:val="18"/>
        </w:rPr>
        <w:t>产品管理人</w:t>
      </w:r>
      <w:r>
        <w:rPr>
          <w:rFonts w:ascii="黑体" w:hAnsi="黑体" w:eastAsia="黑体" w:cs="宋体"/>
          <w:bCs/>
          <w:sz w:val="18"/>
          <w:szCs w:val="18"/>
        </w:rPr>
        <w:t>有权对</w:t>
      </w:r>
      <w:r>
        <w:rPr>
          <w:rFonts w:hint="eastAsia" w:ascii="黑体" w:hAnsi="黑体" w:eastAsia="黑体" w:cs="宋体"/>
          <w:bCs/>
          <w:sz w:val="18"/>
          <w:szCs w:val="18"/>
        </w:rPr>
        <w:t>理财产品销售文件</w:t>
      </w:r>
      <w:r>
        <w:rPr>
          <w:rFonts w:ascii="黑体" w:hAnsi="黑体" w:eastAsia="黑体" w:cs="宋体"/>
          <w:bCs/>
          <w:sz w:val="18"/>
          <w:szCs w:val="18"/>
        </w:rPr>
        <w:t>进行修订，并提前2个工作日进行</w:t>
      </w:r>
      <w:r>
        <w:rPr>
          <w:rFonts w:hint="eastAsia" w:ascii="黑体" w:hAnsi="黑体" w:eastAsia="黑体" w:cs="宋体"/>
          <w:bCs/>
          <w:sz w:val="18"/>
          <w:szCs w:val="18"/>
        </w:rPr>
        <w:t>公告</w:t>
      </w:r>
      <w:r>
        <w:rPr>
          <w:rFonts w:ascii="黑体" w:hAnsi="黑体" w:eastAsia="黑体" w:cs="宋体"/>
          <w:bCs/>
          <w:sz w:val="18"/>
          <w:szCs w:val="18"/>
        </w:rPr>
        <w:t>。</w:t>
      </w:r>
    </w:p>
    <w:p>
      <w:pPr>
        <w:spacing w:line="360" w:lineRule="auto"/>
        <w:ind w:firstLine="360"/>
        <w:rPr>
          <w:rFonts w:ascii="宋体" w:hAnsi="宋体" w:cs="宋体"/>
          <w:bCs/>
          <w:sz w:val="18"/>
          <w:szCs w:val="18"/>
        </w:rPr>
      </w:pPr>
      <w:r>
        <w:rPr>
          <w:rFonts w:hint="eastAsia" w:ascii="宋体" w:hAnsi="宋体" w:cs="宋体"/>
          <w:bCs/>
          <w:sz w:val="18"/>
          <w:szCs w:val="18"/>
        </w:rPr>
        <w:t>（</w:t>
      </w:r>
      <w:r>
        <w:rPr>
          <w:rFonts w:ascii="宋体" w:hAnsi="宋体" w:cs="宋体"/>
          <w:bCs/>
          <w:sz w:val="18"/>
          <w:szCs w:val="18"/>
        </w:rPr>
        <w:t>5）其他临时性公告</w:t>
      </w:r>
    </w:p>
    <w:p>
      <w:pPr>
        <w:spacing w:line="360" w:lineRule="auto"/>
        <w:ind w:firstLine="360"/>
        <w:rPr>
          <w:rFonts w:ascii="宋体" w:hAnsi="宋体" w:cs="宋体"/>
          <w:bCs/>
          <w:sz w:val="18"/>
          <w:szCs w:val="18"/>
        </w:rPr>
      </w:pPr>
      <w:r>
        <w:rPr>
          <w:rFonts w:hint="eastAsia" w:ascii="宋体" w:hAnsi="宋体" w:cs="宋体"/>
          <w:bCs/>
          <w:sz w:val="18"/>
          <w:szCs w:val="18"/>
        </w:rPr>
        <w:t>除前述事项外，如出现其他突发事件，需在事件发生后及时进行披露。</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bCs/>
          <w:sz w:val="18"/>
          <w:szCs w:val="18"/>
        </w:rPr>
        <w:t>并提前2个工作日进行</w:t>
      </w:r>
      <w:r>
        <w:rPr>
          <w:rFonts w:hint="eastAsia" w:ascii="黑体" w:hAnsi="黑体" w:eastAsia="黑体" w:cs="宋体"/>
          <w:bCs/>
          <w:sz w:val="18"/>
          <w:szCs w:val="18"/>
        </w:rPr>
        <w:t>公告。若投资者未选择退出本产品的，则视为已理解并接受管理人的相应变更。</w:t>
      </w:r>
    </w:p>
    <w:p>
      <w:pPr>
        <w:widowControl/>
        <w:spacing w:line="360" w:lineRule="auto"/>
        <w:jc w:val="left"/>
        <w:rPr>
          <w:rFonts w:ascii="Calibri" w:hAnsi="Calibri" w:cs="宋体"/>
          <w:bCs/>
          <w:sz w:val="24"/>
          <w:szCs w:val="22"/>
        </w:rPr>
      </w:pPr>
      <w:r>
        <w:rPr>
          <w:rFonts w:ascii="Calibri" w:hAnsi="Calibri" w:cs="宋体"/>
          <w:bCs/>
          <w:sz w:val="24"/>
          <w:szCs w:val="22"/>
        </w:rPr>
        <w:br w:type="page"/>
      </w: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20" w:name="_Toc79154675"/>
      <w:bookmarkStart w:id="221" w:name="_Toc176189764"/>
      <w:r>
        <w:rPr>
          <w:rFonts w:hint="eastAsia" w:ascii="Times New Roman" w:hAnsi="Calibri" w:eastAsia="宋体" w:cs="宋体"/>
          <w:b/>
          <w:bCs/>
          <w:kern w:val="44"/>
          <w:sz w:val="30"/>
          <w:szCs w:val="44"/>
          <w:lang w:val="en-US" w:eastAsia="zh-CN" w:bidi="ar-SA"/>
        </w:rPr>
        <w:t>第十</w:t>
      </w:r>
      <w:r>
        <w:rPr>
          <w:rFonts w:ascii="Times New Roman" w:hAnsi="Calibri" w:eastAsia="宋体" w:cs="宋体"/>
          <w:b/>
          <w:bCs/>
          <w:kern w:val="44"/>
          <w:sz w:val="30"/>
          <w:szCs w:val="44"/>
          <w:lang w:val="en-US" w:eastAsia="zh-CN" w:bidi="ar-SA"/>
        </w:rPr>
        <w:t>二</w:t>
      </w:r>
      <w:r>
        <w:rPr>
          <w:rFonts w:hint="eastAsia" w:ascii="Times New Roman" w:hAnsi="Calibri" w:eastAsia="宋体" w:cs="宋体"/>
          <w:b/>
          <w:bCs/>
          <w:kern w:val="44"/>
          <w:sz w:val="30"/>
          <w:szCs w:val="44"/>
          <w:lang w:val="en-US" w:eastAsia="zh-CN" w:bidi="ar-SA"/>
        </w:rPr>
        <w:t>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20"/>
      <w:bookmarkEnd w:id="221"/>
    </w:p>
    <w:p>
      <w:pPr>
        <w:spacing w:line="360" w:lineRule="auto"/>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【1.拟投资市场和资产的风险：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1）投资标准化债权类资产的风险</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cs="宋体"/>
          <w:sz w:val="18"/>
          <w:szCs w:val="18"/>
        </w:rPr>
      </w:pPr>
      <w:r>
        <w:rPr>
          <w:rFonts w:hint="eastAsia" w:ascii="宋体" w:hAnsi="宋体" w:cs="宋体"/>
          <w:sz w:val="18"/>
          <w:szCs w:val="18"/>
        </w:rPr>
        <w:t>2）投资非标准化债权类资产的风险</w:t>
      </w:r>
    </w:p>
    <w:p>
      <w:pPr>
        <w:spacing w:line="360" w:lineRule="auto"/>
        <w:ind w:firstLine="360" w:firstLineChars="200"/>
        <w:rPr>
          <w:rFonts w:ascii="宋体" w:hAnsi="宋体" w:cs="宋体"/>
          <w:sz w:val="18"/>
          <w:szCs w:val="18"/>
        </w:rPr>
      </w:pPr>
      <w:r>
        <w:rPr>
          <w:rFonts w:hint="eastAsia" w:ascii="宋体" w:hAnsi="宋体" w:cs="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w:t>
      </w:r>
      <w:r>
        <w:rPr>
          <w:rFonts w:ascii="宋体" w:hAnsi="宋体" w:cs="宋体"/>
          <w:sz w:val="18"/>
          <w:szCs w:val="18"/>
        </w:rPr>
        <w:t>信用风险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cs="宋体"/>
          <w:sz w:val="18"/>
          <w:szCs w:val="18"/>
        </w:rPr>
      </w:pPr>
      <w:r>
        <w:rPr>
          <w:rFonts w:ascii="宋体" w:hAnsi="宋体" w:cs="宋体"/>
          <w:sz w:val="18"/>
          <w:szCs w:val="18"/>
        </w:rPr>
        <w:t>2</w:t>
      </w:r>
      <w:r>
        <w:rPr>
          <w:rFonts w:hint="eastAsia" w:ascii="宋体" w:hAnsi="宋体" w:cs="宋体"/>
          <w:sz w:val="18"/>
          <w:szCs w:val="18"/>
        </w:rPr>
        <w:t>.</w:t>
      </w:r>
      <w:r>
        <w:rPr>
          <w:rFonts w:ascii="宋体" w:hAnsi="宋体" w:cs="宋体"/>
          <w:sz w:val="18"/>
          <w:szCs w:val="18"/>
        </w:rPr>
        <w:t>利率风险</w:t>
      </w:r>
    </w:p>
    <w:p>
      <w:pPr>
        <w:spacing w:line="360" w:lineRule="auto"/>
        <w:ind w:firstLine="360" w:firstLineChars="200"/>
        <w:rPr>
          <w:rFonts w:ascii="宋体" w:hAnsi="宋体" w:cs="宋体"/>
          <w:sz w:val="18"/>
          <w:szCs w:val="18"/>
        </w:rPr>
      </w:pPr>
      <w:r>
        <w:rPr>
          <w:rFonts w:hint="eastAsia" w:ascii="宋体" w:hAnsi="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cs="宋体"/>
          <w:sz w:val="18"/>
          <w:szCs w:val="18"/>
        </w:rPr>
      </w:pPr>
      <w:r>
        <w:rPr>
          <w:rFonts w:hint="eastAsia" w:ascii="宋体" w:hAnsi="宋体" w:cs="宋体"/>
          <w:sz w:val="18"/>
          <w:szCs w:val="18"/>
        </w:rPr>
        <w:t>3.市场</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cs="宋体"/>
          <w:sz w:val="18"/>
          <w:szCs w:val="18"/>
        </w:rPr>
      </w:pPr>
      <w:r>
        <w:rPr>
          <w:rFonts w:hint="eastAsia" w:ascii="宋体" w:hAnsi="宋体" w:cs="宋体"/>
          <w:sz w:val="18"/>
          <w:szCs w:val="18"/>
        </w:rPr>
        <w:t>4.流动性风险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cs="宋体"/>
          <w:sz w:val="18"/>
          <w:szCs w:val="18"/>
        </w:rPr>
      </w:pPr>
      <w:r>
        <w:rPr>
          <w:rFonts w:hint="eastAsia" w:ascii="宋体" w:hAnsi="宋体" w:cs="宋体"/>
          <w:sz w:val="18"/>
          <w:szCs w:val="18"/>
        </w:rPr>
        <w:t>5.</w:t>
      </w:r>
      <w:r>
        <w:rPr>
          <w:rFonts w:ascii="宋体" w:hAnsi="宋体" w:cs="宋体"/>
          <w:sz w:val="18"/>
          <w:szCs w:val="18"/>
        </w:rPr>
        <w:t>法律与政策风险</w:t>
      </w:r>
    </w:p>
    <w:p>
      <w:pPr>
        <w:spacing w:line="360" w:lineRule="auto"/>
        <w:ind w:firstLine="360" w:firstLineChars="200"/>
        <w:rPr>
          <w:rFonts w:ascii="宋体" w:hAnsi="宋体" w:cs="宋体"/>
          <w:sz w:val="18"/>
          <w:szCs w:val="18"/>
        </w:rPr>
      </w:pPr>
      <w:r>
        <w:rPr>
          <w:rFonts w:hint="eastAsia" w:ascii="宋体" w:hAnsi="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cs="宋体"/>
          <w:sz w:val="18"/>
          <w:szCs w:val="18"/>
        </w:rPr>
      </w:pPr>
      <w:r>
        <w:rPr>
          <w:rFonts w:hint="eastAsia" w:ascii="宋体" w:hAnsi="宋体" w:cs="宋体"/>
          <w:sz w:val="18"/>
          <w:szCs w:val="18"/>
        </w:rPr>
        <w:t>6.</w:t>
      </w:r>
      <w:r>
        <w:rPr>
          <w:rFonts w:ascii="宋体" w:hAnsi="宋体" w:cs="宋体"/>
          <w:sz w:val="18"/>
          <w:szCs w:val="18"/>
        </w:rPr>
        <w:t>延期</w:t>
      </w:r>
      <w:r>
        <w:rPr>
          <w:rFonts w:hint="eastAsia" w:ascii="宋体" w:hAnsi="宋体" w:cs="宋体"/>
          <w:sz w:val="18"/>
          <w:szCs w:val="18"/>
        </w:rPr>
        <w:t>终止</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cs="宋体"/>
          <w:sz w:val="18"/>
          <w:szCs w:val="18"/>
        </w:rPr>
      </w:pPr>
      <w:r>
        <w:rPr>
          <w:rFonts w:hint="eastAsia" w:ascii="宋体" w:hAnsi="宋体" w:cs="宋体"/>
          <w:sz w:val="18"/>
          <w:szCs w:val="18"/>
        </w:rPr>
        <w:t>7.</w:t>
      </w:r>
      <w:r>
        <w:rPr>
          <w:rFonts w:ascii="宋体" w:hAnsi="宋体" w:cs="宋体"/>
          <w:sz w:val="18"/>
          <w:szCs w:val="18"/>
        </w:rPr>
        <w:t>提前终止风险</w:t>
      </w:r>
    </w:p>
    <w:p>
      <w:pPr>
        <w:spacing w:line="360" w:lineRule="auto"/>
        <w:ind w:firstLine="360" w:firstLineChars="200"/>
        <w:rPr>
          <w:rFonts w:ascii="宋体" w:hAnsi="宋体" w:cs="宋体"/>
          <w:sz w:val="18"/>
          <w:szCs w:val="18"/>
        </w:rPr>
      </w:pPr>
      <w:r>
        <w:rPr>
          <w:rFonts w:hint="eastAsia" w:ascii="宋体" w:hAnsi="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cs="宋体"/>
          <w:sz w:val="18"/>
          <w:szCs w:val="18"/>
        </w:rPr>
      </w:pPr>
      <w:r>
        <w:rPr>
          <w:rFonts w:hint="eastAsia" w:ascii="宋体" w:hAnsi="宋体" w:cs="宋体"/>
          <w:sz w:val="18"/>
          <w:szCs w:val="18"/>
        </w:rPr>
        <w:t>9.</w:t>
      </w:r>
      <w:r>
        <w:rPr>
          <w:rFonts w:ascii="宋体" w:hAnsi="宋体" w:cs="宋体"/>
          <w:sz w:val="18"/>
          <w:szCs w:val="18"/>
        </w:rPr>
        <w:t>不可抗力及意外事件风险</w:t>
      </w:r>
    </w:p>
    <w:p>
      <w:pPr>
        <w:spacing w:line="360" w:lineRule="auto"/>
        <w:ind w:firstLine="360" w:firstLineChars="200"/>
        <w:rPr>
          <w:rFonts w:ascii="宋体" w:hAnsi="宋体" w:cs="宋体"/>
          <w:sz w:val="18"/>
          <w:szCs w:val="18"/>
        </w:rPr>
      </w:pPr>
      <w:r>
        <w:rPr>
          <w:rFonts w:hint="eastAsia" w:ascii="宋体" w:hAnsi="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0.</w:t>
      </w:r>
      <w:r>
        <w:rPr>
          <w:rFonts w:ascii="宋体" w:hAnsi="宋体" w:cs="宋体"/>
          <w:sz w:val="18"/>
          <w:szCs w:val="18"/>
        </w:rPr>
        <w:t>管理人风险</w:t>
      </w:r>
    </w:p>
    <w:p>
      <w:pPr>
        <w:spacing w:line="360" w:lineRule="auto"/>
        <w:ind w:firstLine="360" w:firstLineChars="200"/>
        <w:rPr>
          <w:rFonts w:ascii="宋体" w:hAnsi="宋体" w:cs="宋体"/>
          <w:bCs/>
          <w:sz w:val="18"/>
          <w:szCs w:val="18"/>
        </w:rPr>
      </w:pPr>
      <w:r>
        <w:rPr>
          <w:rFonts w:hint="eastAsia" w:ascii="宋体" w:hAnsi="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1.理财产品不成立风险</w:t>
      </w:r>
    </w:p>
    <w:p>
      <w:pPr>
        <w:spacing w:line="360" w:lineRule="auto"/>
        <w:ind w:firstLine="360" w:firstLineChars="200"/>
        <w:rPr>
          <w:rFonts w:ascii="宋体" w:hAnsi="宋体" w:cs="宋体"/>
          <w:sz w:val="18"/>
          <w:szCs w:val="18"/>
        </w:rPr>
      </w:pPr>
      <w:r>
        <w:rPr>
          <w:rFonts w:hint="eastAsia" w:ascii="宋体" w:hAnsi="宋体" w:cs="宋体"/>
          <w:sz w:val="18"/>
          <w:szCs w:val="18"/>
        </w:rPr>
        <w:t>如自本产品开始募集至认购期结束认购总金额未达到产品最小成立规模（如有约定），或</w:t>
      </w:r>
      <w:r>
        <w:rPr>
          <w:rFonts w:ascii="宋体" w:hAnsi="宋体" w:cs="宋体"/>
          <w:sz w:val="18"/>
          <w:szCs w:val="18"/>
        </w:rPr>
        <w:t>融资人取消</w:t>
      </w:r>
      <w:r>
        <w:rPr>
          <w:rFonts w:hint="eastAsia" w:ascii="宋体" w:hAnsi="宋体" w:cs="宋体"/>
          <w:sz w:val="18"/>
          <w:szCs w:val="18"/>
        </w:rPr>
        <w:t>融资</w:t>
      </w:r>
      <w:r>
        <w:rPr>
          <w:rFonts w:ascii="宋体" w:hAnsi="宋体" w:cs="宋体"/>
          <w:sz w:val="18"/>
          <w:szCs w:val="18"/>
        </w:rPr>
        <w:t>计划，</w:t>
      </w:r>
      <w:r>
        <w:rPr>
          <w:rFonts w:hint="eastAsia" w:ascii="宋体" w:hAnsi="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cs="宋体"/>
          <w:sz w:val="18"/>
          <w:szCs w:val="18"/>
        </w:rPr>
        <w:t>及时返还投资者资金</w:t>
      </w:r>
      <w:r>
        <w:rPr>
          <w:rFonts w:hint="eastAsia" w:ascii="宋体" w:hAnsi="宋体" w:cs="宋体"/>
          <w:sz w:val="18"/>
          <w:szCs w:val="18"/>
        </w:rPr>
        <w:t>，投资者将承担投资本产品不成立的风险。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2.</w:t>
      </w:r>
      <w:r>
        <w:rPr>
          <w:rFonts w:ascii="宋体" w:hAnsi="宋体" w:cs="宋体"/>
          <w:sz w:val="18"/>
          <w:szCs w:val="18"/>
        </w:rPr>
        <w:t>操作风险</w:t>
      </w:r>
    </w:p>
    <w:p>
      <w:pPr>
        <w:spacing w:line="360" w:lineRule="auto"/>
        <w:ind w:firstLine="360" w:firstLineChars="200"/>
        <w:rPr>
          <w:rFonts w:ascii="宋体" w:hAnsi="宋体" w:cs="宋体"/>
          <w:sz w:val="18"/>
          <w:szCs w:val="18"/>
        </w:rPr>
      </w:pPr>
      <w:r>
        <w:rPr>
          <w:rFonts w:hint="eastAsia" w:ascii="宋体" w:hAnsi="宋体" w:cs="宋体"/>
          <w:sz w:val="18"/>
          <w:szCs w:val="18"/>
        </w:rPr>
        <w:t>由于产品管理人的</w:t>
      </w:r>
      <w:r>
        <w:rPr>
          <w:rFonts w:ascii="宋体" w:hAnsi="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3</w:t>
      </w:r>
      <w:r>
        <w:rPr>
          <w:rFonts w:ascii="宋体" w:hAnsi="宋体" w:cs="宋体"/>
          <w:sz w:val="18"/>
          <w:szCs w:val="18"/>
        </w:rPr>
        <w:t>.估值</w:t>
      </w:r>
      <w:r>
        <w:rPr>
          <w:rFonts w:hint="eastAsia" w:ascii="宋体" w:hAnsi="宋体" w:cs="宋体"/>
          <w:sz w:val="18"/>
          <w:szCs w:val="18"/>
        </w:rPr>
        <w:t>波动</w:t>
      </w:r>
      <w:r>
        <w:rPr>
          <w:rFonts w:ascii="宋体" w:hAnsi="宋体" w:cs="宋体"/>
          <w:sz w:val="18"/>
          <w:szCs w:val="18"/>
        </w:rPr>
        <w:t>风险</w:t>
      </w:r>
    </w:p>
    <w:p>
      <w:pPr>
        <w:spacing w:line="360" w:lineRule="auto"/>
        <w:ind w:firstLine="360" w:firstLineChars="200"/>
        <w:rPr>
          <w:rFonts w:ascii="宋体" w:hAnsi="宋体" w:cs="宋体"/>
          <w:sz w:val="18"/>
          <w:szCs w:val="18"/>
        </w:rPr>
      </w:pPr>
      <w:r>
        <w:rPr>
          <w:rFonts w:hint="eastAsia" w:ascii="宋体" w:hAnsi="宋体" w:cs="宋体"/>
          <w:sz w:val="18"/>
          <w:szCs w:val="18"/>
        </w:rPr>
        <w:t>本理财产品可能</w:t>
      </w:r>
      <w:r>
        <w:rPr>
          <w:rFonts w:ascii="宋体" w:hAnsi="宋体" w:cs="宋体"/>
          <w:sz w:val="18"/>
          <w:szCs w:val="18"/>
        </w:rPr>
        <w:t>投资符合监管</w:t>
      </w:r>
      <w:r>
        <w:rPr>
          <w:rFonts w:hint="eastAsia" w:ascii="宋体" w:hAnsi="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cs="宋体"/>
          <w:sz w:val="18"/>
          <w:szCs w:val="18"/>
        </w:rPr>
        <w:t>业绩报酬，</w:t>
      </w:r>
      <w:r>
        <w:rPr>
          <w:rFonts w:hint="eastAsia" w:ascii="宋体" w:hAnsi="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cs="宋体"/>
          <w:sz w:val="18"/>
          <w:szCs w:val="18"/>
        </w:rPr>
      </w:pPr>
      <w:r>
        <w:rPr>
          <w:rFonts w:ascii="宋体" w:hAnsi="宋体" w:cs="宋体"/>
          <w:sz w:val="18"/>
          <w:szCs w:val="18"/>
        </w:rPr>
        <w:t>1</w:t>
      </w:r>
      <w:r>
        <w:rPr>
          <w:rFonts w:hint="eastAsia" w:ascii="宋体" w:hAnsi="宋体" w:cs="宋体"/>
          <w:sz w:val="18"/>
          <w:szCs w:val="18"/>
        </w:rPr>
        <w:t>4.</w:t>
      </w:r>
      <w:r>
        <w:rPr>
          <w:rFonts w:ascii="宋体" w:hAnsi="宋体" w:cs="宋体"/>
          <w:sz w:val="18"/>
          <w:szCs w:val="18"/>
        </w:rPr>
        <w:t>估值差错风险</w:t>
      </w:r>
    </w:p>
    <w:p>
      <w:pPr>
        <w:spacing w:line="360" w:lineRule="auto"/>
        <w:ind w:firstLine="360" w:firstLineChars="200"/>
        <w:rPr>
          <w:rFonts w:ascii="宋体" w:hAnsi="宋体" w:cs="宋体"/>
          <w:sz w:val="18"/>
          <w:szCs w:val="18"/>
        </w:rPr>
      </w:pPr>
      <w:r>
        <w:rPr>
          <w:rFonts w:hint="eastAsia" w:ascii="宋体" w:hAnsi="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widowControl/>
        <w:jc w:val="left"/>
        <w:rPr>
          <w:rFonts w:ascii="宋体" w:hAnsi="宋体" w:cs="宋体"/>
          <w:color w:val="000000"/>
          <w:kern w:val="0"/>
          <w:sz w:val="18"/>
          <w:szCs w:val="18"/>
        </w:rPr>
      </w:pPr>
      <w:r>
        <w:rPr>
          <w:rFonts w:ascii="Calibri" w:hAnsi="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rFonts w:ascii="Calibri" w:hAnsi="Calibri"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个人投资者适用</w:t>
            </w:r>
          </w:p>
        </w:tc>
        <w:tc>
          <w:tcPr>
            <w:tcW w:w="7371" w:type="dxa"/>
          </w:tcPr>
          <w:p>
            <w:pPr>
              <w:spacing w:line="360" w:lineRule="auto"/>
              <w:ind w:firstLine="360"/>
              <w:jc w:val="left"/>
              <w:rPr>
                <w:rFonts w:ascii="Calibri" w:hAnsi="Calibri" w:cs="宋体"/>
                <w:sz w:val="18"/>
                <w:szCs w:val="18"/>
              </w:rPr>
            </w:pPr>
            <w:r>
              <w:rPr>
                <w:rFonts w:hint="eastAsia" w:ascii="Calibri" w:hAnsi="Calibri" w:cs="宋体"/>
                <w:sz w:val="18"/>
                <w:szCs w:val="18"/>
              </w:rPr>
              <w:t>投资者（</w:t>
            </w:r>
            <w:r>
              <w:rPr>
                <w:rFonts w:ascii="Calibri" w:hAnsi="Calibri" w:cs="宋体"/>
                <w:sz w:val="18"/>
                <w:szCs w:val="18"/>
              </w:rPr>
              <w:t>签名/</w:t>
            </w:r>
            <w:r>
              <w:rPr>
                <w:rFonts w:hint="eastAsia" w:ascii="Calibri" w:hAnsi="Calibri" w:cs="宋体"/>
                <w:sz w:val="18"/>
                <w:szCs w:val="18"/>
              </w:rPr>
              <w:t>线上确认）：</w:t>
            </w:r>
          </w:p>
          <w:p>
            <w:pPr>
              <w:spacing w:line="360" w:lineRule="auto"/>
              <w:ind w:firstLine="361"/>
              <w:jc w:val="left"/>
              <w:rPr>
                <w:rFonts w:ascii="Calibri" w:hAnsi="Calibri" w:cs="宋体"/>
                <w:b/>
                <w:sz w:val="18"/>
                <w:szCs w:val="18"/>
              </w:rPr>
            </w:pP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rFonts w:ascii="Calibri" w:hAnsi="Calibri" w:cs="宋体"/>
                <w:b/>
                <w:sz w:val="18"/>
                <w:szCs w:val="18"/>
              </w:rPr>
            </w:pPr>
            <w:r>
              <w:rPr>
                <w:rFonts w:hint="eastAsia" w:ascii="Calibri" w:hAnsi="Calibri" w:cs="宋体"/>
                <w:b/>
                <w:sz w:val="18"/>
                <w:szCs w:val="18"/>
              </w:rPr>
              <w:t>机构投资者适用</w:t>
            </w:r>
          </w:p>
        </w:tc>
        <w:tc>
          <w:tcPr>
            <w:tcW w:w="7371" w:type="dxa"/>
          </w:tcPr>
          <w:p>
            <w:pPr>
              <w:spacing w:line="360" w:lineRule="auto"/>
              <w:ind w:firstLine="360"/>
              <w:jc w:val="left"/>
              <w:rPr>
                <w:rFonts w:ascii="Calibri" w:hAnsi="Calibri" w:cs="Arial"/>
                <w:sz w:val="18"/>
                <w:szCs w:val="18"/>
              </w:rPr>
            </w:pPr>
            <w:r>
              <w:rPr>
                <w:rFonts w:hint="eastAsia" w:ascii="Calibri" w:hAnsi="Calibri" w:cs="宋体"/>
                <w:sz w:val="18"/>
                <w:szCs w:val="18"/>
              </w:rPr>
              <w:t>投资者</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tabs>
                <w:tab w:val="left" w:pos="5609"/>
              </w:tabs>
              <w:spacing w:line="360" w:lineRule="auto"/>
              <w:ind w:firstLine="360"/>
              <w:jc w:val="left"/>
              <w:rPr>
                <w:rFonts w:ascii="Calibri" w:hAnsi="Calibri" w:cs="Arial"/>
                <w:sz w:val="18"/>
                <w:szCs w:val="18"/>
              </w:rPr>
            </w:pPr>
            <w:r>
              <w:rPr>
                <w:rFonts w:ascii="Calibri" w:hAnsi="Calibri" w:cs="Arial"/>
                <w:sz w:val="18"/>
                <w:szCs w:val="18"/>
              </w:rPr>
              <w:tab/>
            </w:r>
          </w:p>
          <w:p>
            <w:pPr>
              <w:spacing w:line="360" w:lineRule="auto"/>
              <w:ind w:firstLine="360"/>
              <w:jc w:val="left"/>
              <w:rPr>
                <w:rFonts w:ascii="Calibri" w:hAnsi="Calibri" w:cs="Arial"/>
                <w:sz w:val="18"/>
                <w:szCs w:val="18"/>
              </w:rPr>
            </w:pPr>
            <w:r>
              <w:rPr>
                <w:rFonts w:hint="eastAsia" w:ascii="Calibri" w:hAnsi="Calibri" w:cs="Arial"/>
                <w:sz w:val="18"/>
                <w:szCs w:val="18"/>
              </w:rPr>
              <w:t>投资者法定代表人或授权代理人（签名</w:t>
            </w:r>
            <w:r>
              <w:rPr>
                <w:rFonts w:ascii="Calibri" w:hAnsi="Calibri" w:cs="Arial"/>
                <w:sz w:val="18"/>
                <w:szCs w:val="18"/>
              </w:rPr>
              <w:t>/</w:t>
            </w:r>
            <w:r>
              <w:rPr>
                <w:rFonts w:hint="eastAsia" w:ascii="Calibri" w:hAnsi="Calibri" w:cs="Arial"/>
                <w:sz w:val="18"/>
                <w:szCs w:val="18"/>
              </w:rPr>
              <w:t>盖章</w:t>
            </w:r>
            <w:r>
              <w:rPr>
                <w:rFonts w:ascii="Calibri" w:hAnsi="Calibri" w:cs="Arial"/>
                <w:sz w:val="18"/>
                <w:szCs w:val="18"/>
              </w:rPr>
              <w:t>/</w:t>
            </w:r>
            <w:r>
              <w:rPr>
                <w:rFonts w:hint="eastAsia" w:ascii="Calibri" w:hAnsi="Calibri" w:cs="Arial"/>
                <w:sz w:val="18"/>
                <w:szCs w:val="18"/>
              </w:rPr>
              <w:t>线上确认）：</w:t>
            </w:r>
          </w:p>
          <w:p>
            <w:pPr>
              <w:spacing w:line="360" w:lineRule="auto"/>
              <w:ind w:firstLine="360"/>
              <w:jc w:val="left"/>
              <w:rPr>
                <w:rFonts w:ascii="Calibri" w:hAnsi="Calibri" w:cs="宋体"/>
                <w:sz w:val="18"/>
                <w:szCs w:val="18"/>
              </w:rPr>
            </w:pPr>
            <w:r>
              <w:rPr>
                <w:rFonts w:hint="eastAsia" w:ascii="Calibri" w:hAnsi="Calibri" w:cs="宋体"/>
                <w:sz w:val="18"/>
                <w:szCs w:val="18"/>
              </w:rPr>
              <w:t>日期：</w:t>
            </w:r>
          </w:p>
        </w:tc>
      </w:tr>
    </w:tbl>
    <w:p>
      <w:pPr>
        <w:spacing w:line="360" w:lineRule="auto"/>
        <w:jc w:val="left"/>
        <w:rPr>
          <w:rFonts w:ascii="Calibri" w:hAnsi="Calibri" w:cs="宋体"/>
          <w:b/>
          <w:bCs/>
          <w:szCs w:val="22"/>
        </w:rPr>
      </w:pPr>
      <w:r>
        <w:rPr>
          <w:rFonts w:hint="eastAsia" w:ascii="宋体" w:hAnsi="宋体" w:cs="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兴银理财【稳利安盈封闭式】理财产品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个人投资者适用</w:t>
            </w: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姓名</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shd w:val="solid" w:color="FFFFFF" w:fill="FFFFFF"/>
            <w:vAlign w:val="center"/>
          </w:tcPr>
          <w:p>
            <w:pPr>
              <w:spacing w:line="320" w:lineRule="exact"/>
              <w:jc w:val="left"/>
              <w:rPr>
                <w:rFonts w:ascii="宋体" w:hAnsi="宋体" w:cs="宋体"/>
                <w:bCs/>
                <w:sz w:val="18"/>
                <w:szCs w:val="18"/>
              </w:rPr>
            </w:pPr>
          </w:p>
        </w:tc>
        <w:tc>
          <w:tcPr>
            <w:tcW w:w="1234"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电子邮箱</w:t>
            </w:r>
          </w:p>
        </w:tc>
        <w:tc>
          <w:tcPr>
            <w:tcW w:w="2443" w:type="dxa"/>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w:t>
            </w:r>
            <w:r>
              <w:rPr>
                <w:rFonts w:ascii="宋体" w:hAnsi="宋体" w:cs="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bCs/>
                <w:sz w:val="18"/>
                <w:szCs w:val="18"/>
              </w:rPr>
            </w:pPr>
            <w:r>
              <w:rPr>
                <w:rFonts w:hint="eastAsia" w:ascii="宋体" w:hAnsi="宋体" w:cs="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Calibri" w:hAnsi="宋体" w:cs="宋体"/>
                <w:sz w:val="18"/>
                <w:szCs w:val="18"/>
              </w:rPr>
              <w:t>★</w:t>
            </w:r>
            <w:r>
              <w:rPr>
                <w:rFonts w:hint="eastAsia" w:ascii="宋体" w:hAnsi="宋体" w:cs="宋体"/>
                <w:bCs/>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 直销：产品管理人销售</w:t>
            </w:r>
          </w:p>
          <w:p>
            <w:pPr>
              <w:spacing w:line="320" w:lineRule="exact"/>
              <w:jc w:val="left"/>
              <w:rPr>
                <w:rFonts w:ascii="宋体" w:hAnsi="宋体" w:cs="宋体"/>
                <w:bCs/>
                <w:sz w:val="18"/>
                <w:szCs w:val="18"/>
              </w:rPr>
            </w:pPr>
            <w:r>
              <w:rPr>
                <w:rFonts w:hint="eastAsia" w:cs="宋体" w:asciiTheme="majorEastAsia" w:hAnsiTheme="majorEastAsia" w:eastAsiaTheme="majorEastAsia"/>
                <w:bCs/>
                <w:sz w:val="18"/>
                <w:szCs w:val="18"/>
              </w:rPr>
              <w:t>■ 代销：代理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机构名称</w:t>
            </w:r>
          </w:p>
        </w:tc>
        <w:tc>
          <w:tcPr>
            <w:tcW w:w="5061" w:type="dxa"/>
            <w:gridSpan w:val="3"/>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bCs/>
                <w:sz w:val="18"/>
                <w:szCs w:val="18"/>
              </w:rPr>
            </w:pPr>
            <w:r>
              <w:rPr>
                <w:rFonts w:hint="eastAsia" w:ascii="宋体" w:hAnsi="宋体" w:cs="宋体"/>
                <w:bCs/>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bCs/>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w:t>
      </w:r>
      <w:r>
        <w:rPr>
          <w:rFonts w:hint="eastAsia" w:cs="宋体" w:asciiTheme="majorEastAsia" w:hAnsiTheme="majorEastAsia" w:eastAsiaTheme="majorEastAsia"/>
          <w:sz w:val="18"/>
          <w:szCs w:val="18"/>
          <w:lang w:val="en-US" w:eastAsia="zh-CN"/>
        </w:rPr>
        <w:t>普通</w:t>
      </w:r>
      <w:r>
        <w:rPr>
          <w:rFonts w:hint="eastAsia" w:cs="宋体" w:asciiTheme="majorEastAsia" w:hAnsiTheme="majorEastAsia" w:eastAsiaTheme="majorEastAsia"/>
          <w:sz w:val="18"/>
          <w:szCs w:val="18"/>
        </w:rPr>
        <w:t>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w:t>
            </w:r>
            <w:r>
              <w:rPr>
                <w:rFonts w:hint="eastAsia" w:ascii="黑体" w:hAnsi="黑体" w:eastAsia="黑体" w:cs="宋体"/>
                <w:kern w:val="0"/>
                <w:sz w:val="18"/>
                <w:szCs w:val="18"/>
              </w:rPr>
              <w:t>.</w:t>
            </w:r>
            <w:r>
              <w:rPr>
                <w:rFonts w:ascii="黑体" w:hAnsi="黑体" w:eastAsia="黑体" w:cs="宋体"/>
                <w:kern w:val="0"/>
                <w:sz w:val="18"/>
                <w:szCs w:val="18"/>
              </w:rPr>
              <w:t>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Arial"/>
                <w:kern w:val="0"/>
                <w:sz w:val="18"/>
                <w:szCs w:val="18"/>
              </w:rPr>
            </w:pPr>
            <w:r>
              <w:rPr>
                <w:rFonts w:hint="eastAsia" w:ascii="Calibri" w:hAnsi="Calibri" w:cs="Arial"/>
                <w:kern w:val="0"/>
                <w:sz w:val="18"/>
                <w:szCs w:val="18"/>
              </w:rPr>
              <w:t>甲方法定代表人或授权代理人（签名/盖章/线上确认）：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w:t>
            </w:r>
            <w:r>
              <w:rPr>
                <w:rFonts w:hint="eastAsia" w:ascii="Calibri" w:hAnsi="Calibri" w:cs="Arial"/>
                <w:kern w:val="0"/>
                <w:sz w:val="18"/>
                <w:szCs w:val="18"/>
              </w:rPr>
              <w:t>/线上确认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sz w:val="18"/>
          <w:szCs w:val="18"/>
        </w:rPr>
      </w:pPr>
      <w:r>
        <w:rPr>
          <w:rFonts w:hint="eastAsia" w:ascii="宋体" w:hAnsi="宋体" w:cs="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cs="宋体"/>
          <w:b/>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兴银理财【稳利安盈封闭式】</w:t>
      </w:r>
      <w:r>
        <w:rPr>
          <w:rFonts w:ascii="黑体" w:hAnsi="黑体" w:eastAsia="黑体" w:cs="宋体"/>
          <w:b/>
          <w:bCs/>
          <w:sz w:val="28"/>
          <w:szCs w:val="28"/>
        </w:rPr>
        <w:t>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cs="宋体"/>
          <w:b/>
          <w:sz w:val="24"/>
          <w:szCs w:val="22"/>
        </w:rPr>
      </w:pPr>
      <w:r>
        <w:rPr>
          <w:rFonts w:hint="eastAsia" w:ascii="宋体" w:hAnsi="宋体" w:cs="宋体"/>
          <w:b/>
          <w:sz w:val="24"/>
          <w:szCs w:val="22"/>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cs="宋体"/>
          <w:sz w:val="18"/>
          <w:szCs w:val="18"/>
        </w:rPr>
      </w:pPr>
      <w:r>
        <w:rPr>
          <w:rFonts w:hint="eastAsia" w:ascii="宋体" w:hAnsi="宋体" w:cs="宋体"/>
          <w:b/>
          <w:sz w:val="18"/>
          <w:szCs w:val="18"/>
        </w:rPr>
        <w:t>一</w:t>
      </w:r>
      <w:r>
        <w:rPr>
          <w:rFonts w:hint="eastAsia" w:ascii="宋体" w:hAnsi="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【兴银理财稳利安盈封闭式2026年418期固收类理财产品</w:t>
      </w:r>
      <w:r>
        <w:rPr>
          <w:rFonts w:hint="eastAsia" w:cs="宋体" w:asciiTheme="majorEastAsia" w:hAnsiTheme="majorEastAsia" w:eastAsiaTheme="majorEastAsia"/>
          <w:bCs/>
          <w:kern w:val="0"/>
          <w:sz w:val="18"/>
          <w:szCs w:val="18"/>
        </w:rPr>
        <w:t>】</w:t>
      </w:r>
    </w:p>
    <w:p>
      <w:pPr>
        <w:ind w:firstLine="448" w:firstLineChars="249"/>
        <w:rPr>
          <w:rFonts w:ascii="宋体" w:hAnsi="宋体" w:cs="仿宋_GB2312"/>
          <w:kern w:val="0"/>
          <w:sz w:val="18"/>
          <w:szCs w:val="18"/>
        </w:rPr>
      </w:pPr>
      <w:r>
        <w:rPr>
          <w:rFonts w:ascii="宋体" w:hAnsi="宋体" w:eastAsia="宋体" w:cs="宋体"/>
          <w:sz w:val="18"/>
          <w:szCs w:val="22"/>
        </w:rPr>
        <w:t>销售名称：【稳利安盈2026年418期A】 (适用【A】类份额)</w:t>
      </w:r>
      <w:r>
        <w:rPr>
          <w:rFonts w:ascii="宋体" w:hAnsi="宋体" w:eastAsia="宋体" w:cs="宋体"/>
          <w:sz w:val="18"/>
          <w:szCs w:val="22"/>
        </w:rPr>
        <w:br w:type="textWrapping"/>
      </w:r>
      <w:r>
        <w:rPr>
          <w:rFonts w:ascii="宋体" w:hAnsi="宋体" w:eastAsia="宋体" w:cs="宋体"/>
          <w:sz w:val="18"/>
          <w:szCs w:val="22"/>
        </w:rPr>
        <w:t xml:space="preserve">     【稳利安盈2026年418期B】 (适用【B】类份额)</w:t>
      </w:r>
      <w:r>
        <w:rPr>
          <w:rFonts w:ascii="宋体" w:hAnsi="宋体" w:eastAsia="宋体" w:cs="宋体"/>
          <w:sz w:val="18"/>
          <w:szCs w:val="22"/>
        </w:rPr>
        <w:br w:type="textWrapping"/>
      </w:r>
      <w:r>
        <w:rPr>
          <w:rFonts w:ascii="宋体" w:hAnsi="宋体" w:eastAsia="宋体" w:cs="宋体"/>
          <w:sz w:val="18"/>
          <w:szCs w:val="22"/>
        </w:rPr>
        <w:t xml:space="preserve">     【稳利安盈2026年418期C】 (适用【C】类份额)</w:t>
      </w:r>
      <w:r>
        <w:rPr>
          <w:rFonts w:ascii="宋体" w:hAnsi="宋体" w:eastAsia="宋体" w:cs="宋体"/>
          <w:sz w:val="18"/>
          <w:szCs w:val="22"/>
        </w:rPr>
        <w:br w:type="textWrapping"/>
      </w:r>
      <w:r>
        <w:rPr>
          <w:rFonts w:ascii="宋体" w:hAnsi="宋体" w:eastAsia="宋体" w:cs="宋体"/>
          <w:sz w:val="18"/>
          <w:szCs w:val="22"/>
        </w:rPr>
        <w:t xml:space="preserve">     【稳利安盈2026年418期D】 (适用【D】类份额)</w:t>
      </w:r>
      <w:r>
        <w:rPr>
          <w:rFonts w:ascii="宋体" w:hAnsi="宋体" w:eastAsia="宋体" w:cs="宋体"/>
          <w:sz w:val="18"/>
          <w:szCs w:val="22"/>
        </w:rPr>
        <w:br w:type="textWrapping"/>
      </w:r>
      <w:r>
        <w:rPr>
          <w:rFonts w:ascii="宋体" w:hAnsi="宋体" w:eastAsia="宋体" w:cs="宋体"/>
          <w:sz w:val="18"/>
          <w:szCs w:val="22"/>
        </w:rPr>
        <w:t xml:space="preserve">     【稳利安盈2026年418期E】 (适用【E】类份额)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r>
        <w:rPr>
          <w:rFonts w:hint="eastAsia" w:ascii="宋体" w:hAnsi="宋体" w:cs="仿宋_GB2312"/>
          <w:kern w:val="0"/>
          <w:sz w:val="18"/>
          <w:szCs w:val="18"/>
        </w:rPr>
        <w:t>Z7002026001120</w:t>
      </w:r>
      <w:r>
        <w:rPr>
          <w:rFonts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【■有固定期限:【406天】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本理财产品风险评级最终定义为【R1】（产品管理人定义的产品风险评级为【R1】；代理销售机构定义的产品风险评级为【R1】）。</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■个人投资者：【■ C1、■ C2、■ C3、■ C4、■ C5】</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■机构投资者：【■ C1、■ C2、■ C3、■ C4、■ C5】</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cs="宋体"/>
          <w:b/>
          <w:sz w:val="18"/>
          <w:szCs w:val="18"/>
        </w:rPr>
      </w:pPr>
      <w:r>
        <w:rPr>
          <w:rFonts w:hint="eastAsia" w:ascii="宋体" w:hAnsi="宋体" w:cs="宋体"/>
          <w:b/>
          <w:sz w:val="18"/>
          <w:szCs w:val="18"/>
        </w:rPr>
        <w:t>（一）投资者投资本产品可能面临的特定风险主要包括（但不限于）：</w:t>
      </w:r>
    </w:p>
    <w:p>
      <w:pPr>
        <w:ind w:firstLine="360" w:firstLineChars="200"/>
        <w:rPr>
          <w:rFonts w:hint="eastAsia" w:ascii="宋体" w:hAnsi="宋体" w:cs="宋体"/>
          <w:sz w:val="18"/>
          <w:szCs w:val="18"/>
        </w:rPr>
      </w:pPr>
      <w:r>
        <w:rPr>
          <w:rFonts w:hint="eastAsia" w:ascii="宋体" w:hAnsi="宋体" w:cs="宋体"/>
          <w:sz w:val="18"/>
          <w:szCs w:val="18"/>
        </w:rPr>
        <w:t>【1.拟投资市场和资产的风险：</w:t>
      </w:r>
    </w:p>
    <w:p>
      <w:pPr>
        <w:ind w:firstLine="360" w:firstLineChars="200"/>
        <w:rPr>
          <w:rFonts w:hint="eastAsia" w:ascii="宋体" w:hAnsi="宋体" w:cs="宋体"/>
          <w:sz w:val="18"/>
          <w:szCs w:val="18"/>
        </w:rPr>
      </w:pPr>
      <w:r>
        <w:rPr>
          <w:rFonts w:hint="eastAsia" w:ascii="宋体" w:hAnsi="宋体" w:cs="宋体"/>
          <w:sz w:val="18"/>
          <w:szCs w:val="18"/>
        </w:rPr>
        <w:t>（1）投资债权类资产的风险</w:t>
      </w:r>
    </w:p>
    <w:p>
      <w:pPr>
        <w:ind w:firstLine="360" w:firstLineChars="200"/>
        <w:rPr>
          <w:rFonts w:hint="eastAsia" w:ascii="宋体" w:hAnsi="宋体" w:cs="宋体"/>
          <w:sz w:val="18"/>
          <w:szCs w:val="18"/>
        </w:rPr>
      </w:pPr>
      <w:r>
        <w:rPr>
          <w:rFonts w:hint="eastAsia" w:ascii="宋体" w:hAnsi="宋体" w:cs="宋体"/>
          <w:sz w:val="18"/>
          <w:szCs w:val="18"/>
        </w:rPr>
        <w:t>1）投资标准化债权类资产的风险</w:t>
      </w:r>
    </w:p>
    <w:p>
      <w:pPr>
        <w:ind w:firstLine="360" w:firstLineChars="200"/>
        <w:rPr>
          <w:rFonts w:hint="eastAsia" w:ascii="宋体" w:hAnsi="宋体" w:cs="宋体"/>
          <w:sz w:val="18"/>
          <w:szCs w:val="18"/>
        </w:rPr>
      </w:pPr>
      <w:r>
        <w:rPr>
          <w:rFonts w:hint="eastAsia" w:ascii="宋体" w:hAnsi="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cs="宋体"/>
          <w:sz w:val="18"/>
          <w:szCs w:val="18"/>
        </w:rPr>
      </w:pPr>
      <w:r>
        <w:rPr>
          <w:rFonts w:hint="eastAsia" w:ascii="宋体" w:hAnsi="宋体" w:cs="宋体"/>
          <w:sz w:val="18"/>
          <w:szCs w:val="18"/>
        </w:rPr>
        <w:t>2）投资非标准化债权类资产的风险</w:t>
      </w:r>
    </w:p>
    <w:p>
      <w:pPr>
        <w:ind w:firstLine="360" w:firstLineChars="200"/>
        <w:rPr>
          <w:rFonts w:ascii="宋体" w:hAnsi="宋体" w:cs="宋体"/>
          <w:sz w:val="18"/>
          <w:szCs w:val="18"/>
        </w:rPr>
      </w:pPr>
      <w:r>
        <w:rPr>
          <w:rFonts w:hint="eastAsia" w:ascii="宋体" w:hAnsi="宋体" w:cs="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ind w:firstLine="361" w:firstLineChars="200"/>
        <w:rPr>
          <w:rFonts w:ascii="宋体" w:hAnsi="宋体" w:cs="宋体"/>
          <w:b/>
          <w:sz w:val="18"/>
          <w:szCs w:val="18"/>
        </w:rPr>
      </w:pPr>
      <w:r>
        <w:rPr>
          <w:rFonts w:hint="eastAsia" w:ascii="宋体" w:hAnsi="宋体" w:cs="宋体"/>
          <w:b/>
          <w:sz w:val="18"/>
          <w:szCs w:val="18"/>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cs="宋体"/>
          <w:b/>
          <w:bCs/>
          <w:sz w:val="18"/>
          <w:szCs w:val="18"/>
        </w:rPr>
      </w:pPr>
      <w:r>
        <w:rPr>
          <w:rFonts w:hint="eastAsia" w:ascii="宋体" w:hAnsi="宋体" w:cs="宋体"/>
          <w:b/>
          <w:bCs/>
          <w:sz w:val="18"/>
          <w:szCs w:val="18"/>
        </w:rPr>
        <w:t>9.</w:t>
      </w:r>
      <w:r>
        <w:rPr>
          <w:rFonts w:ascii="宋体" w:hAnsi="宋体" w:cs="宋体"/>
          <w:b/>
          <w:bCs/>
          <w:sz w:val="18"/>
          <w:szCs w:val="18"/>
        </w:rPr>
        <w:t>不可抗力及意外事件风险</w:t>
      </w:r>
    </w:p>
    <w:p>
      <w:pPr>
        <w:ind w:firstLine="360" w:firstLineChars="200"/>
        <w:rPr>
          <w:rFonts w:ascii="宋体" w:hAnsi="宋体" w:cs="宋体"/>
          <w:bCs/>
          <w:sz w:val="18"/>
          <w:szCs w:val="18"/>
        </w:rPr>
      </w:pPr>
      <w:r>
        <w:rPr>
          <w:rFonts w:hint="eastAsia" w:ascii="宋体" w:hAnsi="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17.★关联交易风险</w:t>
      </w:r>
    </w:p>
    <w:p>
      <w:pPr>
        <w:widowControl w:val="0"/>
        <w:ind w:firstLine="420" w:firstLineChars="0"/>
        <w:jc w:val="both"/>
        <w:rPr>
          <w:rFonts w:hint="eastAsia" w:ascii="黑体" w:hAnsi="黑体" w:eastAsia="黑体" w:cs="黑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六、【非机构投资者适用】当销售机构销售产品风险评级为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cs="宋体"/>
          <w:sz w:val="18"/>
          <w:szCs w:val="18"/>
        </w:rPr>
      </w:pPr>
    </w:p>
    <w:p>
      <w:pPr>
        <w:wordWrap w:val="0"/>
        <w:ind w:left="540"/>
        <w:jc w:val="right"/>
        <w:rPr>
          <w:rFonts w:ascii="宋体" w:hAnsi="宋体" w:cs="宋体"/>
          <w:sz w:val="18"/>
          <w:szCs w:val="18"/>
        </w:rPr>
      </w:pPr>
      <w:r>
        <w:rPr>
          <w:rFonts w:hint="eastAsia" w:ascii="宋体" w:hAnsi="宋体" w:cs="宋体"/>
          <w:sz w:val="18"/>
          <w:szCs w:val="18"/>
        </w:rPr>
        <w:t>风险揭示方：产品管理人</w:t>
      </w:r>
      <w:r>
        <w:rPr>
          <w:rFonts w:ascii="宋体" w:hAnsi="宋体" w:cs="宋体"/>
          <w:sz w:val="18"/>
          <w:szCs w:val="18"/>
        </w:rPr>
        <w:t xml:space="preserve"> (</w:t>
      </w:r>
      <w:r>
        <w:rPr>
          <w:rFonts w:hint="eastAsia" w:ascii="宋体" w:hAnsi="宋体" w:cs="宋体"/>
          <w:sz w:val="18"/>
          <w:szCs w:val="18"/>
        </w:rPr>
        <w:t>兴银理财有限责任公司</w:t>
      </w:r>
      <w:r>
        <w:rPr>
          <w:rFonts w:ascii="宋体" w:hAnsi="宋体" w:cs="宋体"/>
          <w:sz w:val="18"/>
          <w:szCs w:val="18"/>
        </w:rPr>
        <w:t>)</w:t>
      </w:r>
    </w:p>
    <w:p>
      <w:pPr>
        <w:wordWrap w:val="0"/>
        <w:ind w:left="540"/>
        <w:jc w:val="right"/>
        <w:rPr>
          <w:rFonts w:ascii="宋体" w:hAnsi="宋体" w:cs="宋体"/>
          <w:sz w:val="18"/>
          <w:szCs w:val="18"/>
        </w:rPr>
      </w:pPr>
      <w:r>
        <w:rPr>
          <w:rFonts w:hint="eastAsia" w:ascii="宋体" w:hAnsi="宋体" w:cs="宋体"/>
          <w:sz w:val="18"/>
          <w:szCs w:val="18"/>
        </w:rPr>
        <w:t xml:space="preserve">销售机构（【  </w:t>
      </w:r>
      <w:r>
        <w:rPr>
          <w:rFonts w:ascii="宋体" w:hAnsi="宋体" w:cs="宋体"/>
          <w:sz w:val="18"/>
          <w:szCs w:val="18"/>
        </w:rPr>
        <w:t xml:space="preserve">                 </w:t>
      </w:r>
      <w:r>
        <w:rPr>
          <w:rFonts w:hint="eastAsia" w:ascii="宋体" w:hAnsi="宋体" w:cs="宋体"/>
          <w:sz w:val="18"/>
          <w:szCs w:val="18"/>
        </w:rPr>
        <w:t>】）</w:t>
      </w:r>
    </w:p>
    <w:p>
      <w:pPr>
        <w:widowControl/>
        <w:jc w:val="left"/>
        <w:rPr>
          <w:rFonts w:ascii="宋体" w:hAnsi="宋体" w:cs="宋体"/>
          <w:sz w:val="18"/>
          <w:szCs w:val="18"/>
        </w:rPr>
      </w:pPr>
      <w:r>
        <w:rPr>
          <w:rFonts w:ascii="宋体" w:hAnsi="宋体" w:cs="宋体"/>
          <w:sz w:val="18"/>
          <w:szCs w:val="18"/>
        </w:rPr>
        <w:br w:type="page"/>
      </w:r>
    </w:p>
    <w:p>
      <w:pPr>
        <w:ind w:left="540"/>
        <w:jc w:val="right"/>
        <w:rPr>
          <w:rFonts w:ascii="宋体" w:hAnsi="宋体" w:cs="宋体"/>
          <w:sz w:val="18"/>
          <w:szCs w:val="18"/>
        </w:rPr>
      </w:pPr>
    </w:p>
    <w:p>
      <w:pPr>
        <w:ind w:left="540"/>
        <w:jc w:val="right"/>
        <w:rPr>
          <w:rFonts w:ascii="宋体" w:hAnsi="宋体" w:cs="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Calibri" w:hAnsi="Calibri" w:cs="宋体"/>
                <w:kern w:val="0"/>
                <w:sz w:val="18"/>
                <w:szCs w:val="18"/>
                <w:u w:val="single"/>
              </w:rPr>
            </w:pPr>
            <w:r>
              <w:rPr>
                <w:rFonts w:hint="eastAsia" w:ascii="宋体" w:hAnsi="宋体" w:cs="Arial"/>
                <w:kern w:val="0"/>
                <w:sz w:val="18"/>
                <w:szCs w:val="18"/>
              </w:rPr>
              <w:t>请投资者在此抄录：</w:t>
            </w:r>
          </w:p>
          <w:p>
            <w:pPr>
              <w:spacing w:line="280" w:lineRule="atLeast"/>
              <w:jc w:val="left"/>
              <w:rPr>
                <w:rFonts w:ascii="Calibri" w:hAnsi="Calibri" w:cs="宋体"/>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ascii="Calibri" w:hAnsi="Calibri" w:cs="宋体"/>
                <w:b/>
                <w:kern w:val="0"/>
                <w:sz w:val="20"/>
                <w:szCs w:val="20"/>
              </w:rPr>
              <w:t>（本风险揭示书共有三份签署文本，第一联销售机构留存，第二联投资者留存，第三联产品管理人留存。）</w:t>
            </w:r>
          </w:p>
          <w:p>
            <w:pPr>
              <w:spacing w:line="280" w:lineRule="atLeast"/>
              <w:jc w:val="right"/>
              <w:rPr>
                <w:rFonts w:ascii="宋体" w:hAnsi="宋体" w:cs="宋体"/>
                <w:kern w:val="0"/>
                <w:sz w:val="18"/>
                <w:szCs w:val="18"/>
              </w:rPr>
            </w:pPr>
          </w:p>
        </w:tc>
      </w:tr>
    </w:tbl>
    <w:p>
      <w:pPr>
        <w:autoSpaceDE w:val="0"/>
        <w:autoSpaceDN w:val="0"/>
        <w:adjustRightInd w:val="0"/>
        <w:spacing w:line="360" w:lineRule="auto"/>
        <w:ind w:firstLine="420"/>
        <w:jc w:val="left"/>
        <w:rPr>
          <w:rFonts w:ascii="宋体" w:hAnsi="宋体" w:cs="宋体"/>
          <w:sz w:val="24"/>
          <w:szCs w:val="22"/>
        </w:rPr>
      </w:pPr>
    </w:p>
    <w:p>
      <w:pPr>
        <w:rPr>
          <w:rFonts w:ascii="宋体" w:hAnsi="宋体" w:cs="Arial"/>
          <w:sz w:val="24"/>
          <w:szCs w:val="22"/>
        </w:rPr>
      </w:pPr>
    </w:p>
    <w:p>
      <w:pPr>
        <w:widowControl/>
        <w:jc w:val="left"/>
        <w:rPr>
          <w:rFonts w:ascii="宋体" w:hAnsi="宋体" w:cs="Arial"/>
          <w:sz w:val="24"/>
          <w:szCs w:val="22"/>
        </w:rPr>
      </w:pPr>
      <w:r>
        <w:rPr>
          <w:rFonts w:ascii="宋体" w:hAnsi="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rFonts w:ascii="Calibri" w:hAnsi="Calibri" w:cs="宋体"/>
                <w:kern w:val="0"/>
                <w:sz w:val="20"/>
                <w:szCs w:val="20"/>
              </w:rPr>
            </w:pPr>
          </w:p>
          <w:p>
            <w:pPr>
              <w:spacing w:line="280" w:lineRule="atLeast"/>
              <w:rPr>
                <w:rFonts w:ascii="Calibri" w:hAnsi="Calibri" w:cs="宋体"/>
                <w:b/>
                <w:kern w:val="0"/>
                <w:sz w:val="20"/>
                <w:szCs w:val="20"/>
              </w:rPr>
            </w:pPr>
            <w:r>
              <w:rPr>
                <w:rFonts w:hint="eastAsia" w:ascii="Calibri" w:hAnsi="Calibri"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兴银理财【稳利安盈封闭式】理财产品</w:t>
      </w:r>
    </w:p>
    <w:p>
      <w:pPr>
        <w:adjustRightInd w:val="0"/>
        <w:spacing w:line="276" w:lineRule="auto"/>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 xml:space="preserve">.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 C1、□C2、□ C3、□ C4、□ C5】</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w:t>
      </w:r>
      <w:r>
        <w:rPr>
          <w:rFonts w:hint="eastAsia" w:ascii="宋体" w:hAnsi="宋体"/>
          <w:sz w:val="18"/>
          <w:szCs w:val="18"/>
          <w:lang w:val="en-US" w:eastAsia="zh-CN"/>
        </w:rPr>
        <w:t>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16"/>
        <w:gridCol w:w="4801"/>
        <w:gridCol w:w="20"/>
        <w:gridCol w:w="28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21" w:type="dxa"/>
            <w:gridSpan w:val="2"/>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45"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21" w:type="dxa"/>
            <w:gridSpan w:val="2"/>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45"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21" w:type="dxa"/>
            <w:gridSpan w:val="2"/>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45"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21" w:type="dxa"/>
            <w:gridSpan w:val="2"/>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45"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816"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21" w:type="dxa"/>
            <w:gridSpan w:val="2"/>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45" w:type="dxa"/>
            <w:tcBorders>
              <w:top w:val="single" w:color="auto" w:sz="12" w:space="0"/>
              <w:left w:val="single" w:color="auto" w:sz="12" w:space="0"/>
              <w:bottom w:val="single" w:color="auto" w:sz="12" w:space="0"/>
              <w:right w:val="single" w:color="auto" w:sz="12" w:space="0"/>
            </w:tcBorders>
            <w:vAlign w:val="center"/>
          </w:tcPr>
          <w:p>
            <w:pPr>
              <w:keepNext w:val="0"/>
              <w:keepLines w:val="0"/>
              <w:suppressLineNumbers w:val="0"/>
              <w:spacing w:before="0" w:beforeAutospacing="0" w:after="0" w:afterAutospacing="0"/>
              <w:ind w:left="0" w:leftChars="0" w:right="0" w:rightChars="0"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ind w:right="84" w:rightChars="40"/>
        <w:jc w:val="right"/>
        <w:rPr>
          <w:rFonts w:ascii="宋体" w:hAnsi="宋体"/>
          <w:sz w:val="18"/>
          <w:szCs w:val="18"/>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兴银理财【稳利安盈封闭式】理财产品</w:t>
      </w:r>
    </w:p>
    <w:p>
      <w:pPr>
        <w:adjustRightInd w:val="0"/>
        <w:spacing w:line="280" w:lineRule="atLeast"/>
        <w:jc w:val="center"/>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rPr>
          <w:rFonts w:hAnsi="宋体"/>
          <w:b/>
          <w:color w:val="auto"/>
          <w:sz w:val="28"/>
          <w:szCs w:val="28"/>
        </w:rPr>
      </w:pPr>
      <w:r>
        <w:rPr>
          <w:rFonts w:hint="eastAsia" w:hAnsi="宋体"/>
          <w:b/>
          <w:color w:val="auto"/>
          <w:sz w:val="28"/>
          <w:szCs w:val="28"/>
        </w:rPr>
        <w:t>（适用于机构投资者）</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484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2865"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484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2865"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484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2865"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484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2865"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4840"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c>
          <w:tcPr>
            <w:tcW w:w="2865" w:type="dxa"/>
            <w:tcBorders>
              <w:top w:val="single" w:color="auto" w:sz="12" w:space="0"/>
              <w:left w:val="single" w:color="auto" w:sz="12" w:space="0"/>
              <w:bottom w:val="single" w:color="auto" w:sz="12"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宋体" w:hAnsi="宋体" w:eastAsia="宋体" w:cs="Times New Roman"/>
                <w:kern w:val="2"/>
                <w:sz w:val="18"/>
                <w:szCs w:val="18"/>
                <w:lang w:val="en-US" w:eastAsia="zh-CN" w:bidi="ar-SA"/>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宋体" w:hAnsi="宋体"/>
          <w:b/>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rPr>
          <w:rFonts w:ascii="宋体" w:hAnsi="宋体"/>
          <w:b/>
          <w:sz w:val="28"/>
          <w:szCs w:val="28"/>
        </w:rPr>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814FC"/>
    <w:rsid w:val="2BBE5BA7"/>
    <w:rsid w:val="637F58C5"/>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2026-06-12T06:41:07Z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