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permStart w:id="0" w:edGrp="everyone"/>
      <w:r>
        <w:rPr>
          <w:rStyle w:val="11"/>
          <w:rFonts w:hint="eastAsia" w:ascii="黑体" w:hAnsi="黑体" w:eastAsia="黑体"/>
          <w:sz w:val="28"/>
          <w:szCs w:val="28"/>
          <w:lang w:eastAsia="zh-CN"/>
        </w:rPr>
        <w:t>【兴银理财稳利恒盈封闭式2026年849期固收类理财产品】</w:t>
      </w:r>
      <w:permEnd w:id="0"/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" w:edGrp="everyone"/>
      <w:r>
        <w:rPr>
          <w:rFonts w:hint="eastAsia" w:ascii="宋体" w:hAnsi="宋体"/>
          <w:sz w:val="18"/>
          <w:szCs w:val="18"/>
        </w:rPr>
        <w:t>【】</w:t>
      </w:r>
      <w:permEnd w:id="1"/>
      <w:r>
        <w:rPr>
          <w:rFonts w:hint="eastAsia" w:ascii="宋体" w:hAnsi="宋体"/>
          <w:sz w:val="18"/>
          <w:szCs w:val="18"/>
        </w:rPr>
        <w:t>以(</w:t>
      </w:r>
      <w:permStart w:id="2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2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hint="eastAsia" w:ascii="宋体" w:hAnsi="宋体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 xml:space="preserve">. 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</w:t>
      </w:r>
      <w:permStart w:id="3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C1、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>C2、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C3、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C4、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C5</w:t>
      </w:r>
      <w:r>
        <w:rPr>
          <w:rFonts w:hint="eastAsia" w:ascii="宋体" w:hAnsi="宋体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hint="eastAsia" w:ascii="宋体" w:hAnsi="宋体"/>
          <w:sz w:val="18"/>
          <w:szCs w:val="18"/>
          <w:lang w:val="en-US" w:eastAsia="zh-CN"/>
        </w:rPr>
        <w:t>5</w:t>
      </w:r>
      <w:r>
        <w:rPr>
          <w:rFonts w:hint="eastAsia" w:ascii="宋体" w:hAnsi="宋体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4801"/>
        <w:gridCol w:w="7"/>
        <w:gridCol w:w="285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安逸型（R1）</w:t>
            </w:r>
          </w:p>
        </w:tc>
        <w:tc>
          <w:tcPr>
            <w:tcW w:w="480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5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谨慎型（R2）</w:t>
            </w:r>
          </w:p>
        </w:tc>
        <w:tc>
          <w:tcPr>
            <w:tcW w:w="480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5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稳健型（R3）</w:t>
            </w:r>
          </w:p>
        </w:tc>
        <w:tc>
          <w:tcPr>
            <w:tcW w:w="480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5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增长型（R4）</w:t>
            </w:r>
          </w:p>
        </w:tc>
        <w:tc>
          <w:tcPr>
            <w:tcW w:w="480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5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进取型（R5）</w:t>
            </w:r>
          </w:p>
        </w:tc>
        <w:tc>
          <w:tcPr>
            <w:tcW w:w="480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5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进取型（C5）及以上</w:t>
            </w:r>
          </w:p>
        </w:tc>
      </w:tr>
      <w:permEnd w:id="6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hint="eastAsia"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1" w:firstLineChars="200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  <w:bookmarkEnd w:id="0"/>
    </w:p>
    <w:p>
      <w:pPr>
        <w:ind w:firstLine="360" w:firstLineChars="200"/>
        <w:rPr>
          <w:rFonts w:ascii="宋体" w:hAnsi="宋体"/>
          <w:sz w:val="18"/>
          <w:szCs w:val="18"/>
        </w:rPr>
      </w:pPr>
      <w:permStart w:id="7" w:edGrp="everyone"/>
      <w:r>
        <w:rPr>
          <w:rFonts w:hint="eastAsia" w:ascii="宋体" w:hAnsi="宋体"/>
          <w:sz w:val="18"/>
          <w:szCs w:val="18"/>
          <w:lang w:val="en-US" w:eastAsia="zh-CN"/>
        </w:rPr>
        <w:t>2</w:t>
      </w:r>
      <w:r>
        <w:rPr>
          <w:rFonts w:hint="eastAsia" w:ascii="宋体" w:hAnsi="宋体"/>
          <w:sz w:val="18"/>
          <w:szCs w:val="18"/>
        </w:rPr>
        <w:t>.销售机构：【】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7"/>
    <w:p>
      <w:pPr>
        <w:ind w:right="84" w:rightChars="40"/>
        <w:jc w:val="right"/>
        <w:rPr>
          <w:rFonts w:ascii="宋体" w:hAnsi="宋体"/>
          <w:sz w:val="18"/>
          <w:szCs w:val="18"/>
        </w:rPr>
      </w:pPr>
    </w:p>
    <w:p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permStart w:id="8" w:edGrp="everyone"/>
      <w:r>
        <w:rPr>
          <w:rStyle w:val="11"/>
          <w:rFonts w:hint="eastAsia" w:ascii="黑体" w:hAnsi="黑体" w:eastAsia="黑体"/>
          <w:sz w:val="28"/>
          <w:szCs w:val="28"/>
          <w:lang w:eastAsia="zh-CN"/>
        </w:rPr>
        <w:t>【兴银理财稳利恒盈封闭式2026年849期固收类理财产品】</w:t>
      </w:r>
      <w:permEnd w:id="8"/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</w:t>
      </w:r>
      <w:permStart w:id="9" w:edGrp="everyone"/>
      <w:r>
        <w:rPr>
          <w:rFonts w:hint="eastAsia" w:hAnsi="宋体"/>
          <w:b/>
          <w:color w:val="auto"/>
          <w:sz w:val="28"/>
          <w:szCs w:val="28"/>
        </w:rPr>
        <w:t>机构投资者</w:t>
      </w:r>
      <w:permEnd w:id="9"/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0" w:edGrp="everyone"/>
      <w:r>
        <w:rPr>
          <w:rFonts w:hint="eastAsia" w:ascii="宋体" w:hAnsi="宋体"/>
          <w:sz w:val="18"/>
          <w:szCs w:val="18"/>
        </w:rPr>
        <w:t>【】</w:t>
      </w:r>
      <w:permEnd w:id="10"/>
      <w:r>
        <w:rPr>
          <w:rFonts w:hint="eastAsia" w:ascii="宋体" w:hAnsi="宋体"/>
          <w:sz w:val="18"/>
          <w:szCs w:val="18"/>
        </w:rPr>
        <w:t>以(</w:t>
      </w:r>
      <w:permStart w:id="11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1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hint="eastAsia" w:ascii="宋体" w:hAnsi="宋体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</w:t>
      </w:r>
      <w:permStart w:id="12" w:edGrp="everyone"/>
      <w:r>
        <w:rPr>
          <w:rFonts w:hint="eastAsia" w:ascii="宋体" w:hAnsi="宋体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。其中，</w:t>
      </w:r>
      <w:permStart w:id="13" w:edGrp="everyone"/>
      <w:r>
        <w:rPr>
          <w:rFonts w:hint="eastAsia" w:ascii="宋体" w:hAnsi="宋体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为风险承受能力最低类别，</w:t>
      </w:r>
      <w:permStart w:id="14" w:edGrp="everyone"/>
      <w:r>
        <w:rPr>
          <w:rFonts w:hint="eastAsia" w:ascii="宋体" w:hAnsi="宋体"/>
          <w:sz w:val="18"/>
          <w:szCs w:val="18"/>
        </w:rPr>
        <w:t>【】</w:t>
      </w:r>
      <w:permEnd w:id="14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permStart w:id="15" w:edGrp="everyone"/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permEnd w:id="15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0" w:firstLineChars="200"/>
        <w:rPr>
          <w:rFonts w:hint="eastAsia" w:ascii="宋体" w:hAnsi="宋体"/>
          <w:b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（三）上述风险承受能力评估要求适用于机构投资者中普通投资者，专业投资者的风险承受能力评估按照《（代理）销售协议书》约定或销售机构的销售政策执行。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spacing w:line="280" w:lineRule="atLeas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 xml:space="preserve"> </w:t>
      </w: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permStart w:id="16" w:edGrp="everyone"/>
      <w:r>
        <w:rPr>
          <w:rFonts w:hint="eastAsia" w:ascii="宋体" w:hAnsi="宋体"/>
          <w:sz w:val="18"/>
          <w:szCs w:val="18"/>
          <w:lang w:val="en-US" w:eastAsia="zh-CN"/>
        </w:rPr>
        <w:t>2</w:t>
      </w:r>
      <w:bookmarkStart w:id="1" w:name="_GoBack"/>
      <w:bookmarkEnd w:id="1"/>
      <w:r>
        <w:rPr>
          <w:rFonts w:hint="eastAsia" w:ascii="宋体" w:hAnsi="宋体"/>
          <w:sz w:val="18"/>
          <w:szCs w:val="18"/>
        </w:rPr>
        <w:t>.销售机构：【】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16"/>
    <w:p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567" w:footer="96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3202528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投资者权益须知</w:t>
    </w:r>
  </w:p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enforcement="1" w:cryptProviderType="rsaFull" w:cryptAlgorithmClass="hash" w:cryptAlgorithmType="typeAny" w:cryptAlgorithmSid="4" w:cryptSpinCount="0" w:hash="//XX+DO/0MwM1Sh06U2hC9FrX/g=" w:salt="ErSQCmK7MnhWGTsx3NyoX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627FD"/>
    <w:rsid w:val="00373C0A"/>
    <w:rsid w:val="003B33DD"/>
    <w:rsid w:val="003B4628"/>
    <w:rsid w:val="003B5DB0"/>
    <w:rsid w:val="003D624D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4211F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06406658"/>
    <w:rsid w:val="121A1EA9"/>
    <w:rsid w:val="1FC572D9"/>
    <w:rsid w:val="293759F8"/>
    <w:rsid w:val="387158CE"/>
    <w:rsid w:val="52D44062"/>
    <w:rsid w:val="55E961A5"/>
    <w:rsid w:val="593220F2"/>
    <w:rsid w:val="5AA14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annotation reference"/>
    <w:qFormat/>
    <w:uiPriority w:val="0"/>
    <w:rPr>
      <w:sz w:val="21"/>
    </w:rPr>
  </w:style>
  <w:style w:type="character" w:customStyle="1" w:styleId="13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6">
    <w:name w:val="标题 1 Char"/>
    <w:basedOn w:val="10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7">
    <w:name w:val="HTML 预设格式 Char"/>
    <w:basedOn w:val="10"/>
    <w:link w:val="7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批注文字 Char"/>
    <w:basedOn w:val="10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9">
    <w:name w:val="批注文字 Char1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0">
    <w:name w:val="批注框文本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批注主题 Char"/>
    <w:basedOn w:val="19"/>
    <w:link w:val="8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2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4</Pages>
  <Words>428</Words>
  <Characters>2445</Characters>
  <Lines>20</Lines>
  <Paragraphs>5</Paragraphs>
  <TotalTime>0</TotalTime>
  <ScaleCrop>false</ScaleCrop>
  <LinksUpToDate>false</LinksUpToDate>
  <CharactersWithSpaces>2868</CharactersWithSpaces>
  <Application>WPS Office_11.8.2.10164_F1E327BC-269C-435d-A152-05C5408002CA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2024-03-04T02:03:00Z</dcterms:created>
  <dc:creator>胡骁潇</dc:creator>
  <cp:lastModifiedBy>cib</cp:lastModifiedBy>
  <dcterms:modified xsi:type="dcterms:W3CDTF">2026-06-11T06:01:52Z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2052-11.8.2.10164</vt:lpwstr>
  </property>
  <property fmtid="{D5CDD505-2E9C-101B-9397-08002B2CF9AE}" pid="3" name="ICV">
    <vt:lpwstr>55B8374CB6404647A7F11AF4E429D6C2_13</vt:lpwstr>
  </property>
</Properties>
</file>