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8610da1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4.非标准化债权类资产无法投资的风险</w:t>
      </w:r>
    </w:p>
    <w:p>
      <w:pPr>
        <w:pStyle w:val="8610da1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pPr>
        <w:pStyle w:val="8610da1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w:t>
      </w:r>
    </w:p>
    <w:p>
      <w:pPr>
        <w:pStyle w:val="8610da17"/>
        <w:spacing w:line="200" w:lineRule="exact"/>
        <w:ind w:firstLineChars="200" w:firstLine="260"/>
        <w:rPr>
          <w:rFonts w:ascii="方正黑体_GBK" w:hint="eastAsia" w:hAnsi="方正黑体_GBK" w:eastAsia="方正黑体_GBK"/>
          <w:b/>
          <w:bCs/>
          <w:color w:val="3D3D3D"/>
          <w:kern w:val="0"/>
          <w:sz w:val="13"/>
          <w:szCs w:val="13"/>
        </w:rPr>
      </w:pPr>
      <w:r>
        <w:rPr>
          <w:rFonts w:ascii="方正黑体_GBK" w:hint="eastAsia" w:hAnsi="方正黑体_GBK" w:eastAsia="方正黑体_GBK"/>
          <w:b/>
          <w:bCs/>
          <w:color w:val="3D3D3D"/>
          <w:kern w:val="0"/>
          <w:sz w:val="13"/>
          <w:szCs w:val="13"/>
        </w:rPr>
        <w:t>（2）若本理财产品已成立，则管理人有权提前终止本理财产品</w:t>
      </w:r>
      <w:bookmarkStart w:id="0" w:name="_GoBack"/>
      <w:bookmarkEnd w:id="0"/>
      <w:r>
        <w:rPr>
          <w:rFonts w:ascii="方正黑体_GBK" w:hint="eastAsia" w:hAnsi="方正黑体_GBK" w:eastAsia="方正黑体_GBK"/>
          <w:b/>
          <w:bCs/>
          <w:color w:val="3D3D3D"/>
          <w:kern w:val="0"/>
          <w:sz w:val="13"/>
          <w:szCs w:val="13"/>
        </w:rPr>
        <w:t>。</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1106天</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 xml:space="preserve">    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610da1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610da17"/>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86472f3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86472f3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4d96bbb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南银理财鼎瑞安心三年33期封闭式公募人民币理财产品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ZZ700322600185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Z7003226000185(投资者可依据该编码在中国理财网www.chinawealth.com.cn查询理财产品相关信息）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A份额：NYAX000001</w:t>
            </w:r>
          </w:p>
          <w:p>
            <w:pPr>
              <w:pStyle w:val="null10"/>
              <w:spacing w:lineRule="exact" w:line="200"/>
            </w:pPr>
            <w:r>
              <w:rPr>
                <w:rFonts w:ascii="方正黑体_GBK" w:hAnsi="方正黑体_GBK" w:cs="宋体" w:eastAsia="方正黑体_GBK"/>
                <w:sz w:val="18"/>
                <w:szCs w:val="18"/>
              </w:rPr>
              <w:t>B份额：NYAX000002</w:t>
            </w:r>
          </w:p>
          <w:p>
            <w:pPr>
              <w:pStyle w:val="null10"/>
              <w:spacing w:lineRule="exact" w:line="200"/>
            </w:pPr>
            <w:r>
              <w:rPr>
                <w:rFonts w:ascii="方正黑体_GBK" w:hAnsi="方正黑体_GBK" w:cs="宋体" w:eastAsia="方正黑体_GBK"/>
                <w:sz w:val="18"/>
                <w:szCs w:val="18"/>
              </w:rPr>
              <w:t>C份额：NYAX000003</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本理财产品规模上限为200亿元。本理财产品最终规模以实际募集规模为准。</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江苏建湖农村商业银行股份有限公司、江苏南通农村商业银行股份有限公司(10万元起购)、江苏扬州农村商业银行股份有限公司、江苏江都农村商业银行股份有限公司、江苏射阳农村商业银行股份有限公司、江苏姜堰农村商业银行股份有限公司、江苏仪征农村商业银行股份有限 公司(1万元起购)。</w:t>
            </w:r>
          </w:p>
          <w:p>
            <w:pPr>
              <w:pStyle w:val="null10"/>
              <w:spacing w:lineRule="exact" w:line="200"/>
            </w:pPr>
            <w:r>
              <w:rPr>
                <w:rFonts w:ascii="方正黑体_GBK" w:hAnsi="方正黑体_GBK" w:cs="宋体" w:eastAsia="方正黑体_GBK"/>
                <w:sz w:val="18"/>
                <w:szCs w:val="18"/>
              </w:rPr>
              <w:t>B份额：南银理财有限责任公司、江苏常熟农村商业银行股份有限公司、江苏南通农村商业银行股份有限公司(1元起购)、江苏仪征农村商业银行股份有限公司(1元起购)。</w:t>
            </w:r>
          </w:p>
          <w:p>
            <w:pPr>
              <w:pStyle w:val="null10"/>
              <w:spacing w:lineRule="exact" w:line="200"/>
            </w:pPr>
            <w:r>
              <w:rPr>
                <w:rFonts w:ascii="方正黑体_GBK" w:hAnsi="方正黑体_GBK" w:cs="宋体" w:eastAsia="方正黑体_GBK"/>
                <w:sz w:val="18"/>
                <w:szCs w:val="18"/>
              </w:rPr>
              <w:t>C份额：江苏宜兴农村商业银行股份有限公司、江苏高淳农村商业银行股份有限公司、江苏东台农村商业银行股份有限公司、江苏阜宁农村商业银行股份有限公司、江苏淮安农村商业银行股份有限公司、江苏大丰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2026年06月17日 09:00—2026年06月23日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1106天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2029年07月04日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A份额：业绩比较基准为2.2%(年化)。</w:t>
            </w:r>
          </w:p>
          <w:p>
            <w:pPr>
              <w:pStyle w:val="null10"/>
              <w:spacing w:lineRule="exact" w:line="200"/>
            </w:pPr>
            <w:r>
              <w:rPr>
                <w:rFonts w:ascii="方正黑体_GBK" w:hAnsi="方正黑体_GBK" w:cs="宋体" w:eastAsia="方正黑体_GBK"/>
                <w:sz w:val="18"/>
                <w:szCs w:val="18"/>
              </w:rPr>
              <w:t>B份额：业绩比较基准为2%(年化)。</w:t>
            </w:r>
          </w:p>
          <w:p>
            <w:pPr>
              <w:pStyle w:val="null10"/>
              <w:spacing w:lineRule="exact" w:line="200"/>
            </w:pPr>
            <w:r>
              <w:rPr>
                <w:rFonts w:ascii="方正黑体_GBK" w:hAnsi="方正黑体_GBK" w:cs="宋体" w:eastAsia="方正黑体_GBK"/>
                <w:sz w:val="18"/>
                <w:szCs w:val="18"/>
              </w:rPr>
              <w:t>C份额：业绩比较基准为2.1%(年化)。</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A份额：销售费年化0.1%</w:t>
            </w:r>
          </w:p>
          <w:p>
            <w:pPr>
              <w:pStyle w:val="null10"/>
              <w:spacing w:lineRule="exact" w:line="200"/>
            </w:pPr>
            <w:r>
              <w:rPr>
                <w:rFonts w:ascii="方正黑体_GBK" w:hAnsi="方正黑体_GBK" w:cs="宋体" w:eastAsia="方正黑体_GBK"/>
                <w:sz w:val="18"/>
                <w:b/>
                <w:szCs w:val="18"/>
              </w:rPr>
              <w:t>B份额：销售费年化0.3%</w:t>
            </w:r>
          </w:p>
          <w:p>
            <w:pPr>
              <w:pStyle w:val="null10"/>
              <w:spacing w:lineRule="exact" w:line="200"/>
            </w:pPr>
            <w:r>
              <w:rPr>
                <w:rFonts w:ascii="方正黑体_GBK" w:hAnsi="方正黑体_GBK" w:cs="宋体" w:eastAsia="方正黑体_GBK"/>
                <w:sz w:val="18"/>
                <w:b/>
                <w:szCs w:val="18"/>
              </w:rPr>
              <w:t>C份额：销售费年化0.2%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w:t>
            </w:r>
          </w:p>
          <w:p>
            <w:pPr>
              <w:pStyle w:val="null10"/>
              <w:spacing w:lineRule="exact" w:line="200"/>
            </w:pPr>
            <w:r>
              <w:rPr>
                <w:rFonts w:ascii="方正黑体_GBK" w:hAnsi="方正黑体_GBK" w:cs="宋体" w:eastAsia="方正黑体_GBK"/>
                <w:sz w:val="18"/>
                <w:b/>
                <w:szCs w:val="18"/>
              </w:rPr>
              <w:t>本理财产品按前一日理财产品资产净值收取年化0.05%的固定管理费，按日计提。</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常熟农村商业银行股份有限公司、江苏宜兴农村商业银行股份有限公司、江苏高淳农村商业银行股份有限公司、江苏建湖农村商业银行股份有限公司、江苏东台农村商业银行股份有限公司、江苏阜宁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射阳农村商业银行股份有限公司、江苏姜堰农村商业银行股份有限公司、江苏仪征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86472f3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b6966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b69669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b69669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b69669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b69669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b69669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b69669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b69669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南银理财鼎瑞安心三年33期封闭式公募人民币理财产品</w:t>
      </w:r>
      <w:r>
        <w:rPr>
          <w:rFonts w:ascii="方正黑体_GBK" w:eastAsia="方正黑体_GBK" w:hint="eastAsia" w:hAnsi="方正黑体_GBK"/>
          <w:vanish w:val="0"/>
          <w:color w:val="3D3D3D"/>
          <w:kern w:val="0"/>
          <w:sz w:val="15"/>
          <w:szCs w:val="15"/>
        </w:rPr>
        <w:t>。</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b69669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b69669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b69669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b69669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e3670e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e3670e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e3670e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e3670e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e3670e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e3670e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b69669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b69669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b69669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e3670e7"/>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86472f33"/>
        <w:keepNext w:val="0"/>
        <w:keepLines w:val="0"/>
        <w:pageBreakBefore w:val="0"/>
        <w:widowControl/>
        <w:suppressLineNumbers w:val="0"/>
        <w:suppressAutoHyphens w:val="0"/>
        <w:spacing w:line="200" w:lineRule="exact"/>
        <w:ind w:firstLineChars="200" w:firstLine="300"/>
        <w:rPr>
          <w:rStyle w:val="fe3670e7"/>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86472f3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86472f3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86472f3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hint="eastAsia" w:hAnsi="方正黑体_GBK" w:eastAsia="方正黑体_GBK"/>
          <w:b/>
          <w:bCs/>
          <w:color w:val="3D3D3D"/>
          <w:kern w:val="0"/>
          <w:sz w:val="15"/>
          <w:szCs w:val="15"/>
        </w:rPr>
      </w:pPr>
      <w:r>
        <w:rPr>
          <w:rFonts w:ascii="方正黑体_GBK" w:hint="eastAsia" w:hAnsi="方正黑体_GBK" w:eastAsia="方正黑体_GBK"/>
          <w:b/>
          <w:bCs/>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86472f3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86472f3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86472f3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86472f3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86472f3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610da17">
    <w:name w:val="Normal8610da17"/>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f440db6">
    <w:name w:val="heading 10f440db6"/>
    <w:basedOn w:val="8610da1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30600f0">
    <w:name w:val="heading 2a30600f0"/>
    <w:basedOn w:val="8610da1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f1f5559">
    <w:name w:val="heading 36f1f5559"/>
    <w:basedOn w:val="8610da1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06b1424">
    <w:name w:val="Default Paragraph Fontd06b1424"/>
  </w:style>
  <w:style xmlns:r="http://schemas.openxmlformats.org/officeDocument/2006/relationships" w:type="paragraph" w:styleId="2bbbb0fa">
    <w:name w:val="toc 12bbbb0fa"/>
    <w:basedOn w:val="8610da17"/>
    <w:autoRedefine/>
    <w:next w:val="0"/>
  </w:style>
  <w:style xmlns:r="http://schemas.openxmlformats.org/officeDocument/2006/relationships" w:type="paragraph" w:styleId="3c3f75bb">
    <w:name w:val="toc 23c3f75bb"/>
    <w:basedOn w:val="8610da17"/>
    <w:autoRedefine/>
    <w:next w:val="0"/>
    <w:pPr>
      <w:ind w:left="420"/>
    </w:pPr>
  </w:style>
  <w:style xmlns:r="http://schemas.openxmlformats.org/officeDocument/2006/relationships" w:type="paragraph" w:styleId="aed00f79">
    <w:name w:val="toc 3aed00f79"/>
    <w:basedOn w:val="8610da17"/>
    <w:autoRedefine/>
    <w:next w:val="0"/>
    <w:pPr>
      <w:ind w:left="840"/>
    </w:pPr>
  </w:style>
  <w:style xmlns:r="http://schemas.openxmlformats.org/officeDocument/2006/relationships" w:type="paragraph" w:styleId="2cddee70">
    <w:name w:val="toc 42cddee70"/>
    <w:basedOn w:val="8610da17"/>
    <w:autoRedefine/>
    <w:next w:val="0"/>
    <w:pPr>
      <w:ind w:left="1260"/>
    </w:pPr>
  </w:style>
  <w:style xmlns:r="http://schemas.openxmlformats.org/officeDocument/2006/relationships" w:type="paragraph" w:styleId="526f01de">
    <w:name w:val="toc 5526f01de"/>
    <w:basedOn w:val="8610da17"/>
    <w:autoRedefine/>
    <w:next w:val="0"/>
    <w:pPr>
      <w:ind w:left="1680"/>
    </w:pPr>
  </w:style>
  <w:style xmlns:r="http://schemas.openxmlformats.org/officeDocument/2006/relationships" w:type="paragraph" w:styleId="11ceee35">
    <w:name w:val="header11ceee35"/>
    <w:basedOn w:val="8610da1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789cce0">
    <w:name w:val="footer6789cce0"/>
    <w:basedOn w:val="8610da17"/>
    <w:pPr>
      <w:tabs>
        <w:tab w:val="center" w:pos="4153"/>
        <w:tab w:val="right" w:pos="8307"/>
      </w:tabs>
      <w:adjustRightInd/>
      <w:snapToGrid w:val="0"/>
      <w:contextualSpacing w:val="0"/>
      <w:jc w:val="left"/>
    </w:pPr>
    <w:rPr>
      <w:sz w:val="18"/>
    </w:rPr>
  </w:style>
  <w:style xmlns:r="http://schemas.openxmlformats.org/officeDocument/2006/relationships" w:type="character" w:styleId="874efecb">
    <w:name w:val="Strong874efec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6472f33">
    <w:name w:val="Normal86472f3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843d31d5">
    <w:name w:val="heading 1843d31d5"/>
    <w:basedOn w:val="86472f3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5388472">
    <w:name w:val="heading 2f5388472"/>
    <w:basedOn w:val="86472f3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db9951d">
    <w:name w:val="heading 3edb9951d"/>
    <w:basedOn w:val="86472f3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d063cf7">
    <w:name w:val="Default Paragraph Fontfd063cf7"/>
  </w:style>
  <w:style xmlns:r="http://schemas.openxmlformats.org/officeDocument/2006/relationships" w:type="paragraph" w:styleId="5c4abdf9">
    <w:name w:val="Normal Indent5c4abdf9"/>
    <w:basedOn w:val="86472f33"/>
    <w:pPr>
      <w:ind w:firstLineChars="200" w:firstLine="200"/>
    </w:pPr>
  </w:style>
  <w:style xmlns:r="http://schemas.openxmlformats.org/officeDocument/2006/relationships" w:type="paragraph" w:styleId="4e78de32">
    <w:name w:val="toc 54e78de32"/>
    <w:basedOn w:val="86472f33"/>
    <w:next w:val="0"/>
    <w:pPr>
      <w:ind w:left="1680"/>
    </w:pPr>
  </w:style>
  <w:style xmlns:r="http://schemas.openxmlformats.org/officeDocument/2006/relationships" w:type="paragraph" w:styleId="b9331b20">
    <w:name w:val="toc 3b9331b20"/>
    <w:basedOn w:val="86472f33"/>
    <w:next w:val="0"/>
    <w:pPr>
      <w:ind w:left="840"/>
    </w:pPr>
  </w:style>
  <w:style xmlns:r="http://schemas.openxmlformats.org/officeDocument/2006/relationships" w:type="paragraph" w:styleId="e9410dde">
    <w:name w:val="footere9410dde"/>
    <w:basedOn w:val="86472f33"/>
    <w:pPr>
      <w:tabs>
        <w:tab w:val="center" w:pos="4153"/>
        <w:tab w:val="right" w:pos="8307"/>
      </w:tabs>
      <w:adjustRightInd/>
      <w:snapToGrid w:val="0"/>
      <w:contextualSpacing w:val="0"/>
      <w:jc w:val="left"/>
    </w:pPr>
    <w:rPr>
      <w:sz w:val="18"/>
    </w:rPr>
  </w:style>
  <w:style xmlns:r="http://schemas.openxmlformats.org/officeDocument/2006/relationships" w:type="paragraph" w:styleId="01bc7fbd">
    <w:name w:val="header01bc7fbd"/>
    <w:basedOn w:val="86472f3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8bc2913">
    <w:name w:val="toc 118bc2913"/>
    <w:basedOn w:val="86472f33"/>
    <w:next w:val="0"/>
  </w:style>
  <w:style xmlns:r="http://schemas.openxmlformats.org/officeDocument/2006/relationships" w:type="paragraph" w:styleId="eddf120d">
    <w:name w:val="toc 4eddf120d"/>
    <w:basedOn w:val="86472f33"/>
    <w:next w:val="0"/>
    <w:pPr>
      <w:ind w:left="1260"/>
    </w:pPr>
  </w:style>
  <w:style xmlns:r="http://schemas.openxmlformats.org/officeDocument/2006/relationships" w:type="paragraph" w:styleId="4ec9df12">
    <w:name w:val="toc 24ec9df12"/>
    <w:basedOn w:val="86472f33"/>
    <w:next w:val="0"/>
    <w:pPr>
      <w:ind w:left="420"/>
    </w:pPr>
  </w:style>
  <w:style xmlns:r="http://schemas.openxmlformats.org/officeDocument/2006/relationships" w:type="paragraph" w:styleId="4d96bbb8">
    <w:name w:val="Normal (Web)4d96bbb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b69669e">
    <w:name w:val="Normal7b69669e7b69669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49685f5">
    <w:name w:val="heading 1a49685f5a49685f5"/>
    <w:basedOn w:val="7b69669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eca16b0">
    <w:name w:val="heading 2ceca16b0ceca16b0"/>
    <w:basedOn w:val="7b69669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7e87cc3">
    <w:name w:val="heading 357e87cc357e87cc3"/>
    <w:basedOn w:val="7b69669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99b8bc1">
    <w:name w:val="Default Paragraph Fonte99b8bc1e99b8bc1"/>
  </w:style>
  <w:style xmlns:r="http://schemas.openxmlformats.org/officeDocument/2006/relationships" w:type="paragraph" w:customStyle="1" w:styleId="5abb95f8">
    <w:name w:val="引文目录15abb95f85abb95f8"/>
    <w:basedOn w:val="7b69669e"/>
    <w:next w:val="0"/>
    <w:pPr>
      <w:ind w:leftChars="200" w:left="200"/>
    </w:pPr>
  </w:style>
  <w:style xmlns:r="http://schemas.openxmlformats.org/officeDocument/2006/relationships" w:type="paragraph" w:styleId="aaf51015">
    <w:name w:val="toc 5aaf51015aaf51015"/>
    <w:basedOn w:val="7b69669e"/>
    <w:next w:val="0"/>
    <w:pPr>
      <w:ind w:left="1680"/>
    </w:pPr>
  </w:style>
  <w:style xmlns:r="http://schemas.openxmlformats.org/officeDocument/2006/relationships" w:type="paragraph" w:styleId="14f770fa">
    <w:name w:val="toc 314f770fa14f770fa"/>
    <w:basedOn w:val="7b69669e"/>
    <w:next w:val="0"/>
    <w:pPr>
      <w:ind w:left="840"/>
    </w:pPr>
  </w:style>
  <w:style xmlns:r="http://schemas.openxmlformats.org/officeDocument/2006/relationships" w:type="paragraph" w:styleId="7e48194b">
    <w:name w:val="footer7e48194b7e48194b"/>
    <w:basedOn w:val="7b69669e"/>
    <w:pPr>
      <w:tabs>
        <w:tab w:val="center" w:pos="4153"/>
        <w:tab w:val="right" w:pos="8307"/>
      </w:tabs>
      <w:adjustRightInd/>
      <w:snapToGrid w:val="0"/>
      <w:contextualSpacing w:val="0"/>
      <w:jc w:val="left"/>
    </w:pPr>
    <w:rPr>
      <w:sz w:val="18"/>
    </w:rPr>
  </w:style>
  <w:style xmlns:r="http://schemas.openxmlformats.org/officeDocument/2006/relationships" w:type="paragraph" w:styleId="bf4841b8">
    <w:name w:val="headerbf4841b8bf4841b8"/>
    <w:basedOn w:val="7b69669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cdf6823">
    <w:name w:val="toc 1ecdf6823ecdf6823"/>
    <w:basedOn w:val="7b69669e"/>
    <w:next w:val="0"/>
  </w:style>
  <w:style xmlns:r="http://schemas.openxmlformats.org/officeDocument/2006/relationships" w:type="paragraph" w:styleId="a2f83f4d">
    <w:name w:val="toc 4a2f83f4da2f83f4d"/>
    <w:basedOn w:val="7b69669e"/>
    <w:next w:val="0"/>
    <w:pPr>
      <w:ind w:left="1260"/>
    </w:pPr>
  </w:style>
  <w:style xmlns:r="http://schemas.openxmlformats.org/officeDocument/2006/relationships" w:type="paragraph" w:styleId="59c54587">
    <w:name w:val="toc 259c5458759c54587"/>
    <w:basedOn w:val="7b69669e"/>
    <w:next w:val="0"/>
    <w:pPr>
      <w:ind w:left="420"/>
    </w:pPr>
  </w:style>
  <w:style xmlns:r="http://schemas.openxmlformats.org/officeDocument/2006/relationships" w:type="paragraph" w:customStyle="1" w:styleId="fe3670e7">
    <w:name w:val="列出段落1fe3670e7fe3670e7"/>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