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eb8d78c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w:t>
      </w:r>
    </w:p>
    <w:p>
      <w:pPr>
        <w:pStyle w:val="eb8d78c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eb8d78c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98天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eb8d78c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eb8d78c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eb8d78c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eb8d78c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eb8d78c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eb8d78c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eb8d78c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eb8d78c9"/>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f45c2283"/>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f45c2283"/>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0ef4ab01"/>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南银理财珠联璧合鑫逸稳三个月139期封闭式公募人民币理财产品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ZZ700322600181</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Z7003226000186(投资者可依据该编码在中国理财网www.chinawealth.com.cn查询理财产品相关信息）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A份额：NYXY001000</w:t>
            </w:r>
          </w:p>
          <w:p>
            <w:pPr>
              <w:pStyle w:val="null10"/>
              <w:spacing w:lineRule="exact" w:line="200"/>
            </w:pPr>
            <w:r>
              <w:rPr>
                <w:rFonts w:ascii="方正黑体_GBK" w:hAnsi="方正黑体_GBK" w:cs="宋体" w:eastAsia="方正黑体_GBK"/>
                <w:sz w:val="18"/>
                <w:szCs w:val="18"/>
              </w:rPr>
              <w:t>B份额：NYXY001001</w:t>
            </w:r>
          </w:p>
          <w:p>
            <w:pPr>
              <w:pStyle w:val="null10"/>
              <w:spacing w:lineRule="exact" w:line="200"/>
            </w:pPr>
            <w:r>
              <w:rPr>
                <w:rFonts w:ascii="方正黑体_GBK" w:hAnsi="方正黑体_GBK" w:cs="宋体" w:eastAsia="方正黑体_GBK"/>
                <w:sz w:val="18"/>
                <w:szCs w:val="18"/>
              </w:rPr>
              <w:t>C份额：NYXY001002</w:t>
            </w:r>
          </w:p>
          <w:p>
            <w:pPr>
              <w:pStyle w:val="null10"/>
              <w:spacing w:lineRule="exact" w:line="200"/>
            </w:pPr>
            <w:r>
              <w:rPr>
                <w:rFonts w:ascii="方正黑体_GBK" w:hAnsi="方正黑体_GBK" w:cs="宋体" w:eastAsia="方正黑体_GBK"/>
                <w:sz w:val="18"/>
                <w:szCs w:val="18"/>
              </w:rPr>
              <w:t>E份额：NYXY001003</w:t>
            </w:r>
          </w:p>
          <w:p>
            <w:pPr>
              <w:pStyle w:val="null10"/>
              <w:spacing w:lineRule="exact" w:line="200"/>
            </w:pPr>
            <w:r>
              <w:rPr>
                <w:rFonts w:ascii="方正黑体_GBK" w:hAnsi="方正黑体_GBK" w:cs="宋体" w:eastAsia="方正黑体_GBK"/>
                <w:sz w:val="18"/>
                <w:szCs w:val="18"/>
              </w:rPr>
              <w:t>J份额：NYXY001004</w:t>
            </w:r>
          </w:p>
          <w:p>
            <w:pPr>
              <w:pStyle w:val="null10"/>
              <w:spacing w:lineRule="exact" w:line="200"/>
            </w:pPr>
            <w:r>
              <w:rPr>
                <w:rFonts w:ascii="方正黑体_GBK" w:hAnsi="方正黑体_GBK" w:cs="宋体" w:eastAsia="方正黑体_GBK"/>
                <w:sz w:val="18"/>
                <w:szCs w:val="18"/>
              </w:rPr>
              <w:t>K份额：NYXY001005</w:t>
            </w:r>
          </w:p>
          <w:p>
            <w:pPr>
              <w:pStyle w:val="null10"/>
              <w:spacing w:lineRule="exact" w:line="200"/>
            </w:pPr>
            <w:r>
              <w:rPr>
                <w:rFonts w:ascii="方正黑体_GBK" w:hAnsi="方正黑体_GBK" w:cs="宋体" w:eastAsia="方正黑体_GBK"/>
                <w:sz w:val="18"/>
                <w:szCs w:val="18"/>
              </w:rPr>
              <w:t>L份额：NYXY001006</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银理财有限责任公司、南京银行股份有限公司（除新客、新资金、代发及对公客户外的其他客户）、青岛银行股份有限公司（除私行客户外的其他客户）、江苏张家港农村商业银行股份有限公司、河北银行股份有限公司（除分行财富客户外的其他客户）、嘉兴银行股份有限公司、江苏常熟农村商业银行股份有限公司（1元起购）、江苏苏州农村商业银行股份有限公司、金华银行股份有限公司、江苏江南农村商业银行股份有限公司（除财富、代发薪客户和新资金客户外的其他客户）、苏州银行股份有限公司、蒙商银行股份有限公司（除财富客户外的其他客户）、广州农村商业银行股份有限公司、无锡农村商业银行股份有限公司、福建海峡银行股份有限公司、齐鲁银行股份有限公司（除白金/私行客户、财富客户外的其他客户）、北京银行股份有限公司、贵阳银行股份有限公司、天津农村商业银行股份有限公司(除企业拓展客户、个人新客和私钻客户外的其他客户)、山西银行股份有限公司、德州银行股份有限公司、云南红塔银行股份有限公司、海南银行股份有限公司、乌鲁木齐银行股份有限公司、上海农村商业银行股份有限公司、湖州银行股份有限公司（除代发客户外的其他客户）、宁波通商银行股份有限公司、石嘴山银行股份有限公司、无锡锡商银行股份有限公司、江苏丹阳农村商业银行股份有限公司、江苏宜兴农村商业银行股份有限公司、江苏响水农村商业银行股份有限公司（1元起购）、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淮安农村商业银行股份有限公司、江苏涟水农村商业银行股份有限公司、江苏镇江农村商业银行股份有限公司（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1元起购）、江苏仪征农村商业银行股份有限公司（1元起购）、江苏沭阳农村商业银行股份有限公司、连云港东方农村商业银行股份有限公司、江苏灌云农村商业银行股份有限公司、江苏昆山农村商业银行股份有限公司、朝阳银行股份有限公司。</w:t>
            </w:r>
          </w:p>
          <w:p>
            <w:pPr>
              <w:pStyle w:val="null10"/>
              <w:spacing w:lineRule="exact" w:line="200"/>
            </w:pPr>
            <w:r>
              <w:rPr>
                <w:rFonts w:ascii="方正黑体_GBK" w:hAnsi="方正黑体_GBK" w:cs="宋体" w:eastAsia="方正黑体_GBK"/>
                <w:sz w:val="18"/>
                <w:szCs w:val="18"/>
              </w:rPr>
              <w:t>B份额：南京银行股份有限公司(新客或新资金或代发客户)、江苏太仓农村商业银行股份有限公司、青岛银行股份有限公司(私行客户)、温州银行股份有限公司、河北银行股份有限公司(分行财富客户)、广州银行股份有限公司、江苏常熟农村商业银行股份有限公司（1万元起购）、江苏江南农村商业银行股份有限公司(财富客户)、长安银行股份有限公司、秦皇岛银行股份有限公司、齐鲁银行股份有限公司(白金/私行客户)、天津农村商业银行股份有限公司(企业拓展客户)、甘肃银行股份有限公司(除财富客户外的其他客户)、东营银行股份有限公司、桂林银行股份有限公司、永丰银行(中国)有限公司、江苏高淳农村商业银行股份有限公司、江苏新沂农村商业银行股份有限公司（1元起购）、江苏江都农村商业银行股份有限公司、江苏大丰农村商业银行股份有限公司、江苏镇江农村商业银行股份有限公司(20万元起购)、徐州农村商业银行股份有限公司(财富客户)、江苏紫金农村商业银行股份有限公司、江苏沛县农村商业银行股份有限公司、江苏仪征农村商业银行股份有限公司(20万元起购)、江苏海安农村商业银行股份有限公司、江苏泰州农村商业银行股份有限公司、湖州银行股份有限公司(代发工资客户)。</w:t>
            </w:r>
          </w:p>
          <w:p>
            <w:pPr>
              <w:pStyle w:val="null10"/>
              <w:spacing w:lineRule="exact" w:line="200"/>
            </w:pPr>
            <w:r>
              <w:rPr>
                <w:rFonts w:ascii="方正黑体_GBK" w:hAnsi="方正黑体_GBK" w:cs="宋体" w:eastAsia="方正黑体_GBK"/>
                <w:sz w:val="18"/>
                <w:szCs w:val="18"/>
              </w:rPr>
              <w:t>C份额：江苏江南农村商业银行股份有限公司(代发薪客户和新资金客户)、蒙商银行股份有限公司（财富客户）、郑州银行股份有限公司、泰安银行股份有限公司、齐鲁银行股份有限公司(财富客户)、哈密市商业银行股份有限公司、天津农村商业银行股份有限公司(个人新客)、甘肃银行股份有限公司(财富客户)、江苏泰兴农村商业银行股份有限公司、江苏响水农村商业银行股份有限公司(50万元起购)、江苏靖江农村商业银行股份有限公司、江苏新沂农村商业银行股份有限公司（30万元起购）、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 10万元起购)、江苏仪征农村商业银行股份有限公司( 50万元起购)。</w:t>
            </w:r>
          </w:p>
          <w:p>
            <w:pPr>
              <w:pStyle w:val="null10"/>
              <w:spacing w:lineRule="exact" w:line="200"/>
            </w:pPr>
            <w:r>
              <w:rPr>
                <w:rFonts w:ascii="方正黑体_GBK" w:hAnsi="方正黑体_GBK" w:cs="宋体" w:eastAsia="方正黑体_GBK"/>
                <w:sz w:val="18"/>
                <w:szCs w:val="18"/>
              </w:rPr>
              <w:t>E份额：南京银行股份有限公司（对公客户）。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L份额：天津农村商业银行股份有限公司(私钻客户)。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A份额/B份额/C份额/J份额/K份额/L份额：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机构投资者投资起点金额100万元人民币，以1元的整数倍递增；</w:t>
            </w:r>
          </w:p>
        </w:tc>
      </w:tr>
      <w:tr>
        <w:trPr>
          <w:trHeight w:val="358"/>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hAnsi="方正黑体_GBK" w:eastAsia="方正黑体_GBK"/>
                <w:kern w:val="0"/>
                <w:sz w:val="18"/>
                <w:szCs w:val="18"/>
              </w:rPr>
            </w:pPr>
            <w:bookmarkStart w:id="0" w:name="_GoBack"/>
            <w:bookmarkEnd w:id="0"/>
            <w:r>
              <w:rPr>
                <w:rFonts w:ascii="方正黑体_GBK" w:hint="eastAsia" w:hAnsi="方正黑体_GBK" w:eastAsia="方正黑体_GBK"/>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2026年06月17日 09:00—2026年06月23日 17:00</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2026年06月24日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2026年06月24日—实际到期日（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98天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2026年09月30日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b/>
                <w:color w:val="000000"/>
                <w:shd w:fill="FAFAFA" w:val="clear"/>
                <w:szCs w:val="18"/>
              </w:rPr>
              <w:t>注：非因管理人主观因素导致突破上述比例限制的，管理人将在流动性受限资产可出售、可转让或者恢复交易的15个交易日内将投资比例调整至符合说明书约定的范围。</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16.同业借款：资产类型为南银理财有限责任公司向持牌金融机构发放的同业借款，资产到期日不超过理财产品到期日，融资人为中国中信金融资产管理股份有限公司。</w:t>
            </w:r>
          </w:p>
          <w:p>
            <w:pPr>
              <w:pStyle w:val="null10"/>
              <w:spacing w:lineRule="exact" w:line="200"/>
            </w:pPr>
            <w:r>
              <w:rPr>
                <w:rFonts w:ascii="方正黑体_GBK" w:hAnsi="方正黑体_GBK" w:cs="宋体" w:eastAsia="方正黑体_GBK"/>
                <w:sz w:val="18"/>
                <w:szCs w:val="18"/>
              </w:rPr>
              <w:t>17.同业借款：资产类型为南银理财有限责任公司向持牌金融机构发放的同业借款，资产到期日不超过理财产品到期日，融资人为中国东方资产管理股份有限公司。</w:t>
            </w:r>
          </w:p>
          <w:p>
            <w:pPr>
              <w:pStyle w:val="null10"/>
              <w:spacing w:lineRule="exact" w:line="200"/>
            </w:pPr>
            <w:r>
              <w:rPr>
                <w:rFonts w:ascii="方正黑体_GBK" w:hAnsi="方正黑体_GBK" w:cs="宋体" w:eastAsia="方正黑体_GBK"/>
                <w:sz w:val="18"/>
                <w:szCs w:val="18"/>
              </w:rPr>
              <w:t>18.同业借款：资产类型为南银理财有限责任公司向持牌金融机构发放的同业借款，资产到期日不超过理财产品到期日，融资人为中国信达资产管理股份有限公司。</w:t>
            </w:r>
          </w:p>
          <w:p>
            <w:pPr>
              <w:pStyle w:val="null10"/>
              <w:spacing w:lineRule="exact" w:line="200"/>
            </w:pPr>
            <w:r>
              <w:rPr>
                <w:rFonts w:ascii="方正黑体_GBK" w:hAnsi="方正黑体_GBK" w:cs="宋体" w:eastAsia="方正黑体_GBK"/>
                <w:sz w:val="18"/>
                <w:szCs w:val="18"/>
              </w:rPr>
              <w:t>19.同业借款：资产类型为南银理财有限责任公司向持牌金融机构发放的同业借款，资产到期日不超过理财产品到期日，融资人为中国长城资产管理股份有限公司。</w:t>
            </w:r>
          </w:p>
          <w:p>
            <w:pPr>
              <w:pStyle w:val="null10"/>
              <w:spacing w:lineRule="exact" w:line="200"/>
              <w:jc w:val="left"/>
            </w:pPr>
            <w:r>
              <w:rPr>
                <w:rFonts w:ascii="方正黑体_GBK" w:hAnsi="方正黑体_GBK" w:cs="宋体" w:eastAsia="方正黑体_GBK"/>
                <w:sz w:val="18"/>
                <w:szCs w:val="18"/>
              </w:rPr>
              <w:t>20.  券商收益凭证：资产类型为证券公司发行的收益凭证，资产到期日不超过理财产品到期日，融资人为华宝证券股份有限公司，融资人评级为AA+（评级机构为联合资信评估股份有限公司）。</w:t>
            </w:r>
          </w:p>
          <w:p>
            <w:pPr>
              <w:pStyle w:val="null10"/>
              <w:spacing w:lineRule="exact" w:line="200"/>
              <w:jc w:val="left"/>
            </w:pPr>
            <w:r>
              <w:rPr>
                <w:rFonts w:ascii="方正黑体_GBK" w:hAnsi="方正黑体_GBK" w:cs="宋体" w:eastAsia="方正黑体_GBK"/>
                <w:sz w:val="18"/>
                <w:szCs w:val="18"/>
              </w:rPr>
              <w:t>21.  券商收益凭证：资产类型为证券公司发行的收益凭证，资产到期日不超过理财产品到期日，融资人为上海证券有限责任公司，融资人评级为AAA（评级机构为上海新世纪资信评估投资服务有限公司）。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22.  券商收益凭证：资产类型为证券公司发行的收益凭证，资产到期日不超过理财产品到期日，融资人为山西证券股份有限公司，融资人评级为AAA（评级机构为中诚信国际信用评级有限责任公司）。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23.  券商收益凭证：资产类型为证券公司发行的收益凭证，资产到期日不超过理财产品到期日，融资人为中银国际证券股份有限公司，融资人评级为AAA（评级机构为中诚信国际信用评级有限责任公司）。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24.  券商收益凭证：资产类型为证券公司发行的收益凭证，资产到期日不超过理财产品到期日，融资人为首创证券股份有限公司，融资人评级为AAA（评级机构为中诚信国际信用评级有限责任公司）。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25.  券商收益凭证：资产类型为证券公司发行的收益凭证，资产到期日不超过理财产品到期日，融资人为国泰海通证券股份有限公司，融资人评级为AAA（评级机构为上海新世纪资信评估投资服务有限公司）。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26.  券商收益凭证：资产类型为证券公司发行的收益凭证，资产到期日不超过理财产品到期日，融资人为中信证券股份有限公司，融资人评级为AAA（评级机构为中诚信国际信用评级有限责任公司）。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27.  券商收益凭证：资产类型为证券公司发行的收益凭证，资产到期日不超过理财产品到期日，融资人为华泰证券股份有限公司，融资人评级为AAA（评级机构为上海新世纪资信评估投资服务有限公司）。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28.  券商收益凭证：资产类型为证券公司发行的收益凭证，资产到期日不超过理财产品到期日，融资人为中信建投证券股份有限公司，融资人评级为AAA（评级机构为中诚信国际信用评级有限责任公司）。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29.  券商收益凭证：资产类型为证券公司发行的收益凭证，资产到期日不超过理财产品到期日，融资人为中国银河证券股份有限公司，融资人评级为AAA（评级机构为联合资信评估股份有限公司）。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30.  券商收益凭证：资产类型为证券公司发行的收益凭证，资产到期日不超过理财产品到期日，融资人为申万宏源证券有限公司，融资人评级为AAA（评级机构为联合资信评估股份有限公司）。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31.  券商收益凭证：资产类型为证券公司发行的收益凭证，资产到期日不超过理财产品到期日，融资人为中国国际金融股份有限公司，融资人评级为AAA（评级机构为中诚信国际信用评级有限责任公司）。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32.  券商收益凭证：资产类型为证券公司发行的收益凭证，资产到期日不超过理财产品到期日，融资人为招商证券股份有限公司，融资人评级为AAA（评级机构为联合资信评估股份有限公司）。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33.  券商收益凭证：资产类型为证券公司发行的收益凭证，资产到期日不超过理财产品到期日，融资人为平安证券股份有限公司，融资人评级为AAA（评级机构为中诚信国际信用评级有限责任公司）。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34.  券商收益凭证：资产类型为证券公司发行的收益凭证，资产到期日不超过理财产品到期日，融资人为广发证券股份有限公司，融资人评级为AAA（评级机构为中诚信国际信用评级有限责任公司）。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35.  券商收益凭证：资产类型为证券公司发行的收益凭证，资产到期日不超过理财产品到期日，融资人为国信证券股份有限公司，融资人评级为AAA（评级机构为中诚信国际信用评级有限责任公司）。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36.  券商收益凭证：资产类型为证券公司发行的收益凭证，资产到期日不超过理财产品到期日，融资人为兴业证券股份有限公司，融资人评级为AAA（评级机构为联合资信评估股份有限公司）。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37.  券商收益凭证：资产类型为证券公司发行的收益凭证，资产到期日不超过理财产品到期日，融资人为光大证券股份有限公司，融资人评级为AAA（评级机构为联合资信评估股份有限公司）。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38.  券商收益凭证：资产类型为证券公司发行的收益凭证，资产到期日不超过理财产品到期日，融资人为华鑫证券有限责任公司，融资人评级为AA+（评级机构为上海新世纪资信评估投资服务有限公司）。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39.  券商收益凭证：资产类型为证券公司发行的收益凭证，资产到期日不超过理财产品到期日，融资人为财通证券股份有限公司，融资人评级为AAA（评级机构为中诚信国际信用评级有限责任公司）。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40.  券商收益凭证：资产类型为证券公司发行的收益凭证，资产到期日不超过理财产品到期日，融资人为长江证券股份有限公司，融资人评级为AAA（评级机构为联合资信评估股份有限公司）。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41.  券商收益凭证：资产类型为证券公司发行的收益凭证，资产到期日不超过理财产品到期日，融资人为国金证券股份有限公司，融资人评级为AAA（评级机构为上海新世纪资信评估投资服务有限公司）。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42.  券商收益凭证：资产类型为证券公司发行的收益凭证，资产到期日不超过理财产品到期日，融资人为东方证券股份有限公司，融资人评级为AAA（评级机构为中诚信国际信用评级有限责任公司）。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43.  券商收益凭证：资产类型为证券公司发行的收益凭证，资产到期日不超过理财产品到期日，融资人为国投证券股份有限公司，融资人评级为AAA（评级机构为联合资信评估股份有限公司）。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因产品实际募集规模和融资人资金需求存在不确定性，产品管理人将选择上述一笔或者多笔作为本理财产品投资的非标准化债权类资产，并在本理财产品的定期报告中进行信息披露。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A份额：业绩比较基准为1.73%(年化)。</w:t>
            </w:r>
          </w:p>
          <w:p>
            <w:pPr>
              <w:pStyle w:val="null10"/>
              <w:spacing w:lineRule="exact" w:line="200"/>
            </w:pPr>
            <w:r>
              <w:rPr>
                <w:rFonts w:ascii="方正黑体_GBK" w:hAnsi="方正黑体_GBK" w:cs="宋体" w:eastAsia="方正黑体_GBK"/>
                <w:sz w:val="18"/>
                <w:szCs w:val="18"/>
              </w:rPr>
              <w:t>B份额：业绩比较基准为1.83%(年化)。</w:t>
            </w:r>
          </w:p>
          <w:p>
            <w:pPr>
              <w:pStyle w:val="null10"/>
              <w:spacing w:lineRule="exact" w:line="200"/>
            </w:pPr>
            <w:r>
              <w:rPr>
                <w:rFonts w:ascii="方正黑体_GBK" w:hAnsi="方正黑体_GBK" w:cs="宋体" w:eastAsia="方正黑体_GBK"/>
                <w:sz w:val="18"/>
                <w:szCs w:val="18"/>
              </w:rPr>
              <w:t>C份额：业绩比较基准为1.93%(年化)。</w:t>
            </w:r>
          </w:p>
          <w:p>
            <w:pPr>
              <w:pStyle w:val="null10"/>
              <w:spacing w:lineRule="exact" w:line="200"/>
            </w:pPr>
            <w:r>
              <w:rPr>
                <w:rFonts w:ascii="方正黑体_GBK" w:hAnsi="方正黑体_GBK" w:cs="宋体" w:eastAsia="方正黑体_GBK"/>
                <w:sz w:val="18"/>
                <w:szCs w:val="18"/>
              </w:rPr>
              <w:t>E份额：业绩比较基准为1.88%(年化)。</w:t>
            </w:r>
          </w:p>
          <w:p>
            <w:pPr>
              <w:pStyle w:val="null10"/>
              <w:spacing w:lineRule="exact" w:line="200"/>
            </w:pPr>
            <w:r>
              <w:rPr>
                <w:rFonts w:ascii="方正黑体_GBK" w:hAnsi="方正黑体_GBK" w:cs="宋体" w:eastAsia="方正黑体_GBK"/>
                <w:sz w:val="18"/>
                <w:szCs w:val="18"/>
              </w:rPr>
              <w:t>J份额：业绩比较基准为1.73%(年化)。</w:t>
            </w:r>
          </w:p>
          <w:p>
            <w:pPr>
              <w:pStyle w:val="null10"/>
              <w:spacing w:lineRule="exact" w:line="200"/>
            </w:pPr>
            <w:r>
              <w:rPr>
                <w:rFonts w:ascii="方正黑体_GBK" w:hAnsi="方正黑体_GBK" w:cs="宋体" w:eastAsia="方正黑体_GBK"/>
                <w:sz w:val="18"/>
                <w:szCs w:val="18"/>
              </w:rPr>
              <w:t>K份额：业绩比较基准为1.98%(年化)。</w:t>
            </w:r>
          </w:p>
          <w:p>
            <w:pPr>
              <w:pStyle w:val="null10"/>
              <w:spacing w:lineRule="exact" w:line="200"/>
            </w:pPr>
            <w:r>
              <w:rPr>
                <w:rFonts w:ascii="方正黑体_GBK" w:hAnsi="方正黑体_GBK" w:cs="宋体" w:eastAsia="方正黑体_GBK"/>
                <w:sz w:val="18"/>
                <w:szCs w:val="18"/>
              </w:rPr>
              <w:t>L份额：业绩比较基准为1.98%(年化)。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E份额：销售费年化0.1%</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K份额：销售费年化0.05%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A份额：固定管理费年化0.15%</w:t>
            </w:r>
          </w:p>
          <w:p>
            <w:pPr>
              <w:pStyle w:val="null10"/>
              <w:spacing w:lineRule="exact" w:line="200"/>
            </w:pPr>
            <w:r>
              <w:rPr>
                <w:rFonts w:ascii="方正黑体_GBK" w:hAnsi="方正黑体_GBK" w:cs="宋体" w:eastAsia="方正黑体_GBK"/>
                <w:sz w:val="18"/>
                <w:b/>
                <w:szCs w:val="18"/>
              </w:rPr>
              <w:t>B份额：固定管理费年化0.1%</w:t>
            </w:r>
          </w:p>
          <w:p>
            <w:pPr>
              <w:pStyle w:val="null10"/>
              <w:spacing w:lineRule="exact" w:line="200"/>
            </w:pPr>
            <w:r>
              <w:rPr>
                <w:rFonts w:ascii="方正黑体_GBK" w:hAnsi="方正黑体_GBK" w:cs="宋体" w:eastAsia="方正黑体_GBK"/>
                <w:sz w:val="18"/>
                <w:b/>
                <w:szCs w:val="18"/>
              </w:rPr>
              <w:t>C份额：固定管理费年化0.1%</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J份额：固定管理费年化0.15%</w:t>
            </w:r>
          </w:p>
          <w:p>
            <w:pPr>
              <w:pStyle w:val="null10"/>
              <w:spacing w:lineRule="exact" w:line="200"/>
            </w:pPr>
            <w:r>
              <w:rPr>
                <w:rFonts w:ascii="方正黑体_GBK" w:hAnsi="方正黑体_GBK" w:cs="宋体" w:eastAsia="方正黑体_GBK"/>
                <w:sz w:val="18"/>
                <w:b/>
                <w:szCs w:val="18"/>
              </w:rPr>
              <w:t>K份额：固定管理费年化0.05%</w:t>
            </w:r>
          </w:p>
          <w:p>
            <w:pPr>
              <w:pStyle w:val="null10"/>
              <w:spacing w:lineRule="exact" w:line="200"/>
            </w:pPr>
            <w:r>
              <w:rPr>
                <w:rFonts w:ascii="方正黑体_GBK" w:hAnsi="方正黑体_GBK" w:cs="宋体" w:eastAsia="方正黑体_GBK"/>
                <w:sz w:val="18"/>
                <w:b/>
                <w:szCs w:val="18"/>
              </w:rPr>
              <w:t>L份额：固定管理费年化0.05%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A份额：到期兑付时，当期产品投资的实际资产组合收益（扣除销售费、固定管理费、托管费等相关费用）超过1.73%（年化，即产品该份额对应的业绩报酬计提基准）时，超过部分管理人将按60%收取业绩报酬。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B份额：到期兑付时，当期产品投资的实际资产组合收益（扣除销售费、固定管理费、托管费等相关费用）超过1.83%（年化，即产品该份额对应的业绩报酬计提基准）时，超过部分管理人将按60%收取业绩报酬。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C份额：到期兑付时，当期产品投资的实际资产组合收益（扣除销售费、固定管理费、托管费等相关费用）超过1.93%（年化，即产品该份额对应的业绩报酬计提基准）时，超过部分管理人将按60%收取业绩报酬。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E份额：到期兑付时，当期产品投资的实际资产组合收益（扣除销售费、固定管理费、托管费等相关费用）超过1.88%（年化，即产品该份额对应的业绩报酬计提基准）时，超过部分管理人将按60%收取业绩报酬。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J份额：到期兑付时，当期产品投资的实际资产组合收益（扣除销售费、固定管理费、托管费等相关费用）超过1.73%（年化，即产品该份额对应的业绩报酬计提基准）时，超过部分管理人将按60%收取业绩报酬。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K份额：到期兑付时，当期产品投资的实际资产组合收益（扣除销售费、固定管理费、托管费等相关费用）超过1.98%（年化，即产品该份额对应的业绩报酬计提基准）时，超过部分管理人将按60%收取业绩报酬。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L份额：到期兑付时，当期产品投资的实际资产组合收益（扣除销售费、固定管理费、托管费等相关费用）超过1.98%（年化，即产品该份额对应的业绩报酬计提基准）时，超过部分管理人将按60%收取业绩报酬。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哈密市商业银行股份有限公司、江苏赣榆农村商业银行股份有限公司、江苏盱眙农村商业银行股份有限公司、东营银行股份有限公司、江苏沛县农村商业银行股份有限公司、甘肃银行股份有限公司、江苏仪征农村商业银行股份有限公司、金华银行股份有限公司、昆山鹿城村镇银行股份有限公司、吉林银行股份有限公司、连云港东方农村商业银行股份有限公司、德州银行股份有限公司、上海农村商业银行股份有限公司、长安银行股份有限公司、江苏沭阳农村商业银行股份有限公司、永丰银行（中国）有限公司、湖州银行股份有限公司、江苏灌云农村商业银行股份有限公司、江苏海安农村商业银行股份有限公司、江苏昆山农村商业银行股份有限公司、广州农村商业银行股份有限公司、江苏泰州农村商业银行股份有限公司、朝阳银行股份有限公司。</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云南国际信托有限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云南国际信托有限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国寿投资保险资产管理有限公司成立于1994年06月01日，注册资本金 370000万元。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f45c2283"/>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2210dd0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2210dd0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2210dd0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2210dd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2210dd01"/>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2210dd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2210dd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2210dd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2210dd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2210dd0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2210dd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2210dd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2210dd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2210dd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2210dd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2210dd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2210dd0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2210dd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2210dd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2210dd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2210dd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2210dd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2210dd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2210dd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2210dd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2210dd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2210dd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2210dd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2210dd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2210dd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2210dd0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2210dd01"/>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南银理财珠联璧合鑫逸稳三个月139期封闭式公募人民币理财产品</w:t>
      </w:r>
      <w:r>
        <w:rPr>
          <w:rFonts w:ascii="方正黑体_GBK" w:eastAsia="方正黑体_GBK" w:hint="eastAsia" w:hAnsi="方正黑体_GBK"/>
          <w:vanish w:val="0"/>
          <w:color w:val="3D3D3D"/>
          <w:kern w:val="0"/>
          <w:sz w:val="15"/>
          <w:szCs w:val="15"/>
        </w:rPr>
        <w:t>。</w:t>
      </w:r>
    </w:p>
    <w:p>
      <w:pPr>
        <w:pStyle w:val="2210dd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2210dd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2210dd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2210dd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2210dd01"/>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2210dd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2210dd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2210dd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2210dd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2210dd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2210dd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2210dd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2210dd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2210dd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2210dd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2210dd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2210dd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2210dd0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2210dd01"/>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4129355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4129355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4129355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4129355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4129355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4129355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2210dd01"/>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2210dd01"/>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2210dd01"/>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f45c228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f45c228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4129355d"/>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f45c2283"/>
        <w:keepNext w:val="0"/>
        <w:keepLines w:val="0"/>
        <w:pageBreakBefore w:val="0"/>
        <w:widowControl/>
        <w:suppressLineNumbers w:val="0"/>
        <w:suppressAutoHyphens w:val="0"/>
        <w:spacing w:line="200" w:lineRule="exact"/>
        <w:ind w:firstLineChars="200" w:firstLine="300"/>
        <w:rPr>
          <w:rStyle w:val="4129355d"/>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f45c228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f45c228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f45c2283"/>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f45c2283"/>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null10"/>
        <w:spacing w:lineRule="exact" w:line="200"/>
        <w:ind w:firstLine="300"/>
      </w:pPr>
      <w:r>
        <w:rPr>
          <w:rFonts w:ascii="方正黑体_GBK" w:hAnsi="方正黑体_GBK" w:cs="宋体" w:eastAsia="方正黑体_GBK"/>
          <w:sz w:val="15"/>
          <w:color w:val="3D3D3D"/>
          <w:szCs w:val="20"/>
        </w:rPr>
        <w:t>1.净值信息</w:t>
      </w:r>
    </w:p>
    <w:p>
      <w:pPr>
        <w:pStyle w:val="null10"/>
        <w:spacing w:lineRule="exact" w:line="200"/>
        <w:ind w:firstLine="300"/>
      </w:pPr>
      <w:r>
        <w:rPr>
          <w:rFonts w:ascii="方正黑体_GBK" w:hAnsi="方正黑体_GBK" w:cs="宋体" w:eastAsia="方正黑体_GBK"/>
          <w:sz w:val="15"/>
          <w:color w:val="3D3D3D"/>
          <w:szCs w:val="20"/>
        </w:rPr>
        <w:t>管理人在本理财产品存续期间至少</w:t>
      </w:r>
      <w:r>
        <w:rPr>
          <w:rFonts w:ascii="方正黑体_GBK" w:hAnsi="方正黑体_GBK" w:cs="宋体" w:eastAsia="方正黑体_GBK"/>
          <w:sz w:val="15"/>
          <w:color w:val="3D3D3D"/>
          <w:shd w:fill="FFFFFF" w:val="clear"/>
          <w:szCs w:val="20"/>
        </w:rPr>
        <w:t>按周</w:t>
      </w:r>
      <w:r>
        <w:rPr>
          <w:rFonts w:ascii="方正黑体_GBK" w:hAnsi="方正黑体_GBK" w:cs="宋体" w:eastAsia="方正黑体_GBK"/>
          <w:sz w:val="15"/>
          <w:color w:val="3D3D3D"/>
          <w:szCs w:val="20"/>
        </w:rPr>
        <w:t>向投资者披露净值。</w:t>
      </w:r>
    </w:p>
    <w:p>
      <w:pPr>
        <w:pStyle w:val="null10"/>
        <w:spacing w:lineRule="exact" w:line="200"/>
        <w:ind w:firstLine="300"/>
      </w:pPr>
      <w:r>
        <w:rPr>
          <w:rFonts w:ascii="方正黑体_GBK" w:hAnsi="方正黑体_GBK" w:cs="宋体" w:eastAsia="方正黑体_GBK"/>
          <w:sz w:val="15"/>
          <w:color w:val="3D3D3D"/>
          <w:szCs w:val="20"/>
        </w:rPr>
        <w:t>2.产品发行公告</w:t>
      </w:r>
    </w:p>
    <w:p>
      <w:pPr>
        <w:pStyle w:val="null10"/>
        <w:spacing w:lineRule="exact" w:line="200"/>
        <w:ind w:firstLine="300"/>
      </w:pPr>
      <w:r>
        <w:rPr>
          <w:rFonts w:ascii="方正黑体_GBK" w:hAnsi="方正黑体_GBK" w:cs="宋体" w:eastAsia="方正黑体_GBK"/>
          <w:sz w:val="15"/>
          <w:color w:val="3D3D3D"/>
          <w:szCs w:val="20"/>
        </w:rPr>
        <w:t>管理人将在本理财产品成立后5个工作日内披露产品发行公告。</w:t>
      </w:r>
    </w:p>
    <w:p>
      <w:pPr>
        <w:pStyle w:val="null10"/>
        <w:spacing w:lineRule="exact" w:line="200"/>
        <w:ind w:firstLine="300"/>
      </w:pPr>
      <w:r>
        <w:rPr>
          <w:rFonts w:ascii="方正黑体_GBK" w:hAnsi="方正黑体_GBK" w:cs="宋体" w:eastAsia="方正黑体_GBK"/>
          <w:sz w:val="15"/>
          <w:color w:val="3D3D3D"/>
          <w:szCs w:val="20"/>
        </w:rPr>
        <w:t>3.定期报告</w:t>
      </w:r>
    </w:p>
    <w:p>
      <w:pPr>
        <w:pStyle w:val="null10"/>
        <w:spacing w:lineRule="exact" w:line="200"/>
        <w:ind w:firstLine="300"/>
      </w:pPr>
      <w:r>
        <w:rPr>
          <w:rFonts w:ascii="方正黑体_GBK" w:hAnsi="方正黑体_GBK" w:cs="宋体" w:eastAsia="方正黑体_GBK"/>
          <w:sz w:val="15"/>
          <w:color w:val="3D3D3D"/>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pPr>
        <w:pStyle w:val="null10"/>
        <w:spacing w:lineRule="exact" w:line="200"/>
        <w:ind w:firstLine="300"/>
      </w:pPr>
      <w:r>
        <w:rPr>
          <w:rFonts w:ascii="方正黑体_GBK" w:hAnsi="方正黑体_GBK" w:cs="宋体" w:eastAsia="方正黑体_GBK"/>
          <w:sz w:val="15"/>
          <w:color w:val="3D3D3D"/>
          <w:szCs w:val="20"/>
        </w:rPr>
        <w:t>4.到期公告</w:t>
      </w:r>
    </w:p>
    <w:p>
      <w:pPr>
        <w:pStyle w:val="null10"/>
        <w:spacing w:lineRule="exact" w:line="200"/>
        <w:ind w:firstLine="300"/>
      </w:pPr>
      <w:r>
        <w:rPr>
          <w:rFonts w:ascii="方正黑体_GBK" w:hAnsi="方正黑体_GBK" w:cs="宋体" w:eastAsia="方正黑体_GBK"/>
          <w:sz w:val="15"/>
          <w:color w:val="3D3D3D"/>
          <w:szCs w:val="20"/>
        </w:rPr>
        <w:t>管理人将在本理财产品终止后5个工作日内披露产品到期公告。</w:t>
      </w:r>
    </w:p>
    <w:p>
      <w:pPr>
        <w:pStyle w:val="null10"/>
        <w:spacing w:lineRule="exact" w:line="200"/>
        <w:ind w:firstLine="300"/>
      </w:pPr>
      <w:r>
        <w:rPr>
          <w:rFonts w:ascii="方正黑体_GBK" w:hAnsi="方正黑体_GBK" w:cs="宋体" w:eastAsia="方正黑体_GBK"/>
          <w:sz w:val="15"/>
          <w:color w:val="3D3D3D"/>
          <w:szCs w:val="20"/>
        </w:rPr>
        <w:t>5.重大事项公告</w:t>
      </w:r>
    </w:p>
    <w:p>
      <w:pPr>
        <w:pStyle w:val="null10"/>
        <w:spacing w:lineRule="exact" w:line="200"/>
        <w:ind w:firstLine="300"/>
      </w:pPr>
      <w:r>
        <w:rPr>
          <w:rFonts w:ascii="方正黑体_GBK" w:hAnsi="方正黑体_GBK" w:cs="宋体" w:eastAsia="方正黑体_GBK"/>
          <w:sz w:val="15"/>
          <w:color w:val="3D3D3D"/>
          <w:szCs w:val="20"/>
        </w:rPr>
        <w:t>管理人将在发生可能对本理财产品投资者或者理财产品收益产生重大影响的事件后2个工作日内披露重大事项公告。</w:t>
      </w:r>
    </w:p>
    <w:p>
      <w:pPr>
        <w:pStyle w:val="null10"/>
        <w:spacing w:lineRule="exact" w:line="200"/>
        <w:ind w:firstLine="300"/>
      </w:pPr>
      <w:r>
        <w:rPr>
          <w:rFonts w:ascii="方正黑体_GBK" w:hAnsi="方正黑体_GBK" w:cs="宋体" w:eastAsia="方正黑体_GBK"/>
          <w:sz w:val="15"/>
          <w:color w:val="3D3D3D"/>
          <w:szCs w:val="20"/>
        </w:rPr>
        <w:t>6.临时公告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理财产品在运作管理过程中，发生可能对理财产品持有人权益产生影响的事项时，管理人将根据法律法规规定及时进行临时信息披露。</w:t>
      </w:r>
    </w:p>
    <w:p>
      <w:pPr>
        <w:pStyle w:val="null10"/>
        <w:spacing w:lineRule="exact" w:line="200"/>
        <w:ind w:firstLine="300"/>
      </w:pPr>
      <w:r>
        <w:rPr>
          <w:rFonts w:ascii="方正黑体_GBK" w:hAnsi="方正黑体_GBK" w:cs="宋体" w:eastAsia="方正黑体_GBK"/>
          <w:sz w:val="15"/>
          <w:color w:val="3D3D3D"/>
          <w:szCs w:val="20"/>
        </w:rPr>
        <w:t>7.关联交易信息披露</w:t>
      </w:r>
    </w:p>
    <w:p>
      <w:pPr>
        <w:pStyle w:val="null10"/>
        <w:spacing w:lineRule="exact" w:line="200"/>
        <w:ind w:firstLine="300"/>
      </w:pPr>
      <w:r>
        <w:rPr>
          <w:rFonts w:ascii="方正黑体_GBK" w:hAnsi="方正黑体_GBK" w:cs="宋体" w:eastAsia="方正黑体_GBK"/>
          <w:sz w:val="15"/>
          <w:color w:val="3D3D3D"/>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pPr>
        <w:pStyle w:val="null10"/>
        <w:spacing w:lineRule="exact" w:line="200"/>
        <w:ind w:firstLine="300"/>
      </w:pPr>
      <w:r>
        <w:rPr>
          <w:rFonts w:ascii="方正黑体_GBK" w:hAnsi="方正黑体_GBK" w:cs="宋体" w:eastAsia="方正黑体_GBK"/>
          <w:sz w:val="15"/>
          <w:color w:val="3D3D3D"/>
          <w:szCs w:val="20"/>
        </w:rPr>
        <w:t>8.账单</w:t>
      </w:r>
    </w:p>
    <w:p>
      <w:pPr>
        <w:pStyle w:val="null10"/>
        <w:spacing w:lineRule="exact" w:line="200"/>
        <w:ind w:firstLine="300"/>
      </w:pPr>
      <w:r>
        <w:rPr>
          <w:rFonts w:ascii="方正黑体_GBK" w:hAnsi="方正黑体_GBK" w:cs="宋体" w:eastAsia="方正黑体_GBK"/>
          <w:sz w:val="15"/>
          <w:color w:val="3D3D3D"/>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pPr>
        <w:pStyle w:val="null10"/>
        <w:spacing w:lineRule="exact" w:line="200"/>
        <w:ind w:firstLine="301"/>
      </w:pPr>
      <w:r>
        <w:rPr>
          <w:rFonts w:ascii="方正黑体_GBK" w:hAnsi="方正黑体_GBK" w:cs="宋体" w:eastAsia="方正黑体_GBK"/>
          <w:sz w:val="15"/>
          <w:b/>
          <w:szCs w:val="20"/>
        </w:rPr>
        <w:t>9.在本理财产品存续期内：</w:t>
      </w:r>
    </w:p>
    <w:p>
      <w:pPr>
        <w:pStyle w:val="null10"/>
        <w:spacing w:lineRule="exact" w:line="200"/>
        <w:ind w:firstLine="301"/>
      </w:pPr>
      <w:r>
        <w:rPr>
          <w:rFonts w:ascii="方正黑体_GBK" w:hAnsi="方正黑体_GBK" w:cs="宋体" w:eastAsia="方正黑体_GBK"/>
          <w:sz w:val="15"/>
          <w:b/>
          <w:szCs w:val="20"/>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null10"/>
        <w:spacing w:lineRule="exact" w:line="200"/>
        <w:ind w:firstLine="300"/>
      </w:pPr>
      <w:r>
        <w:rPr>
          <w:rFonts w:ascii="方正黑体_GBK" w:hAnsi="方正黑体_GBK" w:cs="宋体" w:eastAsia="方正黑体_GBK"/>
          <w:sz w:val="15"/>
          <w:color w:val="3D3D3D"/>
          <w:szCs w:val="20"/>
        </w:rPr>
        <w:t>10.其他公告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理财产品在运作管理过程中，管理人根据实际运作情况发布的其他公告。</w:t>
      </w:r>
    </w:p>
    <w:p>
      <w:pPr>
        <w:pStyle w:val="null10"/>
        <w:spacing w:lineRule="exact" w:line="200"/>
        <w:ind w:firstLine="300"/>
      </w:pPr>
      <w:r>
        <w:rPr>
          <w:rFonts w:ascii="方正黑体_GBK" w:hAnsi="方正黑体_GBK" w:eastAsia="方正黑体_GBK"/>
        </w:rPr>
      </w:r>
    </w:p>
    <w:p>
      <w:pPr>
        <w:pStyle w:val="f45c228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f45c228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f45c228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f45c2283"/>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f45c228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f45c2283"/>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f45c228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f45c228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f45c228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f45c228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f45c228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f45c228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f45c2283"/>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num w:numId="1">
    <w:abstractNumId w:val="2"/>
  </w:num>
  <w:num w:numId="2">
    <w:abstractNumId w:val="1"/>
  </w:num>
  <w:num w:numId="3">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eb8d78c9">
    <w:name w:val="Normaleb8d78c9"/>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2437191c">
    <w:name w:val="heading 12437191c"/>
    <w:basedOn w:val="eb8d78c9"/>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ca37f094">
    <w:name w:val="heading 2ca37f094"/>
    <w:basedOn w:val="eb8d78c9"/>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2604b9bf">
    <w:name w:val="heading 32604b9bf"/>
    <w:basedOn w:val="eb8d78c9"/>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8c4d4d7f">
    <w:name w:val="Default Paragraph Font8c4d4d7f"/>
  </w:style>
  <w:style xmlns:r="http://schemas.openxmlformats.org/officeDocument/2006/relationships" w:type="paragraph" w:styleId="676fbe70">
    <w:name w:val="toc 1676fbe70"/>
    <w:basedOn w:val="eb8d78c9"/>
    <w:autoRedefine/>
    <w:next w:val="0"/>
  </w:style>
  <w:style xmlns:r="http://schemas.openxmlformats.org/officeDocument/2006/relationships" w:type="paragraph" w:styleId="160b9221">
    <w:name w:val="toc 2160b9221"/>
    <w:basedOn w:val="eb8d78c9"/>
    <w:autoRedefine/>
    <w:next w:val="0"/>
    <w:pPr>
      <w:ind w:left="420"/>
    </w:pPr>
  </w:style>
  <w:style xmlns:r="http://schemas.openxmlformats.org/officeDocument/2006/relationships" w:type="paragraph" w:styleId="ef005e7b">
    <w:name w:val="toc 3ef005e7b"/>
    <w:basedOn w:val="eb8d78c9"/>
    <w:autoRedefine/>
    <w:next w:val="0"/>
    <w:pPr>
      <w:ind w:left="840"/>
    </w:pPr>
  </w:style>
  <w:style xmlns:r="http://schemas.openxmlformats.org/officeDocument/2006/relationships" w:type="paragraph" w:styleId="4dc60a41">
    <w:name w:val="toc 44dc60a41"/>
    <w:basedOn w:val="eb8d78c9"/>
    <w:autoRedefine/>
    <w:next w:val="0"/>
    <w:pPr>
      <w:ind w:left="1260"/>
    </w:pPr>
  </w:style>
  <w:style xmlns:r="http://schemas.openxmlformats.org/officeDocument/2006/relationships" w:type="paragraph" w:styleId="de71117a">
    <w:name w:val="toc 5de71117a"/>
    <w:basedOn w:val="eb8d78c9"/>
    <w:autoRedefine/>
    <w:next w:val="0"/>
    <w:pPr>
      <w:ind w:left="1680"/>
    </w:pPr>
  </w:style>
  <w:style xmlns:r="http://schemas.openxmlformats.org/officeDocument/2006/relationships" w:type="paragraph" w:styleId="4ffcd487">
    <w:name w:val="header4ffcd487"/>
    <w:basedOn w:val="eb8d78c9"/>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b5c528b5">
    <w:name w:val="footerb5c528b5"/>
    <w:basedOn w:val="eb8d78c9"/>
    <w:pPr>
      <w:tabs>
        <w:tab w:val="center" w:pos="4153"/>
        <w:tab w:val="right" w:pos="8307"/>
      </w:tabs>
      <w:adjustRightInd/>
      <w:snapToGrid w:val="0"/>
      <w:contextualSpacing w:val="0"/>
      <w:jc w:val="left"/>
    </w:pPr>
    <w:rPr>
      <w:sz w:val="18"/>
    </w:rPr>
  </w:style>
  <w:style xmlns:r="http://schemas.openxmlformats.org/officeDocument/2006/relationships" w:type="character" w:styleId="a98c73e7">
    <w:name w:val="Stronga98c73e7"/>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f45c2283">
    <w:name w:val="Normalf45c228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8f44c598">
    <w:name w:val="heading 18f44c598"/>
    <w:basedOn w:val="f45c2283"/>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51ab5ce8">
    <w:name w:val="heading 251ab5ce8"/>
    <w:basedOn w:val="f45c2283"/>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d65d7cb7">
    <w:name w:val="heading 3d65d7cb7"/>
    <w:basedOn w:val="f45c2283"/>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ec9fe8c6">
    <w:name w:val="Default Paragraph Fontec9fe8c6"/>
  </w:style>
  <w:style xmlns:r="http://schemas.openxmlformats.org/officeDocument/2006/relationships" w:type="paragraph" w:styleId="0ec73176">
    <w:name w:val="Normal Indent0ec73176"/>
    <w:basedOn w:val="f45c2283"/>
    <w:pPr>
      <w:ind w:firstLineChars="200" w:firstLine="200"/>
    </w:pPr>
  </w:style>
  <w:style xmlns:r="http://schemas.openxmlformats.org/officeDocument/2006/relationships" w:type="paragraph" w:styleId="79d75cba">
    <w:name w:val="toc 579d75cba"/>
    <w:basedOn w:val="f45c2283"/>
    <w:next w:val="0"/>
    <w:pPr>
      <w:ind w:left="1680"/>
    </w:pPr>
  </w:style>
  <w:style xmlns:r="http://schemas.openxmlformats.org/officeDocument/2006/relationships" w:type="paragraph" w:styleId="3c20c626">
    <w:name w:val="toc 33c20c626"/>
    <w:basedOn w:val="f45c2283"/>
    <w:next w:val="0"/>
    <w:pPr>
      <w:ind w:left="840"/>
    </w:pPr>
  </w:style>
  <w:style xmlns:r="http://schemas.openxmlformats.org/officeDocument/2006/relationships" w:type="paragraph" w:styleId="c30f39af">
    <w:name w:val="footerc30f39af"/>
    <w:basedOn w:val="f45c2283"/>
    <w:pPr>
      <w:tabs>
        <w:tab w:val="center" w:pos="4153"/>
        <w:tab w:val="right" w:pos="8307"/>
      </w:tabs>
      <w:adjustRightInd/>
      <w:snapToGrid w:val="0"/>
      <w:contextualSpacing w:val="0"/>
      <w:jc w:val="left"/>
    </w:pPr>
    <w:rPr>
      <w:sz w:val="18"/>
    </w:rPr>
  </w:style>
  <w:style xmlns:r="http://schemas.openxmlformats.org/officeDocument/2006/relationships" w:type="paragraph" w:styleId="57686fc1">
    <w:name w:val="header57686fc1"/>
    <w:basedOn w:val="f45c2283"/>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d05f931e">
    <w:name w:val="toc 1d05f931e"/>
    <w:basedOn w:val="f45c2283"/>
    <w:next w:val="0"/>
  </w:style>
  <w:style xmlns:r="http://schemas.openxmlformats.org/officeDocument/2006/relationships" w:type="paragraph" w:styleId="0bf06830">
    <w:name w:val="toc 40bf06830"/>
    <w:basedOn w:val="f45c2283"/>
    <w:next w:val="0"/>
    <w:pPr>
      <w:ind w:left="1260"/>
    </w:pPr>
  </w:style>
  <w:style xmlns:r="http://schemas.openxmlformats.org/officeDocument/2006/relationships" w:type="paragraph" w:styleId="d8730be0">
    <w:name w:val="toc 2d8730be0"/>
    <w:basedOn w:val="f45c2283"/>
    <w:next w:val="0"/>
    <w:pPr>
      <w:ind w:left="420"/>
    </w:pPr>
  </w:style>
  <w:style xmlns:r="http://schemas.openxmlformats.org/officeDocument/2006/relationships" w:type="paragraph" w:styleId="0ef4ab01">
    <w:name w:val="Normal (Web)0ef4ab01"/>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2210dd01">
    <w:name w:val="Normal2210dd012210dd01"/>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1d0b27d7">
    <w:name w:val="heading 11d0b27d71d0b27d7"/>
    <w:basedOn w:val="2210dd01"/>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b95d26f9">
    <w:name w:val="heading 2b95d26f9b95d26f9"/>
    <w:basedOn w:val="2210dd01"/>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9e55efd">
    <w:name w:val="heading 339e55efd39e55efd"/>
    <w:basedOn w:val="2210dd01"/>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cc74e41f">
    <w:name w:val="Default Paragraph Fontcc74e41fcc74e41f"/>
  </w:style>
  <w:style xmlns:r="http://schemas.openxmlformats.org/officeDocument/2006/relationships" w:type="paragraph" w:customStyle="1" w:styleId="294b3727">
    <w:name w:val="引文目录1294b3727294b3727"/>
    <w:basedOn w:val="2210dd01"/>
    <w:next w:val="0"/>
    <w:pPr>
      <w:ind w:leftChars="200" w:left="200"/>
    </w:pPr>
  </w:style>
  <w:style xmlns:r="http://schemas.openxmlformats.org/officeDocument/2006/relationships" w:type="paragraph" w:styleId="2ab9f432">
    <w:name w:val="toc 52ab9f4322ab9f432"/>
    <w:basedOn w:val="2210dd01"/>
    <w:next w:val="0"/>
    <w:pPr>
      <w:ind w:left="1680"/>
    </w:pPr>
  </w:style>
  <w:style xmlns:r="http://schemas.openxmlformats.org/officeDocument/2006/relationships" w:type="paragraph" w:styleId="e1931b4e">
    <w:name w:val="toc 3e1931b4ee1931b4e"/>
    <w:basedOn w:val="2210dd01"/>
    <w:next w:val="0"/>
    <w:pPr>
      <w:ind w:left="840"/>
    </w:pPr>
  </w:style>
  <w:style xmlns:r="http://schemas.openxmlformats.org/officeDocument/2006/relationships" w:type="paragraph" w:styleId="9702932b">
    <w:name w:val="footer9702932b9702932b"/>
    <w:basedOn w:val="2210dd01"/>
    <w:pPr>
      <w:tabs>
        <w:tab w:val="center" w:pos="4153"/>
        <w:tab w:val="right" w:pos="8307"/>
      </w:tabs>
      <w:adjustRightInd/>
      <w:snapToGrid w:val="0"/>
      <w:contextualSpacing w:val="0"/>
      <w:jc w:val="left"/>
    </w:pPr>
    <w:rPr>
      <w:sz w:val="18"/>
    </w:rPr>
  </w:style>
  <w:style xmlns:r="http://schemas.openxmlformats.org/officeDocument/2006/relationships" w:type="paragraph" w:styleId="98385651">
    <w:name w:val="header9838565198385651"/>
    <w:basedOn w:val="2210dd01"/>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433925d">
    <w:name w:val="toc 12433925d2433925d"/>
    <w:basedOn w:val="2210dd01"/>
    <w:next w:val="0"/>
  </w:style>
  <w:style xmlns:r="http://schemas.openxmlformats.org/officeDocument/2006/relationships" w:type="paragraph" w:styleId="93c2000a">
    <w:name w:val="toc 493c2000a93c2000a"/>
    <w:basedOn w:val="2210dd01"/>
    <w:next w:val="0"/>
    <w:pPr>
      <w:ind w:left="1260"/>
    </w:pPr>
  </w:style>
  <w:style xmlns:r="http://schemas.openxmlformats.org/officeDocument/2006/relationships" w:type="paragraph" w:styleId="182c16e7">
    <w:name w:val="toc 2182c16e7182c16e7"/>
    <w:basedOn w:val="2210dd01"/>
    <w:next w:val="0"/>
    <w:pPr>
      <w:ind w:left="420"/>
    </w:pPr>
  </w:style>
  <w:style xmlns:r="http://schemas.openxmlformats.org/officeDocument/2006/relationships" w:type="paragraph" w:customStyle="1" w:styleId="4129355d">
    <w:name w:val="列出段落14129355d4129355d"/>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