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5cd3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25cd3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5cd3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5cd3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5cd3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5cd3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5cd3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5cd3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5cd3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5cd3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5cd3a4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67819a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67819a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1c1fcf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南银理财珠联璧合鑫逸稳一年278期（绿色金融主题）封闭式公募人民币理财产品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ZZ700322600183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Z7003226000184(投资者可依据该编码在中国理财网www.chinawealth.com.cn查询理财产品相关信息）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A份额：NYXY001013</w:t>
            </w:r>
          </w:p>
          <w:p>
            <w:pPr>
              <w:pStyle w:val="null10"/>
              <w:spacing w:lineRule="exact" w:line="200"/>
            </w:pPr>
            <w:r>
              <w:rPr>
                <w:rFonts w:ascii="方正黑体_GBK" w:hAnsi="方正黑体_GBK" w:cs="宋体" w:eastAsia="方正黑体_GBK"/>
                <w:sz w:val="18"/>
                <w:szCs w:val="18"/>
              </w:rPr>
              <w:t>B份额：NYXY001014</w:t>
            </w:r>
          </w:p>
          <w:p>
            <w:pPr>
              <w:pStyle w:val="null10"/>
              <w:spacing w:lineRule="exact" w:line="200"/>
            </w:pPr>
            <w:r>
              <w:rPr>
                <w:rFonts w:ascii="方正黑体_GBK" w:hAnsi="方正黑体_GBK" w:cs="宋体" w:eastAsia="方正黑体_GBK"/>
                <w:sz w:val="18"/>
                <w:szCs w:val="18"/>
              </w:rPr>
              <w:t>C份额：NYXY001015</w:t>
            </w:r>
          </w:p>
          <w:p>
            <w:pPr>
              <w:pStyle w:val="null10"/>
              <w:spacing w:lineRule="exact" w:line="200"/>
            </w:pPr>
            <w:r>
              <w:rPr>
                <w:rFonts w:ascii="方正黑体_GBK" w:hAnsi="方正黑体_GBK" w:cs="宋体" w:eastAsia="方正黑体_GBK"/>
                <w:sz w:val="18"/>
                <w:szCs w:val="18"/>
              </w:rPr>
              <w:t>F份额：NYXY001118</w:t>
            </w:r>
          </w:p>
          <w:p>
            <w:pPr>
              <w:pStyle w:val="null10"/>
              <w:spacing w:lineRule="exact" w:line="200"/>
            </w:pPr>
            <w:r>
              <w:rPr>
                <w:rFonts w:ascii="方正黑体_GBK" w:hAnsi="方正黑体_GBK" w:cs="宋体" w:eastAsia="方正黑体_GBK"/>
                <w:sz w:val="18"/>
                <w:szCs w:val="18"/>
              </w:rPr>
              <w:t>L份额：NYXY001016</w:t>
            </w:r>
          </w:p>
          <w:p>
            <w:pPr>
              <w:pStyle w:val="null10"/>
              <w:spacing w:lineRule="exact" w:line="200"/>
            </w:pPr>
            <w:r>
              <w:rPr>
                <w:rFonts w:ascii="方正黑体_GBK" w:hAnsi="方正黑体_GBK" w:cs="宋体" w:eastAsia="方正黑体_GBK"/>
                <w:sz w:val="18"/>
                <w:szCs w:val="18"/>
              </w:rPr>
              <w:t>O份额：NYXY001017</w:t>
            </w:r>
          </w:p>
          <w:p>
            <w:pPr>
              <w:pStyle w:val="null10"/>
              <w:spacing w:lineRule="exact" w:line="200"/>
            </w:pPr>
            <w:r>
              <w:rPr>
                <w:rFonts w:ascii="方正黑体_GBK" w:hAnsi="方正黑体_GBK" w:cs="宋体" w:eastAsia="方正黑体_GBK"/>
                <w:sz w:val="18"/>
                <w:szCs w:val="18"/>
              </w:rPr>
              <w:t>A2份额：NYXY001119</w:t>
            </w:r>
          </w:p>
          <w:p>
            <w:pPr>
              <w:pStyle w:val="null10"/>
              <w:spacing w:lineRule="exact" w:line="200"/>
            </w:pPr>
            <w:r>
              <w:rPr>
                <w:rFonts w:ascii="方正黑体_GBK" w:hAnsi="方正黑体_GBK" w:cs="宋体" w:eastAsia="方正黑体_GBK"/>
                <w:sz w:val="18"/>
                <w:szCs w:val="18"/>
              </w:rPr>
              <w:t>B2份额：NYXY001120</w:t>
            </w:r>
          </w:p>
          <w:p>
            <w:pPr>
              <w:pStyle w:val="null10"/>
              <w:spacing w:lineRule="exact" w:line="200"/>
            </w:pPr>
            <w:r>
              <w:rPr>
                <w:rFonts w:ascii="方正黑体_GBK" w:hAnsi="方正黑体_GBK" w:cs="宋体" w:eastAsia="方正黑体_GBK"/>
                <w:sz w:val="18"/>
                <w:szCs w:val="18"/>
              </w:rPr>
              <w:t>C2份额：NYXY001121</w:t>
            </w:r>
          </w:p>
          <w:p>
            <w:pPr>
              <w:pStyle w:val="null10"/>
              <w:spacing w:lineRule="exact" w:line="200"/>
            </w:pPr>
            <w:r>
              <w:rPr>
                <w:rFonts w:ascii="方正黑体_GBK" w:hAnsi="方正黑体_GBK" w:cs="宋体" w:eastAsia="方正黑体_GBK"/>
                <w:sz w:val="18"/>
                <w:szCs w:val="18"/>
              </w:rPr>
              <w:t>E2份额：NYXY001122</w:t>
            </w:r>
          </w:p>
          <w:p>
            <w:pPr>
              <w:pStyle w:val="null10"/>
              <w:spacing w:lineRule="exact" w:line="200"/>
            </w:pPr>
            <w:r>
              <w:rPr>
                <w:rFonts w:ascii="方正黑体_GBK" w:hAnsi="方正黑体_GBK" w:cs="宋体" w:eastAsia="方正黑体_GBK"/>
                <w:sz w:val="18"/>
                <w:szCs w:val="18"/>
              </w:rPr>
              <w:t>Q份额：NYXY001018</w:t>
            </w:r>
          </w:p>
          <w:p>
            <w:pPr>
              <w:pStyle w:val="null10"/>
              <w:spacing w:lineRule="exact" w:line="200"/>
            </w:pPr>
            <w:r>
              <w:rPr>
                <w:rFonts w:ascii="方正黑体_GBK" w:hAnsi="方正黑体_GBK" w:cs="宋体" w:eastAsia="方正黑体_GBK"/>
                <w:sz w:val="18"/>
                <w:szCs w:val="18"/>
              </w:rPr>
              <w:t>Q1份额：NYXY001019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amu增量等于0客户）、德州银行股份有限公司、宁夏银行股份有限公司、九江银行股份有限公司、海南银行股份有限公司、廊坊银行股份有限公司、乌鲁木齐银行股份有限公司、上海农村商业银行股份有限公司、富邦华一银行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徽商银行股份有限公司(除代发客户外的其他客户)、温州银行股份有限公司、齐商银行股份有限公司、嘉兴银行股份有限公司（私行客户）、广州银行股份有限公司、江苏苏州农村商业银行股份有限公司（高客客户）、秦皇岛银行股份有限公司、宁波东海银行股份有限公司、齐鲁银行股份有限公司(白金/私行客户)、天津农村商业银行股份有限公司(企业拓展客户)、山西银行股份有限公司（aum增量大于5万元小于15万元客户）、东营银行股份有限公司、永丰银行(中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烟台银行股份有限公司、江苏苏州农村商业银行股份有限公司（新客客户）、蒙商银行股份有限公司（代发工资客户）、郑州银行股份有限公司、日照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L份额：潍坊银行股份有限公司、泰安银行股份有限公司（除私行客户外的其他客户）、天津农村商业银行股份有限公司(私钻客户)、江苏兴化农村商业银行股份有限公司(人民医院职工客户)。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szCs w:val="18"/>
              </w:rPr>
              <w:t>A2份额：朝阳银行股份有限公司。</w:t>
            </w:r>
          </w:p>
          <w:p>
            <w:pPr>
              <w:pStyle w:val="null10"/>
              <w:spacing w:lineRule="exact" w:line="200"/>
            </w:pPr>
            <w:r>
              <w:rPr>
                <w:rFonts w:ascii="方正黑体_GBK" w:hAnsi="方正黑体_GBK" w:cs="宋体" w:eastAsia="方正黑体_GBK"/>
                <w:sz w:val="18"/>
                <w:szCs w:val="18"/>
              </w:rPr>
              <w:t>B2份额：山西银行股份有限公司（aum增量大于0小于5万元客户）。</w:t>
            </w:r>
          </w:p>
          <w:p>
            <w:pPr>
              <w:pStyle w:val="null10"/>
              <w:spacing w:lineRule="exact" w:line="200"/>
            </w:pPr>
            <w:r>
              <w:rPr>
                <w:rFonts w:ascii="方正黑体_GBK" w:hAnsi="方正黑体_GBK" w:cs="宋体" w:eastAsia="方正黑体_GBK"/>
                <w:sz w:val="18"/>
                <w:szCs w:val="18"/>
              </w:rPr>
              <w:t>C2份额：山西银行股份有限公司（aum增量大于15万元小于40万元客户）。</w:t>
            </w:r>
          </w:p>
          <w:p>
            <w:pPr>
              <w:pStyle w:val="null10"/>
              <w:spacing w:lineRule="exact" w:line="200"/>
            </w:pPr>
            <w:r>
              <w:rPr>
                <w:rFonts w:ascii="方正黑体_GBK" w:hAnsi="方正黑体_GBK" w:cs="宋体" w:eastAsia="方正黑体_GBK"/>
                <w:sz w:val="18"/>
                <w:szCs w:val="18"/>
              </w:rPr>
              <w:t>E2份额：南京银行股份有限公司徐州分行（新客或新资金或代发客户）。</w:t>
            </w:r>
          </w:p>
          <w:p>
            <w:pPr>
              <w:pStyle w:val="null10"/>
              <w:spacing w:lineRule="exact" w:line="200"/>
            </w:pPr>
            <w:r>
              <w:rPr>
                <w:rFonts w:ascii="方正黑体_GBK" w:hAnsi="方正黑体_GBK" w:cs="宋体" w:eastAsia="方正黑体_GBK"/>
                <w:sz w:val="18"/>
                <w:szCs w:val="18"/>
              </w:rPr>
              <w:t>Q份额：天津农村商业银行股份有限公司(私行客户)、泰安银行股份有限公司（私行客户）、桂林银行有限公司（财富客户）。</w:t>
            </w:r>
          </w:p>
          <w:p>
            <w:pPr>
              <w:pStyle w:val="null10"/>
              <w:spacing w:lineRule="exact" w:line="200"/>
            </w:pPr>
            <w:r>
              <w:rPr>
                <w:rFonts w:ascii="方正黑体_GBK" w:hAnsi="方正黑体_GBK" w:cs="宋体" w:eastAsia="方正黑体_GBK"/>
                <w:sz w:val="18"/>
                <w:szCs w:val="18"/>
              </w:rPr>
              <w:t>Q1份额：徽商银行股份有限公司（代发客户）。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A份额/B份额/C份额/F份额/L份额/O份额/A2份额/B2份额/C2份额/E2份额/Q份额/Q1份额：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2026年06月17日 09:00—2026年06月23日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2027年07月28日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F份额：业绩比较基准为年化2.4%-2.65% 。</w:t>
            </w:r>
          </w:p>
          <w:p>
            <w:pPr>
              <w:pStyle w:val="null10"/>
              <w:spacing w:lineRule="exact" w:line="200"/>
            </w:pPr>
            <w:r>
              <w:rPr>
                <w:rFonts w:ascii="方正黑体_GBK" w:hAnsi="方正黑体_GBK" w:cs="宋体" w:eastAsia="方正黑体_GBK"/>
                <w:sz w:val="18"/>
                <w:szCs w:val="18"/>
              </w:rPr>
              <w:t>L份额：业绩比较基准为年化2.65%-2.9% 。</w:t>
            </w:r>
          </w:p>
          <w:p>
            <w:pPr>
              <w:pStyle w:val="null10"/>
              <w:spacing w:lineRule="exact" w:line="200"/>
            </w:pPr>
            <w:r>
              <w:rPr>
                <w:rFonts w:ascii="方正黑体_GBK" w:hAnsi="方正黑体_GBK" w:cs="宋体" w:eastAsia="方正黑体_GBK"/>
                <w:sz w:val="18"/>
                <w:szCs w:val="18"/>
              </w:rPr>
              <w:t>O份额：业绩比较基准为年化2.55%-2.8% 。</w:t>
            </w:r>
          </w:p>
          <w:p>
            <w:pPr>
              <w:pStyle w:val="null10"/>
              <w:spacing w:lineRule="exact" w:line="200"/>
            </w:pPr>
            <w:r>
              <w:rPr>
                <w:rFonts w:ascii="方正黑体_GBK" w:hAnsi="方正黑体_GBK" w:cs="宋体" w:eastAsia="方正黑体_GBK"/>
                <w:sz w:val="18"/>
                <w:szCs w:val="18"/>
              </w:rPr>
              <w:t>A2份额：业绩比较基准为年化2.35%-2.6% 。</w:t>
            </w:r>
          </w:p>
          <w:p>
            <w:pPr>
              <w:pStyle w:val="null10"/>
              <w:spacing w:lineRule="exact" w:line="200"/>
            </w:pPr>
            <w:r>
              <w:rPr>
                <w:rFonts w:ascii="方正黑体_GBK" w:hAnsi="方正黑体_GBK" w:cs="宋体" w:eastAsia="方正黑体_GBK"/>
                <w:sz w:val="18"/>
                <w:szCs w:val="18"/>
              </w:rPr>
              <w:t>B2份额：业绩比较基准为年化2.45%-2.7% 。</w:t>
            </w:r>
          </w:p>
          <w:p>
            <w:pPr>
              <w:pStyle w:val="null10"/>
              <w:spacing w:lineRule="exact" w:line="200"/>
            </w:pPr>
            <w:r>
              <w:rPr>
                <w:rFonts w:ascii="方正黑体_GBK" w:hAnsi="方正黑体_GBK" w:cs="宋体" w:eastAsia="方正黑体_GBK"/>
                <w:sz w:val="18"/>
                <w:szCs w:val="18"/>
              </w:rPr>
              <w:t>C2份额：业绩比较基准为年化2.55%-2.8% 。</w:t>
            </w:r>
          </w:p>
          <w:p>
            <w:pPr>
              <w:pStyle w:val="null10"/>
              <w:spacing w:lineRule="exact" w:line="200"/>
            </w:pPr>
            <w:r>
              <w:rPr>
                <w:rFonts w:ascii="方正黑体_GBK" w:hAnsi="方正黑体_GBK" w:cs="宋体" w:eastAsia="方正黑体_GBK"/>
                <w:sz w:val="18"/>
                <w:szCs w:val="18"/>
              </w:rPr>
              <w:t>E2份额：业绩比较基准为年化2.6%-2.85% 。</w:t>
            </w:r>
          </w:p>
          <w:p>
            <w:pPr>
              <w:pStyle w:val="null10"/>
              <w:spacing w:lineRule="exact" w:line="200"/>
            </w:pPr>
            <w:r>
              <w:rPr>
                <w:rFonts w:ascii="方正黑体_GBK" w:hAnsi="方正黑体_GBK" w:cs="宋体" w:eastAsia="方正黑体_GBK"/>
                <w:sz w:val="18"/>
                <w:szCs w:val="18"/>
              </w:rPr>
              <w:t>Q份额：业绩比较基准为年化2.55%-2.8% 。</w:t>
            </w:r>
          </w:p>
          <w:p>
            <w:pPr>
              <w:pStyle w:val="null10"/>
              <w:spacing w:lineRule="exact" w:line="200"/>
            </w:pPr>
            <w:r>
              <w:rPr>
                <w:rFonts w:ascii="方正黑体_GBK" w:hAnsi="方正黑体_GBK" w:cs="宋体" w:eastAsia="方正黑体_GBK"/>
                <w:sz w:val="18"/>
                <w:szCs w:val="18"/>
              </w:rPr>
              <w:t>Q1份额：业绩比较基准为年化2.53%-2.78%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B份额，C2份额：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F份额，A2份额，B2份额：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本理财产品一次性收取年化0.15%的销售费，按日摊销。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E2份额，Q份额：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Q1份额：</w:t>
            </w:r>
          </w:p>
          <w:p>
            <w:pPr>
              <w:pStyle w:val="null10"/>
              <w:spacing w:lineRule="exact" w:line="200"/>
            </w:pPr>
            <w:r>
              <w:rPr>
                <w:rFonts w:ascii="方正黑体_GBK" w:hAnsi="方正黑体_GBK" w:cs="宋体" w:eastAsia="方正黑体_GBK"/>
                <w:sz w:val="18"/>
                <w:b/>
                <w:szCs w:val="18"/>
              </w:rPr>
              <w:t>本理财产品按前一日理财产品资产净值收取年化0.17%的销售费，按日计提。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A2份额：固定管理费年化0.2%</w:t>
            </w:r>
          </w:p>
          <w:p>
            <w:pPr>
              <w:pStyle w:val="null10"/>
              <w:spacing w:lineRule="exact" w:line="200"/>
            </w:pPr>
            <w:r>
              <w:rPr>
                <w:rFonts w:ascii="方正黑体_GBK" w:hAnsi="方正黑体_GBK" w:cs="宋体" w:eastAsia="方正黑体_GBK"/>
                <w:sz w:val="18"/>
                <w:b/>
                <w:szCs w:val="18"/>
              </w:rPr>
              <w:t>B2份额：固定管理费年化0.1%</w:t>
            </w:r>
          </w:p>
          <w:p>
            <w:pPr>
              <w:pStyle w:val="null10"/>
              <w:spacing w:lineRule="exact" w:line="200"/>
            </w:pPr>
            <w:r>
              <w:rPr>
                <w:rFonts w:ascii="方正黑体_GBK" w:hAnsi="方正黑体_GBK" w:cs="宋体" w:eastAsia="方正黑体_GBK"/>
                <w:sz w:val="18"/>
                <w:b/>
                <w:szCs w:val="18"/>
              </w:rPr>
              <w:t>C2份额：固定管理费年化0.1%</w:t>
            </w:r>
          </w:p>
          <w:p>
            <w:pPr>
              <w:pStyle w:val="null10"/>
              <w:spacing w:lineRule="exact" w:line="200"/>
            </w:pPr>
            <w:r>
              <w:rPr>
                <w:rFonts w:ascii="方正黑体_GBK" w:hAnsi="方正黑体_GBK" w:cs="宋体" w:eastAsia="方正黑体_GBK"/>
                <w:sz w:val="18"/>
                <w:b/>
                <w:szCs w:val="18"/>
              </w:rPr>
              <w:t>E2份额：固定管理费年化0.1%</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E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67819a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f6a0ef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f6a0ef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f6a0ef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f6a0ef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f6a0ef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f6a0ef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f6a0ef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f6a0ef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南银理财珠联璧合鑫逸稳一年278期（绿色金融主题）封闭式公募人民币理财产品</w:t>
      </w:r>
      <w:r>
        <w:rPr>
          <w:rFonts w:ascii="方正黑体_GBK" w:eastAsia="方正黑体_GBK" w:hint="eastAsia" w:hAnsi="方正黑体_GBK"/>
          <w:vanish w:val="0"/>
          <w:color w:val="3D3D3D"/>
          <w:kern w:val="0"/>
          <w:sz w:val="15"/>
          <w:szCs w:val="15"/>
        </w:rPr>
        <w:t>。</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f6a0ef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f6a0e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f6a0ef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f6a0ef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303e9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303e9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303e9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303e9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303e9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303e9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f6a0ef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f6a0ef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f6a0ef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303e95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67819a4"/>
        <w:keepNext w:val="0"/>
        <w:keepLines w:val="0"/>
        <w:pageBreakBefore w:val="0"/>
        <w:widowControl/>
        <w:suppressLineNumbers w:val="0"/>
        <w:suppressAutoHyphens w:val="0"/>
        <w:spacing w:line="200" w:lineRule="exact"/>
        <w:ind w:firstLineChars="200" w:firstLine="300"/>
        <w:rPr>
          <w:rStyle w:val="a303e95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67819a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67819a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67819a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67819a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6781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67819a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2"/>
  </w:num>
  <w:num w:numId="2">
    <w:abstractNumId w:val="3"/>
  </w:num>
  <w:num w:numId="3">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5cd3a4b">
    <w:name w:val="Normal25cd3a4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3b1608a">
    <w:name w:val="heading 1b3b1608a"/>
    <w:basedOn w:val="25cd3a4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fd7ecb7">
    <w:name w:val="heading 23fd7ecb7"/>
    <w:basedOn w:val="25cd3a4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7c86722">
    <w:name w:val="heading 3f7c86722"/>
    <w:basedOn w:val="25cd3a4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4511cf0">
    <w:name w:val="Default Paragraph Fonte4511cf0"/>
  </w:style>
  <w:style xmlns:r="http://schemas.openxmlformats.org/officeDocument/2006/relationships" w:type="paragraph" w:styleId="c26ce2b4">
    <w:name w:val="toc 1c26ce2b4"/>
    <w:basedOn w:val="25cd3a4b"/>
    <w:autoRedefine/>
    <w:next w:val="0"/>
  </w:style>
  <w:style xmlns:r="http://schemas.openxmlformats.org/officeDocument/2006/relationships" w:type="paragraph" w:styleId="16668a2c">
    <w:name w:val="toc 216668a2c"/>
    <w:basedOn w:val="25cd3a4b"/>
    <w:autoRedefine/>
    <w:next w:val="0"/>
    <w:pPr>
      <w:ind w:left="420"/>
    </w:pPr>
  </w:style>
  <w:style xmlns:r="http://schemas.openxmlformats.org/officeDocument/2006/relationships" w:type="paragraph" w:styleId="d7f2de41">
    <w:name w:val="toc 3d7f2de41"/>
    <w:basedOn w:val="25cd3a4b"/>
    <w:autoRedefine/>
    <w:next w:val="0"/>
    <w:pPr>
      <w:ind w:left="840"/>
    </w:pPr>
  </w:style>
  <w:style xmlns:r="http://schemas.openxmlformats.org/officeDocument/2006/relationships" w:type="paragraph" w:styleId="962871d1">
    <w:name w:val="toc 4962871d1"/>
    <w:basedOn w:val="25cd3a4b"/>
    <w:autoRedefine/>
    <w:next w:val="0"/>
    <w:pPr>
      <w:ind w:left="1260"/>
    </w:pPr>
  </w:style>
  <w:style xmlns:r="http://schemas.openxmlformats.org/officeDocument/2006/relationships" w:type="paragraph" w:styleId="f2b74ac0">
    <w:name w:val="toc 5f2b74ac0"/>
    <w:basedOn w:val="25cd3a4b"/>
    <w:autoRedefine/>
    <w:next w:val="0"/>
    <w:pPr>
      <w:ind w:left="1680"/>
    </w:pPr>
  </w:style>
  <w:style xmlns:r="http://schemas.openxmlformats.org/officeDocument/2006/relationships" w:type="paragraph" w:styleId="e9ae788a">
    <w:name w:val="headere9ae788a"/>
    <w:basedOn w:val="25cd3a4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868904b">
    <w:name w:val="footer6868904b"/>
    <w:basedOn w:val="25cd3a4b"/>
    <w:pPr>
      <w:tabs>
        <w:tab w:val="center" w:pos="4153"/>
        <w:tab w:val="right" w:pos="8307"/>
      </w:tabs>
      <w:adjustRightInd/>
      <w:snapToGrid w:val="0"/>
      <w:contextualSpacing w:val="0"/>
      <w:jc w:val="left"/>
    </w:pPr>
    <w:rPr>
      <w:sz w:val="18"/>
    </w:rPr>
  </w:style>
  <w:style xmlns:r="http://schemas.openxmlformats.org/officeDocument/2006/relationships" w:type="character" w:styleId="f7a66ce8">
    <w:name w:val="Strongf7a66ce8"/>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67819a4">
    <w:name w:val="Normal967819a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21d8f1c">
    <w:name w:val="heading 1521d8f1c"/>
    <w:basedOn w:val="967819a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e4ef53b">
    <w:name w:val="heading 27e4ef53b"/>
    <w:basedOn w:val="967819a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ffe7a0e">
    <w:name w:val="heading 38ffe7a0e"/>
    <w:basedOn w:val="967819a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6952dbe">
    <w:name w:val="Default Paragraph Font16952dbe"/>
  </w:style>
  <w:style xmlns:r="http://schemas.openxmlformats.org/officeDocument/2006/relationships" w:type="paragraph" w:styleId="92167436">
    <w:name w:val="Normal Indent92167436"/>
    <w:basedOn w:val="967819a4"/>
    <w:pPr>
      <w:ind w:firstLineChars="200" w:firstLine="200"/>
    </w:pPr>
  </w:style>
  <w:style xmlns:r="http://schemas.openxmlformats.org/officeDocument/2006/relationships" w:type="paragraph" w:styleId="03d5b25b">
    <w:name w:val="toc 503d5b25b"/>
    <w:basedOn w:val="967819a4"/>
    <w:next w:val="0"/>
    <w:pPr>
      <w:ind w:left="1680"/>
    </w:pPr>
  </w:style>
  <w:style xmlns:r="http://schemas.openxmlformats.org/officeDocument/2006/relationships" w:type="paragraph" w:styleId="b9dedd42">
    <w:name w:val="toc 3b9dedd42"/>
    <w:basedOn w:val="967819a4"/>
    <w:next w:val="0"/>
    <w:pPr>
      <w:ind w:left="840"/>
    </w:pPr>
  </w:style>
  <w:style xmlns:r="http://schemas.openxmlformats.org/officeDocument/2006/relationships" w:type="paragraph" w:styleId="2edc1246">
    <w:name w:val="footer2edc1246"/>
    <w:basedOn w:val="967819a4"/>
    <w:pPr>
      <w:tabs>
        <w:tab w:val="center" w:pos="4153"/>
        <w:tab w:val="right" w:pos="8307"/>
      </w:tabs>
      <w:adjustRightInd/>
      <w:snapToGrid w:val="0"/>
      <w:contextualSpacing w:val="0"/>
      <w:jc w:val="left"/>
    </w:pPr>
    <w:rPr>
      <w:sz w:val="18"/>
    </w:rPr>
  </w:style>
  <w:style xmlns:r="http://schemas.openxmlformats.org/officeDocument/2006/relationships" w:type="paragraph" w:styleId="919d481b">
    <w:name w:val="header919d481b"/>
    <w:basedOn w:val="967819a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ba589a7">
    <w:name w:val="toc 10ba589a7"/>
    <w:basedOn w:val="967819a4"/>
    <w:next w:val="0"/>
  </w:style>
  <w:style xmlns:r="http://schemas.openxmlformats.org/officeDocument/2006/relationships" w:type="paragraph" w:styleId="b92ab90b">
    <w:name w:val="toc 4b92ab90b"/>
    <w:basedOn w:val="967819a4"/>
    <w:next w:val="0"/>
    <w:pPr>
      <w:ind w:left="1260"/>
    </w:pPr>
  </w:style>
  <w:style xmlns:r="http://schemas.openxmlformats.org/officeDocument/2006/relationships" w:type="paragraph" w:styleId="3e66ffd0">
    <w:name w:val="toc 23e66ffd0"/>
    <w:basedOn w:val="967819a4"/>
    <w:next w:val="0"/>
    <w:pPr>
      <w:ind w:left="420"/>
    </w:pPr>
  </w:style>
  <w:style xmlns:r="http://schemas.openxmlformats.org/officeDocument/2006/relationships" w:type="paragraph" w:styleId="e1c1fcf8">
    <w:name w:val="Normal (Web)e1c1fcf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f6a0ef4">
    <w:name w:val="Normal3f6a0ef43f6a0ef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7186092">
    <w:name w:val="heading 15718609257186092"/>
    <w:basedOn w:val="3f6a0ef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8051cd3">
    <w:name w:val="heading 278051cd378051cd3"/>
    <w:basedOn w:val="3f6a0ef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f04c430">
    <w:name w:val="heading 39f04c4309f04c430"/>
    <w:basedOn w:val="3f6a0ef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9c2b29c">
    <w:name w:val="Default Paragraph Font39c2b29c39c2b29c"/>
  </w:style>
  <w:style xmlns:r="http://schemas.openxmlformats.org/officeDocument/2006/relationships" w:type="paragraph" w:customStyle="1" w:styleId="f7bcaea4">
    <w:name w:val="引文目录1f7bcaea4f7bcaea4"/>
    <w:basedOn w:val="3f6a0ef4"/>
    <w:next w:val="0"/>
    <w:pPr>
      <w:ind w:leftChars="200" w:left="200"/>
    </w:pPr>
  </w:style>
  <w:style xmlns:r="http://schemas.openxmlformats.org/officeDocument/2006/relationships" w:type="paragraph" w:styleId="5612d54a">
    <w:name w:val="toc 55612d54a5612d54a"/>
    <w:basedOn w:val="3f6a0ef4"/>
    <w:next w:val="0"/>
    <w:pPr>
      <w:ind w:left="1680"/>
    </w:pPr>
  </w:style>
  <w:style xmlns:r="http://schemas.openxmlformats.org/officeDocument/2006/relationships" w:type="paragraph" w:styleId="f62fe923">
    <w:name w:val="toc 3f62fe923f62fe923"/>
    <w:basedOn w:val="3f6a0ef4"/>
    <w:next w:val="0"/>
    <w:pPr>
      <w:ind w:left="840"/>
    </w:pPr>
  </w:style>
  <w:style xmlns:r="http://schemas.openxmlformats.org/officeDocument/2006/relationships" w:type="paragraph" w:styleId="1f2ba639">
    <w:name w:val="footer1f2ba6391f2ba639"/>
    <w:basedOn w:val="3f6a0ef4"/>
    <w:pPr>
      <w:tabs>
        <w:tab w:val="center" w:pos="4153"/>
        <w:tab w:val="right" w:pos="8307"/>
      </w:tabs>
      <w:adjustRightInd/>
      <w:snapToGrid w:val="0"/>
      <w:contextualSpacing w:val="0"/>
      <w:jc w:val="left"/>
    </w:pPr>
    <w:rPr>
      <w:sz w:val="18"/>
    </w:rPr>
  </w:style>
  <w:style xmlns:r="http://schemas.openxmlformats.org/officeDocument/2006/relationships" w:type="paragraph" w:styleId="db497c78">
    <w:name w:val="headerdb497c78db497c78"/>
    <w:basedOn w:val="3f6a0ef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9e39066">
    <w:name w:val="toc 1b9e39066b9e39066"/>
    <w:basedOn w:val="3f6a0ef4"/>
    <w:next w:val="0"/>
  </w:style>
  <w:style xmlns:r="http://schemas.openxmlformats.org/officeDocument/2006/relationships" w:type="paragraph" w:styleId="edf3e82d">
    <w:name w:val="toc 4edf3e82dedf3e82d"/>
    <w:basedOn w:val="3f6a0ef4"/>
    <w:next w:val="0"/>
    <w:pPr>
      <w:ind w:left="1260"/>
    </w:pPr>
  </w:style>
  <w:style xmlns:r="http://schemas.openxmlformats.org/officeDocument/2006/relationships" w:type="paragraph" w:styleId="e66b6980">
    <w:name w:val="toc 2e66b6980e66b6980"/>
    <w:basedOn w:val="3f6a0ef4"/>
    <w:next w:val="0"/>
    <w:pPr>
      <w:ind w:left="420"/>
    </w:pPr>
  </w:style>
  <w:style xmlns:r="http://schemas.openxmlformats.org/officeDocument/2006/relationships" w:type="paragraph" w:customStyle="1" w:styleId="a303e958">
    <w:name w:val="列出段落1a303e958a303e95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