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201adb7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w:t>
      </w:r>
    </w:p>
    <w:p>
      <w:pPr>
        <w:pStyle w:val="201adb7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201adb7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749天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201adb7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201adb7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201adb7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201adb7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201adb7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201adb7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201adb7c"/>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201adb7c"/>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cd5029f5"/>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cd5029f5"/>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984b2c69"/>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南银理财珠联璧合鑫逸稳两年172期封闭式公募人民币理财产品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ZZ700322600153</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Z7003226000163(投资者可依据该编码在中国理财网www.chinawealth.com.cn查询理财产品相关信息）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A份额：NYXY000932</w:t>
            </w:r>
          </w:p>
          <w:p>
            <w:pPr>
              <w:pStyle w:val="null10"/>
              <w:spacing w:lineRule="exact" w:line="200"/>
            </w:pPr>
            <w:r>
              <w:rPr>
                <w:rFonts w:ascii="方正黑体_GBK" w:hAnsi="方正黑体_GBK" w:cs="宋体" w:eastAsia="方正黑体_GBK"/>
                <w:sz w:val="18"/>
                <w:szCs w:val="18"/>
              </w:rPr>
              <w:t>B份额：NYXY000933</w:t>
            </w:r>
          </w:p>
          <w:p>
            <w:pPr>
              <w:pStyle w:val="null10"/>
              <w:spacing w:lineRule="exact" w:line="200"/>
            </w:pPr>
            <w:r>
              <w:rPr>
                <w:rFonts w:ascii="方正黑体_GBK" w:hAnsi="方正黑体_GBK" w:cs="宋体" w:eastAsia="方正黑体_GBK"/>
                <w:sz w:val="18"/>
                <w:szCs w:val="18"/>
              </w:rPr>
              <w:t>C份额：NYXY000934</w:t>
            </w:r>
          </w:p>
          <w:p>
            <w:pPr>
              <w:pStyle w:val="null10"/>
              <w:spacing w:lineRule="exact" w:line="200"/>
            </w:pPr>
            <w:r>
              <w:rPr>
                <w:rFonts w:ascii="方正黑体_GBK" w:hAnsi="方正黑体_GBK" w:cs="宋体" w:eastAsia="方正黑体_GBK"/>
                <w:sz w:val="18"/>
                <w:szCs w:val="18"/>
              </w:rPr>
              <w:t>E份额：NYXY001089</w:t>
            </w:r>
          </w:p>
          <w:p>
            <w:pPr>
              <w:pStyle w:val="null10"/>
              <w:spacing w:lineRule="exact" w:line="200"/>
            </w:pPr>
            <w:r>
              <w:rPr>
                <w:rFonts w:ascii="方正黑体_GBK" w:hAnsi="方正黑体_GBK" w:cs="宋体" w:eastAsia="方正黑体_GBK"/>
                <w:sz w:val="18"/>
                <w:szCs w:val="18"/>
              </w:rPr>
              <w:t>O份额：NYXY001090</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南银理财有限责任公司、南京银行股份有限公司（除新客、新资金及代发客户外的其他客户）、青岛银行股份有限公司、江苏张家港农村商业银行股份有限公司、江苏苏州农村商业银行股份有限公司、蒙商银行股份有限公司、广州农村商业银行股份有限公司、苏州银行股份有限公司、齐鲁银行股份有限公司（除白金/私行客户外的其他客户）、北京银行股份有限公司、贵阳银行股份有限公司、天津农村商业银行股份有限公司（除新客户、私钻客户和私行客户外的其他客户）、山西银行股份有限公司、云南红塔银行股份有限公司、宁夏银行股份有限公司、海南银行股份有限公司、廊坊银行股份有限公司、上海农村商业银行股份有限公司、桂林银行股份有限公司（除银龄和财富客户外的其他客户）、宁波通商银行股份有限公司（除老年客户外的其他客户）、石嘴山银行股份有限公司、无锡锡商银行股份有限公司、江苏丹阳农村商业银行股份有限公司、江苏宜兴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淮安农村商业银行股份有限公司、江苏涟水农村商业银行股份有限公司、江苏镇江农村商业银行股份有限公司（1元起购）、江苏如皋农村商业银行股份有限公司、江苏宝应农村商业银行股份有限公司、徐州农村商业银行股份有限公司、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仪征农村商业银行股份有限公司、江苏沭阳农村商业银行股份有限公司、连云港东方农村商业银行股份有限公司。</w:t>
            </w:r>
          </w:p>
          <w:p>
            <w:pPr>
              <w:pStyle w:val="null10"/>
              <w:spacing w:lineRule="exact" w:line="200"/>
            </w:pPr>
            <w:r>
              <w:rPr>
                <w:rFonts w:ascii="方正黑体_GBK" w:hAnsi="方正黑体_GBK" w:cs="宋体" w:eastAsia="方正黑体_GBK"/>
                <w:sz w:val="18"/>
                <w:szCs w:val="18"/>
              </w:rPr>
              <w:t>B份额：南京银行股份有限公司(新客或新资金或代发客户 )、江苏太仓农村商业银行股份有限公司、温州银行股份有限公司、齐商银行股份有限公司、河北银行股份有限公司、广州银行股份有限公司、长沙银行股份有限公司、秦皇岛银行股份有限公司、齐鲁银行股份有限公司(白金/私行客户)、天津农村商业银行股份有限公司(新客户)、甘肃银行股份有限公司、乌鲁木齐银行股份有限公司、东营银行股份有限公司、桂林银行股份有限公司(银龄客户)、宁波通商银行股份有限公司(老年客户)、江苏高淳农村商业银行股份有限公司、江苏新沂农村商业银行股份有限公司（1元起购）、江苏江都农村商业银行股份有限公司、江苏大丰农村商业银行股份有限公司、江苏镇江农村商业银行股份有限公司( 20万元起购)、江苏紫金农村商业银行股份有限公司、江苏沛县农村商业银行股份有限公司（除财富客户外的其他客户）、江苏泰州农村商业银行股份有限公司。</w:t>
            </w:r>
          </w:p>
          <w:p>
            <w:pPr>
              <w:pStyle w:val="null10"/>
              <w:spacing w:lineRule="exact" w:line="200"/>
            </w:pPr>
            <w:r>
              <w:rPr>
                <w:rFonts w:ascii="方正黑体_GBK" w:hAnsi="方正黑体_GBK" w:cs="宋体" w:eastAsia="方正黑体_GBK"/>
                <w:sz w:val="18"/>
                <w:szCs w:val="18"/>
              </w:rPr>
              <w:t>C份额：郑州银行股份有限公司、泰安银行股份有限公司、天津农村商业银行股份有限公司(私钻客户)、桂林银行股份有限公司(财富客户)、江苏泰兴农村商业银行股份有限公司、江苏响水农村商业银行股份有限公司、江苏靖江农村商业银行股份有限公司、江苏新沂农村商业银行股份有限公司（30万元起购）、江苏兴化农村商业银行股份有限公司、江苏镇江农村商业银行股份有限公司( 100万元起购)、江苏滨海农村商业银行有限公司、江苏射阳农村商业银行股份有限公司、江苏句容农村商业银行股份有限公司、江苏如东农村商业银行股份有限公司、江苏沛县农村商业银行股份有限公司（财富客户）。</w:t>
            </w:r>
          </w:p>
          <w:p>
            <w:pPr>
              <w:pStyle w:val="null10"/>
              <w:spacing w:lineRule="exact" w:line="200"/>
            </w:pPr>
            <w:r>
              <w:rPr>
                <w:rFonts w:ascii="方正黑体_GBK" w:hAnsi="方正黑体_GBK" w:cs="宋体" w:eastAsia="方正黑体_GBK"/>
                <w:sz w:val="18"/>
                <w:szCs w:val="18"/>
              </w:rPr>
              <w:t>E份额：天津农村商业银行股份有限公司(私行客户)。</w:t>
            </w:r>
          </w:p>
          <w:p>
            <w:pPr>
              <w:pStyle w:val="null10"/>
              <w:spacing w:lineRule="exact" w:line="200"/>
            </w:pPr>
            <w:r>
              <w:rPr>
                <w:rFonts w:ascii="方正黑体_GBK" w:hAnsi="方正黑体_GBK" w:cs="宋体" w:eastAsia="方正黑体_GBK"/>
                <w:sz w:val="18"/>
                <w:szCs w:val="18"/>
              </w:rPr>
              <w:t>O份额：吉林银行股份有限公司。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A份额/B份额/C份额/E份额/O份额：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2026年06月03日 09:00—2026年06月09日 17:00</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auto" w:line="36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2026年06月10日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2026年06月10日—实际到期日（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749天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2028年06月28日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因产品实际募集规模和融资人资金需求存在不确定性，产品管理人将选择上述一笔或者多笔作为本理财产品投资的非标准化债权类资产，并在本理财产品的定期报告中进行信息披露。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A份额：业绩比较基准为年化2.55%-2.8% 。</w:t>
            </w:r>
          </w:p>
          <w:p>
            <w:pPr>
              <w:pStyle w:val="null10"/>
              <w:spacing w:lineRule="exact" w:line="200"/>
            </w:pPr>
            <w:r>
              <w:rPr>
                <w:rFonts w:ascii="方正黑体_GBK" w:hAnsi="方正黑体_GBK" w:cs="宋体" w:eastAsia="方正黑体_GBK"/>
                <w:sz w:val="18"/>
                <w:szCs w:val="18"/>
              </w:rPr>
              <w:t>B份额：业绩比较基准为年化2.65%-2.9% 。</w:t>
            </w:r>
          </w:p>
          <w:p>
            <w:pPr>
              <w:pStyle w:val="null10"/>
              <w:spacing w:lineRule="exact" w:line="200"/>
            </w:pPr>
            <w:r>
              <w:rPr>
                <w:rFonts w:ascii="方正黑体_GBK" w:hAnsi="方正黑体_GBK" w:cs="宋体" w:eastAsia="方正黑体_GBK"/>
                <w:sz w:val="18"/>
                <w:szCs w:val="18"/>
              </w:rPr>
              <w:t>C份额：业绩比较基准为年化2.75%-3% 。</w:t>
            </w:r>
          </w:p>
          <w:p>
            <w:pPr>
              <w:pStyle w:val="null10"/>
              <w:spacing w:lineRule="exact" w:line="200"/>
            </w:pPr>
            <w:r>
              <w:rPr>
                <w:rFonts w:ascii="方正黑体_GBK" w:hAnsi="方正黑体_GBK" w:cs="宋体" w:eastAsia="方正黑体_GBK"/>
                <w:sz w:val="18"/>
                <w:szCs w:val="18"/>
              </w:rPr>
              <w:t>E份额：业绩比较基准为年化2.6%-2.85% 。</w:t>
            </w:r>
          </w:p>
          <w:p>
            <w:pPr>
              <w:pStyle w:val="null10"/>
              <w:spacing w:lineRule="exact" w:line="200"/>
            </w:pPr>
            <w:r>
              <w:rPr>
                <w:rFonts w:ascii="方正黑体_GBK" w:hAnsi="方正黑体_GBK" w:cs="宋体" w:eastAsia="方正黑体_GBK"/>
                <w:sz w:val="18"/>
                <w:szCs w:val="18"/>
              </w:rPr>
              <w:t>O份额：业绩比较基准为年化2.55%-2.8% 。</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w:t>
            </w:r>
          </w:p>
          <w:p>
            <w:pPr>
              <w:pStyle w:val="null10"/>
              <w:spacing w:lineRule="exact" w:line="200"/>
            </w:pPr>
            <w:r>
              <w:rPr>
                <w:rFonts w:ascii="方正黑体_GBK" w:hAnsi="方正黑体_GBK" w:cs="宋体" w:eastAsia="方正黑体_GBK"/>
                <w:sz w:val="18"/>
                <w:b/>
                <w:szCs w:val="18"/>
              </w:rPr>
              <w:t>A份额：</w:t>
            </w:r>
          </w:p>
          <w:p>
            <w:pPr>
              <w:pStyle w:val="null10"/>
              <w:spacing w:lineRule="exact" w:line="200"/>
            </w:pPr>
            <w:r>
              <w:rPr>
                <w:rFonts w:ascii="方正黑体_GBK" w:hAnsi="方正黑体_GBK" w:cs="宋体" w:eastAsia="方正黑体_GBK"/>
                <w:sz w:val="18"/>
                <w:b/>
                <w:szCs w:val="18"/>
              </w:rPr>
              <w:t>本理财产品按前一日理财产品资产净值收取年化0.2%的销售费，按日计提。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B份额：</w:t>
            </w:r>
          </w:p>
          <w:p>
            <w:pPr>
              <w:pStyle w:val="null10"/>
              <w:spacing w:lineRule="exact" w:line="200"/>
            </w:pPr>
            <w:r>
              <w:rPr>
                <w:rFonts w:ascii="方正黑体_GBK" w:hAnsi="方正黑体_GBK" w:cs="宋体" w:eastAsia="方正黑体_GBK"/>
                <w:sz w:val="18"/>
                <w:b/>
                <w:szCs w:val="18"/>
              </w:rPr>
              <w:t>本理财产品按前一日理财产品资产净值收取年化0.15%的销售费，按日计提。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C份额：</w:t>
            </w:r>
          </w:p>
          <w:p>
            <w:pPr>
              <w:pStyle w:val="null10"/>
              <w:spacing w:lineRule="exact" w:line="200"/>
            </w:pPr>
            <w:r>
              <w:rPr>
                <w:rFonts w:ascii="方正黑体_GBK" w:hAnsi="方正黑体_GBK" w:cs="宋体" w:eastAsia="方正黑体_GBK"/>
                <w:sz w:val="18"/>
                <w:b/>
                <w:szCs w:val="18"/>
              </w:rPr>
              <w:t>本理财产品按前一日理财产品资产净值收取年化0.05%的销售费，按日计提。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E份额：</w:t>
            </w:r>
          </w:p>
          <w:p>
            <w:pPr>
              <w:pStyle w:val="null10"/>
              <w:spacing w:lineRule="exact" w:line="200"/>
            </w:pPr>
            <w:r>
              <w:rPr>
                <w:rFonts w:ascii="方正黑体_GBK" w:hAnsi="方正黑体_GBK" w:cs="宋体" w:eastAsia="方正黑体_GBK"/>
                <w:sz w:val="18"/>
                <w:b/>
                <w:szCs w:val="18"/>
              </w:rPr>
              <w:t>本理财产品按前一日理财产品资产净值收取年化0.25%的销售费，按日计提。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O份额：</w:t>
            </w:r>
          </w:p>
          <w:p>
            <w:pPr>
              <w:pStyle w:val="null10"/>
              <w:spacing w:lineRule="exact" w:line="200"/>
            </w:pPr>
            <w:r>
              <w:rPr>
                <w:rFonts w:ascii="方正黑体_GBK" w:hAnsi="方正黑体_GBK" w:cs="宋体" w:eastAsia="方正黑体_GBK"/>
                <w:sz w:val="18"/>
                <w:b/>
                <w:szCs w:val="18"/>
              </w:rPr>
              <w:t>本理财产品一次性收取年化0.3%的销售费，按日摊销。</w:t>
            </w:r>
          </w:p>
          <w:p>
            <w:pPr>
              <w:pStyle w:val="null10"/>
              <w:spacing w:lineRule="exact" w:line="200"/>
            </w:pPr>
            <w:r>
              <w:rPr>
                <w:rFonts w:ascii="方正黑体_GBK" w:hAnsi="方正黑体_GBK" w:cs="宋体" w:eastAsia="方正黑体_GBK"/>
                <w:sz w:val="18"/>
                <w:b/>
                <w:szCs w:val="18"/>
              </w:rPr>
              <w:t>产品成立日次日计提的销售费=产品成立日次日产品份额×年化销售费率÷365×（产品存续期限-1）。销售费于产品成立日次日一次性收取，产品成立日次日起每个自然日摊销。</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w:t>
            </w:r>
          </w:p>
          <w:p>
            <w:pPr>
              <w:pStyle w:val="null10"/>
              <w:spacing w:lineRule="exact" w:line="200"/>
            </w:pPr>
            <w:r>
              <w:rPr>
                <w:rFonts w:ascii="方正黑体_GBK" w:hAnsi="方正黑体_GBK" w:cs="宋体" w:eastAsia="方正黑体_GBK"/>
                <w:sz w:val="18"/>
                <w:b/>
                <w:szCs w:val="18"/>
              </w:rPr>
              <w:t>B份额：固定管理费年化0.15%</w:t>
            </w:r>
          </w:p>
          <w:p>
            <w:pPr>
              <w:pStyle w:val="null10"/>
              <w:spacing w:lineRule="exact" w:line="200"/>
            </w:pPr>
            <w:r>
              <w:rPr>
                <w:rFonts w:ascii="方正黑体_GBK" w:hAnsi="方正黑体_GBK" w:cs="宋体" w:eastAsia="方正黑体_GBK"/>
                <w:sz w:val="18"/>
                <w:b/>
                <w:szCs w:val="18"/>
              </w:rPr>
              <w:t>C份额：固定管理费年化0.15%</w:t>
            </w:r>
          </w:p>
          <w:p>
            <w:pPr>
              <w:pStyle w:val="null10"/>
              <w:spacing w:lineRule="exact" w:line="200"/>
            </w:pPr>
            <w:r>
              <w:rPr>
                <w:rFonts w:ascii="方正黑体_GBK" w:hAnsi="方正黑体_GBK" w:cs="宋体" w:eastAsia="方正黑体_GBK"/>
                <w:sz w:val="18"/>
                <w:b/>
                <w:szCs w:val="18"/>
              </w:rPr>
              <w:t>E份额：固定管理费年化0.1%</w:t>
            </w:r>
          </w:p>
          <w:p>
            <w:pPr>
              <w:pStyle w:val="null10"/>
              <w:spacing w:lineRule="exact" w:line="200"/>
            </w:pPr>
            <w:r>
              <w:rPr>
                <w:rFonts w:ascii="方正黑体_GBK" w:hAnsi="方正黑体_GBK" w:cs="宋体" w:eastAsia="方正黑体_GBK"/>
                <w:sz w:val="18"/>
                <w:b/>
                <w:szCs w:val="18"/>
              </w:rPr>
              <w:t>O份额：固定管理费年化0.1%</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在2.65%（含）（年化，即产品该份额对应的业绩报酬计提基准）至2.9%（不含）之间的部分，管理人将按超过2.65%部分的50%收取业绩报酬；在2.9%（含）（年化，即产品该份额对应的业绩报酬计提基准）以上的部分，管理人将按超过2.9%部分的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在2.75%（含）（年化，即产品该份额对应的业绩报酬计提基准）至3%（不含）之间的部分，管理人将按超过2.75%部分的50%收取业绩报酬；在3%（含）（年化，即产品该份额对应的业绩报酬计提基准）以上的部分，管理人将按超过3%部分的60%收取业绩报酬。</w:t>
            </w:r>
          </w:p>
          <w:p>
            <w:pPr>
              <w:pStyle w:val="null10"/>
              <w:spacing w:lineRule="exact" w:line="200"/>
            </w:pPr>
            <w:r>
              <w:rPr>
                <w:rFonts w:ascii="方正黑体_GBK" w:hAnsi="方正黑体_GBK" w:cs="宋体" w:eastAsia="方正黑体_GBK"/>
                <w:sz w:val="18"/>
                <w:b/>
                <w:szCs w:val="18"/>
              </w:rPr>
              <w:t>E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pPr>
              <w:pStyle w:val="null10"/>
              <w:spacing w:lineRule="exact" w:line="200"/>
            </w:pPr>
            <w:r>
              <w:rPr>
                <w:rFonts w:ascii="方正黑体_GBK" w:hAnsi="方正黑体_GBK" w:cs="宋体" w:eastAsia="方正黑体_GBK"/>
                <w:sz w:val="18"/>
                <w:b/>
                <w:szCs w:val="18"/>
              </w:rPr>
              <w:t>O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江苏太仓农村商业银行股份有限公司、青岛银行股份有限公司、杭州银行股份有限公司、齐商银行股份有限公司、江苏常熟农村商业银行股份有限公司、江苏苏州农村商业银行股份有限公司、长沙银行股份有限公司、秦皇岛银行股份有限公司、泰安银行股份有限公司、齐鲁银行股份有限公司、贵阳银行股份有限公司、云南红塔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新沂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海南银行股份有限公司、江苏丰县农村商业银行股份有限公司、江苏射阳农村商业银行股份有限公司、江苏句容农村商业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河北银行股份有限公司、郑州银行股份有限公司、山西银行股份有限公司、江苏如东农村商业银行股份有限公司、北京银行股份有限公司、江苏赣榆农村商业银行股份有限公司、江苏盱眙农村商业银行股份有限公司、东营银行股份有限公司、江苏沛县农村商业银行股份有限公司、甘肃银行股份有限公司、江苏仪征农村商业银行股份有限公司、吉林银行股份有限公司、连云港东方农村商业银行股份有限公司、上海农村商业银行股份有限公司、江苏沭阳农村商业银行股份有限公司、广州农村商业银行股份有限公司、江苏泰州农村商业银行股份有限公司。</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平安资产管理有限责任公司、泰康资产管理有限责任公司、太平洋资产管理有限责任公司、天津信托有限责任公司、云南国际信托有限公司、中国对外经济贸易信托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1.合作机构为理财产品所投资资产管理产品的发行机构，主要承担资产管理产品的管理人职责：平安资产管理有限责任公司、泰康资产管理有限责任公司、太平洋资产管理有限责任公司。</w:t>
            </w:r>
          </w:p>
          <w:p>
            <w:pPr>
              <w:pStyle w:val="null10"/>
              <w:spacing w:lineRule="exact" w:line="200"/>
            </w:pPr>
            <w:r>
              <w:rPr>
                <w:rFonts w:ascii="方正黑体_GBK" w:hAnsi="方正黑体_GBK" w:cs="宋体" w:eastAsia="方正黑体_GBK"/>
                <w:sz w:val="18"/>
                <w:szCs w:val="18"/>
              </w:rPr>
              <w:t>2.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天津信托有限责任公司、云南国际信托有限公司、中国对外经济贸易信托有限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平安资产管理有限责任公司成立于2005年05月27日，注册资本金15亿元。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太平洋资产管理有限责任公司成立于2006年06月09日，注册资本金21亿元。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云南国际信托有限公司成立于1997年09月03日，注册资本金120000万元人民币。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cd5029f5"/>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1e4d294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1e4d2944"/>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1e4d294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1e4d29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1e4d2944"/>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1e4d29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1e4d29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1e4d29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1e4d29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1e4d294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1e4d29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1e4d29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1e4d29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1e4d29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1e4d29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1e4d29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1e4d294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1e4d29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1e4d29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1e4d29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1e4d29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1e4d29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1e4d29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1e4d29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1e4d29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1e4d29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1e4d29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1e4d29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1e4d29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1e4d29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1e4d294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1e4d2944"/>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南银理财珠联璧合鑫逸稳两年172期封闭式公募人民币理财产品</w:t>
      </w:r>
      <w:r>
        <w:rPr>
          <w:rFonts w:ascii="方正黑体_GBK" w:eastAsia="方正黑体_GBK" w:hint="eastAsia" w:hAnsi="方正黑体_GBK"/>
          <w:vanish w:val="0"/>
          <w:color w:val="3D3D3D"/>
          <w:kern w:val="0"/>
          <w:sz w:val="15"/>
          <w:szCs w:val="15"/>
        </w:rPr>
        <w:t>。</w:t>
      </w:r>
    </w:p>
    <w:p>
      <w:pPr>
        <w:pStyle w:val="1e4d29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1e4d29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1e4d29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1e4d29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1e4d2944"/>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1e4d29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1e4d29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1e4d29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1e4d29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1e4d29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1e4d29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1e4d29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1e4d29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1e4d29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1e4d29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1e4d29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1e4d2944"/>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1e4d2944"/>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1e4d29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dc0e5c4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dc0e5c4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dc0e5c4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dc0e5c4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dc0e5c4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dc0e5c4a"/>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1e4d29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1e4d2944"/>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1e4d2944"/>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cd5029f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cd5029f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dc0e5c4a"/>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cd5029f5"/>
        <w:keepNext w:val="0"/>
        <w:keepLines w:val="0"/>
        <w:pageBreakBefore w:val="0"/>
        <w:widowControl/>
        <w:suppressLineNumbers w:val="0"/>
        <w:suppressAutoHyphens w:val="0"/>
        <w:spacing w:line="200" w:lineRule="exact"/>
        <w:ind w:firstLineChars="200" w:firstLine="300"/>
        <w:rPr>
          <w:rStyle w:val="dc0e5c4a"/>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cd5029f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cd5029f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cd5029f5"/>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cd5029f5"/>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cd5029f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cd5029f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cd5029f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cd5029f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cd5029f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cd5029f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cd5029f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cd5029f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cd5029f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cd5029f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cd5029f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cd5029f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cd5029f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cd5029f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cd5029f5"/>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cd5029f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cd5029f5"/>
        <w:keepNext w:val="0"/>
        <w:keepLines w:val="0"/>
        <w:pageBreakBefore w:val="0"/>
        <w:widowControl/>
        <w:numPr>
          <w:ilvl w:val="0"/>
          <w:numId w:val="4"/>
        </w:numPr>
        <w:suppressLineNumbers w:val="0"/>
        <w:suppressAutoHyphens w:val="0"/>
        <w:spacing w:line="200" w:lineRule="exact"/>
        <w:ind w:left="0" w:firstLineChars="200" w:firstLine="300"/>
        <w:rPr>
          <w:rFonts w:ascii="方正黑体_GBK" w:hint="eastAsia" w:hAnsi="方正黑体_GBK" w:eastAsia="方正黑体_GBK"/>
          <w:b/>
          <w:bCs/>
          <w:color w:val="3D3D3D"/>
          <w:kern w:val="0"/>
          <w:sz w:val="15"/>
          <w:szCs w:val="15"/>
        </w:rPr>
      </w:pPr>
      <w:bookmarkStart w:id="0" w:name="_GoBack"/>
      <w:bookmarkEnd w:id="0"/>
      <w:r>
        <w:rPr>
          <w:rFonts w:ascii="方正黑体_GBK" w:hint="eastAsia" w:hAnsi="方正黑体_GBK" w:eastAsia="方正黑体_GBK"/>
          <w:b/>
          <w:bCs/>
          <w:color w:val="3D3D3D"/>
          <w:kern w:val="0"/>
          <w:sz w:val="15"/>
          <w:szCs w:val="15"/>
        </w:rPr>
        <w:t>在本理财产品存续期内：</w:t>
      </w:r>
    </w:p>
    <w:p>
      <w:pPr>
        <w:pStyle w:val="cd5029f5"/>
        <w:keepNext w:val="0"/>
        <w:keepLines w:val="0"/>
        <w:pageBreakBefore w:val="0"/>
        <w:widowControl/>
        <w:suppressLineNumbers w:val="0"/>
        <w:suppressAutoHyphens w:val="0"/>
        <w:spacing w:line="200" w:lineRule="exact"/>
        <w:ind w:firstLine="0"/>
        <w:rPr>
          <w:rFonts w:ascii="方正黑体_GBK" w:hint="eastAsia" w:hAnsi="方正黑体_GBK" w:eastAsia="方正黑体_GBK"/>
          <w:bCs/>
          <w:color w:val="3D3D3D"/>
          <w:kern w:val="0"/>
          <w:sz w:val="15"/>
          <w:szCs w:val="15"/>
        </w:rPr>
      </w:pPr>
      <w:r>
        <w:rPr>
          <w:rFonts w:ascii="方正黑体_GBK" w:hint="eastAsia" w:hAnsi="方正黑体_GBK" w:eastAsia="方正黑体_GBK"/>
          <w:b/>
          <w:bCs/>
          <w:color w:val="3D3D3D"/>
          <w:kern w:val="0"/>
          <w:sz w:val="15"/>
          <w:szCs w:val="15"/>
        </w:rPr>
        <w:t xml:space="preserve">    </w:t>
      </w:r>
      <w:r>
        <w:rPr>
          <w:rFonts w:ascii="方正黑体_GBK" w:hint="eastAsia" w:hAnsi="方正黑体_GBK" w:eastAsia="方正黑体_GBK"/>
          <w:b/>
          <w:color w:val="3D3D3D"/>
          <w:kern w:val="0"/>
          <w:sz w:val="15"/>
          <w:szCs w:val="15"/>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pPr>
        <w:pStyle w:val="cd5029f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cd5029f5"/>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cd5029f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cd5029f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cd5029f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cd5029f5"/>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cd5029f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cd5029f5"/>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cd5029f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cd5029f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cd5029f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cd5029f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cd5029f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cd5029f5"/>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cd5029f5"/>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1"/>
  </w:num>
  <w:num w:numId="2">
    <w:abstractNumId w:val="3"/>
  </w:num>
  <w:num w:numId="3">
    <w:abstractNumId w:val="4"/>
  </w:num>
  <w:num w:numId="4">
    <w:abstractNumId w:val="2"/>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201adb7c">
    <w:name w:val="Normal201adb7c"/>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2dd6b00e">
    <w:name w:val="heading 12dd6b00e"/>
    <w:basedOn w:val="201adb7c"/>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4112cbd0">
    <w:name w:val="heading 24112cbd0"/>
    <w:basedOn w:val="201adb7c"/>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1be8ff14">
    <w:name w:val="heading 31be8ff14"/>
    <w:basedOn w:val="201adb7c"/>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78bf8f03">
    <w:name w:val="Default Paragraph Font78bf8f03"/>
  </w:style>
  <w:style xmlns:r="http://schemas.openxmlformats.org/officeDocument/2006/relationships" w:type="paragraph" w:styleId="a438ea32">
    <w:name w:val="toc 1a438ea32"/>
    <w:basedOn w:val="201adb7c"/>
    <w:autoRedefine/>
    <w:next w:val="0"/>
  </w:style>
  <w:style xmlns:r="http://schemas.openxmlformats.org/officeDocument/2006/relationships" w:type="paragraph" w:styleId="1046d091">
    <w:name w:val="toc 21046d091"/>
    <w:basedOn w:val="201adb7c"/>
    <w:autoRedefine/>
    <w:next w:val="0"/>
    <w:pPr>
      <w:ind w:left="420"/>
    </w:pPr>
  </w:style>
  <w:style xmlns:r="http://schemas.openxmlformats.org/officeDocument/2006/relationships" w:type="paragraph" w:styleId="ecbe6359">
    <w:name w:val="toc 3ecbe6359"/>
    <w:basedOn w:val="201adb7c"/>
    <w:autoRedefine/>
    <w:next w:val="0"/>
    <w:pPr>
      <w:ind w:left="840"/>
    </w:pPr>
  </w:style>
  <w:style xmlns:r="http://schemas.openxmlformats.org/officeDocument/2006/relationships" w:type="paragraph" w:styleId="df473003">
    <w:name w:val="toc 4df473003"/>
    <w:basedOn w:val="201adb7c"/>
    <w:autoRedefine/>
    <w:next w:val="0"/>
    <w:pPr>
      <w:ind w:left="1260"/>
    </w:pPr>
  </w:style>
  <w:style xmlns:r="http://schemas.openxmlformats.org/officeDocument/2006/relationships" w:type="paragraph" w:styleId="22e1dde0">
    <w:name w:val="toc 522e1dde0"/>
    <w:basedOn w:val="201adb7c"/>
    <w:autoRedefine/>
    <w:next w:val="0"/>
    <w:pPr>
      <w:ind w:left="1680"/>
    </w:pPr>
  </w:style>
  <w:style xmlns:r="http://schemas.openxmlformats.org/officeDocument/2006/relationships" w:type="paragraph" w:styleId="dcc2977d">
    <w:name w:val="headerdcc2977d"/>
    <w:basedOn w:val="201adb7c"/>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89fb950a">
    <w:name w:val="footer89fb950a"/>
    <w:basedOn w:val="201adb7c"/>
    <w:pPr>
      <w:tabs>
        <w:tab w:val="center" w:pos="4153"/>
        <w:tab w:val="right" w:pos="8307"/>
      </w:tabs>
      <w:adjustRightInd/>
      <w:snapToGrid w:val="0"/>
      <w:contextualSpacing w:val="0"/>
      <w:jc w:val="left"/>
    </w:pPr>
    <w:rPr>
      <w:sz w:val="18"/>
    </w:rPr>
  </w:style>
  <w:style xmlns:r="http://schemas.openxmlformats.org/officeDocument/2006/relationships" w:type="character" w:styleId="deaaf997">
    <w:name w:val="Strongdeaaf997"/>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cd5029f5">
    <w:name w:val="Normalcd5029f5"/>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12f08504">
    <w:name w:val="heading 112f08504"/>
    <w:basedOn w:val="cd5029f5"/>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b48879ed">
    <w:name w:val="heading 2b48879ed"/>
    <w:basedOn w:val="cd5029f5"/>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2124055d">
    <w:name w:val="heading 32124055d"/>
    <w:basedOn w:val="cd5029f5"/>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b9be8515">
    <w:name w:val="Default Paragraph Fontb9be8515"/>
  </w:style>
  <w:style xmlns:r="http://schemas.openxmlformats.org/officeDocument/2006/relationships" w:type="paragraph" w:styleId="c13e43af">
    <w:name w:val="Normal Indentc13e43af"/>
    <w:basedOn w:val="cd5029f5"/>
    <w:pPr>
      <w:ind w:firstLineChars="200" w:firstLine="200"/>
    </w:pPr>
  </w:style>
  <w:style xmlns:r="http://schemas.openxmlformats.org/officeDocument/2006/relationships" w:type="paragraph" w:styleId="b4790c5a">
    <w:name w:val="toc 5b4790c5a"/>
    <w:basedOn w:val="cd5029f5"/>
    <w:next w:val="0"/>
    <w:pPr>
      <w:ind w:left="1680"/>
    </w:pPr>
  </w:style>
  <w:style xmlns:r="http://schemas.openxmlformats.org/officeDocument/2006/relationships" w:type="paragraph" w:styleId="dae51f24">
    <w:name w:val="toc 3dae51f24"/>
    <w:basedOn w:val="cd5029f5"/>
    <w:next w:val="0"/>
    <w:pPr>
      <w:ind w:left="840"/>
    </w:pPr>
  </w:style>
  <w:style xmlns:r="http://schemas.openxmlformats.org/officeDocument/2006/relationships" w:type="paragraph" w:styleId="f9c01484">
    <w:name w:val="footerf9c01484"/>
    <w:basedOn w:val="cd5029f5"/>
    <w:pPr>
      <w:tabs>
        <w:tab w:val="center" w:pos="4153"/>
        <w:tab w:val="right" w:pos="8307"/>
      </w:tabs>
      <w:adjustRightInd/>
      <w:snapToGrid w:val="0"/>
      <w:contextualSpacing w:val="0"/>
      <w:jc w:val="left"/>
    </w:pPr>
    <w:rPr>
      <w:sz w:val="18"/>
    </w:rPr>
  </w:style>
  <w:style xmlns:r="http://schemas.openxmlformats.org/officeDocument/2006/relationships" w:type="paragraph" w:styleId="7b362d26">
    <w:name w:val="header7b362d26"/>
    <w:basedOn w:val="cd5029f5"/>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770f70e6">
    <w:name w:val="toc 1770f70e6"/>
    <w:basedOn w:val="cd5029f5"/>
    <w:next w:val="0"/>
  </w:style>
  <w:style xmlns:r="http://schemas.openxmlformats.org/officeDocument/2006/relationships" w:type="paragraph" w:styleId="790d986f">
    <w:name w:val="toc 4790d986f"/>
    <w:basedOn w:val="cd5029f5"/>
    <w:next w:val="0"/>
    <w:pPr>
      <w:ind w:left="1260"/>
    </w:pPr>
  </w:style>
  <w:style xmlns:r="http://schemas.openxmlformats.org/officeDocument/2006/relationships" w:type="paragraph" w:styleId="f0f5263a">
    <w:name w:val="toc 2f0f5263a"/>
    <w:basedOn w:val="cd5029f5"/>
    <w:next w:val="0"/>
    <w:pPr>
      <w:ind w:left="420"/>
    </w:pPr>
  </w:style>
  <w:style xmlns:r="http://schemas.openxmlformats.org/officeDocument/2006/relationships" w:type="paragraph" w:styleId="984b2c69">
    <w:name w:val="Normal (Web)984b2c69"/>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1e4d2944">
    <w:name w:val="Normal1e4d29441e4d2944"/>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184f54c4">
    <w:name w:val="heading 1184f54c4184f54c4"/>
    <w:basedOn w:val="1e4d2944"/>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76130460">
    <w:name w:val="heading 27613046076130460"/>
    <w:basedOn w:val="1e4d2944"/>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d0eaeed0">
    <w:name w:val="heading 3d0eaeed0d0eaeed0"/>
    <w:basedOn w:val="1e4d2944"/>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fc77b6bb">
    <w:name w:val="Default Paragraph Fontfc77b6bbfc77b6bb"/>
  </w:style>
  <w:style xmlns:r="http://schemas.openxmlformats.org/officeDocument/2006/relationships" w:type="paragraph" w:customStyle="1" w:styleId="d108ca88">
    <w:name w:val="引文目录1d108ca88d108ca88"/>
    <w:basedOn w:val="1e4d2944"/>
    <w:next w:val="0"/>
    <w:pPr>
      <w:ind w:leftChars="200" w:left="200"/>
    </w:pPr>
  </w:style>
  <w:style xmlns:r="http://schemas.openxmlformats.org/officeDocument/2006/relationships" w:type="paragraph" w:styleId="29c85b05">
    <w:name w:val="toc 529c85b0529c85b05"/>
    <w:basedOn w:val="1e4d2944"/>
    <w:next w:val="0"/>
    <w:pPr>
      <w:ind w:left="1680"/>
    </w:pPr>
  </w:style>
  <w:style xmlns:r="http://schemas.openxmlformats.org/officeDocument/2006/relationships" w:type="paragraph" w:styleId="4770b836">
    <w:name w:val="toc 34770b8364770b836"/>
    <w:basedOn w:val="1e4d2944"/>
    <w:next w:val="0"/>
    <w:pPr>
      <w:ind w:left="840"/>
    </w:pPr>
  </w:style>
  <w:style xmlns:r="http://schemas.openxmlformats.org/officeDocument/2006/relationships" w:type="paragraph" w:styleId="12d2deb5">
    <w:name w:val="footer12d2deb512d2deb5"/>
    <w:basedOn w:val="1e4d2944"/>
    <w:pPr>
      <w:tabs>
        <w:tab w:val="center" w:pos="4153"/>
        <w:tab w:val="right" w:pos="8307"/>
      </w:tabs>
      <w:adjustRightInd/>
      <w:snapToGrid w:val="0"/>
      <w:contextualSpacing w:val="0"/>
      <w:jc w:val="left"/>
    </w:pPr>
    <w:rPr>
      <w:sz w:val="18"/>
    </w:rPr>
  </w:style>
  <w:style xmlns:r="http://schemas.openxmlformats.org/officeDocument/2006/relationships" w:type="paragraph" w:styleId="b54d8536">
    <w:name w:val="headerb54d8536b54d8536"/>
    <w:basedOn w:val="1e4d2944"/>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5f943b68">
    <w:name w:val="toc 15f943b685f943b68"/>
    <w:basedOn w:val="1e4d2944"/>
    <w:next w:val="0"/>
  </w:style>
  <w:style xmlns:r="http://schemas.openxmlformats.org/officeDocument/2006/relationships" w:type="paragraph" w:styleId="cc1b1e8c">
    <w:name w:val="toc 4cc1b1e8ccc1b1e8c"/>
    <w:basedOn w:val="1e4d2944"/>
    <w:next w:val="0"/>
    <w:pPr>
      <w:ind w:left="1260"/>
    </w:pPr>
  </w:style>
  <w:style xmlns:r="http://schemas.openxmlformats.org/officeDocument/2006/relationships" w:type="paragraph" w:styleId="b1df6945">
    <w:name w:val="toc 2b1df6945b1df6945"/>
    <w:basedOn w:val="1e4d2944"/>
    <w:next w:val="0"/>
    <w:pPr>
      <w:ind w:left="420"/>
    </w:pPr>
  </w:style>
  <w:style xmlns:r="http://schemas.openxmlformats.org/officeDocument/2006/relationships" w:type="paragraph" w:customStyle="1" w:styleId="dc0e5c4a">
    <w:name w:val="列出段落1dc0e5c4adc0e5c4a"/>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