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28b7bb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28b7bb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28b7bb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28b7bb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28b7bb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28b7bb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28b7bb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28b7bb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28b7bb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28b7bb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28b7bb1d"/>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79d6530f"/>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79d6530f"/>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956cb78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南银理财珠联璧合鑫逸稳半年178期封闭式公募人民币理财产品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ZZ700322600147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Z7003226000158(投资者可依据该编码在中国理财网www.chinawealth.com.cn查询理财产品相关信息）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A份额：NYXY000896</w:t>
            </w:r>
          </w:p>
          <w:p>
            <w:pPr>
              <w:pStyle w:val="null10"/>
              <w:spacing w:lineRule="exact" w:line="200"/>
            </w:pPr>
            <w:r>
              <w:rPr>
                <w:rFonts w:ascii="方正黑体_GBK" w:hAnsi="方正黑体_GBK" w:cs="宋体" w:eastAsia="方正黑体_GBK"/>
                <w:sz w:val="18"/>
                <w:szCs w:val="18"/>
              </w:rPr>
              <w:t>B份额：NYXY000897</w:t>
            </w:r>
          </w:p>
          <w:p>
            <w:pPr>
              <w:pStyle w:val="null10"/>
              <w:spacing w:lineRule="exact" w:line="200"/>
            </w:pPr>
            <w:r>
              <w:rPr>
                <w:rFonts w:ascii="方正黑体_GBK" w:hAnsi="方正黑体_GBK" w:cs="宋体" w:eastAsia="方正黑体_GBK"/>
                <w:sz w:val="18"/>
                <w:szCs w:val="18"/>
              </w:rPr>
              <w:t>C份额：NYXY000898</w:t>
            </w:r>
          </w:p>
          <w:p>
            <w:pPr>
              <w:pStyle w:val="null10"/>
              <w:spacing w:lineRule="exact" w:line="200"/>
            </w:pPr>
            <w:r>
              <w:rPr>
                <w:rFonts w:ascii="方正黑体_GBK" w:hAnsi="方正黑体_GBK" w:cs="宋体" w:eastAsia="方正黑体_GBK"/>
                <w:sz w:val="18"/>
                <w:szCs w:val="18"/>
              </w:rPr>
              <w:t>F份额：NYXY000966</w:t>
            </w:r>
          </w:p>
          <w:p>
            <w:pPr>
              <w:pStyle w:val="null10"/>
              <w:spacing w:lineRule="exact" w:line="200"/>
            </w:pPr>
            <w:r>
              <w:rPr>
                <w:rFonts w:ascii="方正黑体_GBK" w:hAnsi="方正黑体_GBK" w:cs="宋体" w:eastAsia="方正黑体_GBK"/>
                <w:sz w:val="18"/>
                <w:szCs w:val="18"/>
              </w:rPr>
              <w:t>J份额：NYXY000899</w:t>
            </w:r>
          </w:p>
          <w:p>
            <w:pPr>
              <w:pStyle w:val="null10"/>
              <w:spacing w:lineRule="exact" w:line="200"/>
            </w:pPr>
            <w:r>
              <w:rPr>
                <w:rFonts w:ascii="方正黑体_GBK" w:hAnsi="方正黑体_GBK" w:cs="宋体" w:eastAsia="方正黑体_GBK"/>
                <w:sz w:val="18"/>
                <w:szCs w:val="18"/>
              </w:rPr>
              <w:t>L份额：NYXY000900</w:t>
            </w:r>
          </w:p>
          <w:p>
            <w:pPr>
              <w:pStyle w:val="null10"/>
              <w:spacing w:lineRule="exact" w:line="200"/>
            </w:pPr>
            <w:r>
              <w:rPr>
                <w:rFonts w:ascii="方正黑体_GBK" w:hAnsi="方正黑体_GBK" w:cs="宋体" w:eastAsia="方正黑体_GBK"/>
                <w:sz w:val="18"/>
                <w:szCs w:val="18"/>
              </w:rPr>
              <w:t>B2份额：NYXY000968</w:t>
            </w:r>
          </w:p>
          <w:p>
            <w:pPr>
              <w:pStyle w:val="null10"/>
              <w:spacing w:lineRule="exact" w:line="200"/>
            </w:pPr>
            <w:r>
              <w:rPr>
                <w:rFonts w:ascii="方正黑体_GBK" w:hAnsi="方正黑体_GBK" w:cs="宋体" w:eastAsia="方正黑体_GBK"/>
                <w:sz w:val="18"/>
                <w:szCs w:val="18"/>
              </w:rPr>
              <w:t>C2份额：NYXY000969</w:t>
            </w:r>
          </w:p>
          <w:p>
            <w:pPr>
              <w:pStyle w:val="null10"/>
              <w:spacing w:lineRule="exact" w:line="200"/>
            </w:pPr>
            <w:r>
              <w:rPr>
                <w:rFonts w:ascii="方正黑体_GBK" w:hAnsi="方正黑体_GBK" w:cs="宋体" w:eastAsia="方正黑体_GBK"/>
                <w:sz w:val="18"/>
                <w:szCs w:val="18"/>
              </w:rPr>
              <w:t>Q份额：NYXY000901</w:t>
            </w:r>
          </w:p>
          <w:p>
            <w:pPr>
              <w:pStyle w:val="null10"/>
              <w:spacing w:lineRule="exact" w:line="200"/>
            </w:pPr>
            <w:r>
              <w:rPr>
                <w:rFonts w:ascii="方正黑体_GBK" w:hAnsi="方正黑体_GBK" w:cs="宋体" w:eastAsia="方正黑体_GBK"/>
                <w:sz w:val="18"/>
                <w:szCs w:val="18"/>
              </w:rPr>
              <w:t>Q2份额：NYXY000967</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对公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私行客户外的其他客户）、蒙商银行股份有限公司（除财富客户外的其他客户）、广州农村商业银行股份有限公司、苏州银行股份有限公司、长安银行股份有限公司、无锡农村商业银行股份有限公司、福建海峡银行股份有限公司、齐鲁银行股份有限公司（除白金/私行客户、财富客户外的其他客户）、北京银行股份有限公司、贵阳银行股份有限公司、山西银行股份有限公司、德州银行股份有限公司、云南红塔银行股份有限公司、宁夏银行股份有限公司、九江银行股份有限公司、湖北银行股份有限公司、海南银行股份有限公司、廊坊银行股份有限公司、乌鲁木齐银行股份有限公司、上海农村商业银行股份有限公司、湖州银行股份有限公司、桂林银行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高淳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朝阳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私行客户)、徽商银行股份有限公司、杭州银行股份有限公司(除私行客户外的其他客户)、温州银行股份有限公司、江苏张家港农村商业银行股份有限公司、浙江民泰商业银行股份有限公司、广州银行股份有限公司、江苏常熟农村商业银行股份有限公司(1万元起购)、江苏江南农村商业银行股份有限公司(财富客户)、秦皇岛银行股份有限公司、齐鲁银行股份有限公司(白金/私行客户)、台州银行股份有限公司(除新客户外的其他客户)、兰州银行股份有限公司、甘肃银行股份有限公司、东营银行股份有限公司、桂林银行股份有限公司（财富客户）、石嘴山银行股份有限公司（财富客户）、江苏江都农村商业银行股份有限公司、江苏淮安农村商业银行股份有限公司( 财富客户)、江苏大丰农村商业银行股份有限公司、江苏镇江农村商业银行股份有限公司( 20万元起购)、徐州农村商业银行股份有限公司( 财富客户)、江苏紫金农村商业银行股份有限公司、江苏沛县农村商业银行股份有限公司、江苏仪征农村商业银行股份有限公司(20万元起购)、江苏海安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杭州银行股份有限公司(私行客户)、江苏江南农村商业银行股份有限公司(私行客户)、蒙商银行股份有限公司（财富客户）、长沙银行股份有限公司、郑州银行股份有限公司、泰安银行股份有限公司、齐鲁银行股份有限公司(财富客户 )、台州银行股份有限公司(新客专享)、天津农村商业银行股份有限公司(除私行和财富客户外的其他客户)、江苏泰兴农村商业银行股份有限公司、江苏响水农村商业银行股份有限公司(50万元起购)、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pPr>
              <w:pStyle w:val="null10"/>
              <w:spacing w:lineRule="exact" w:line="200"/>
            </w:pPr>
            <w:r>
              <w:rPr>
                <w:rFonts w:ascii="方正黑体_GBK" w:hAnsi="方正黑体_GBK" w:cs="宋体" w:eastAsia="方正黑体_GBK"/>
                <w:sz w:val="18"/>
                <w:szCs w:val="18"/>
              </w:rPr>
              <w:t>F份额：</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L份额：天津农村商业银行股份有限公司( 私行客户)。</w:t>
            </w:r>
          </w:p>
          <w:p>
            <w:pPr>
              <w:pStyle w:val="null10"/>
              <w:spacing w:lineRule="exact" w:line="200"/>
            </w:pPr>
            <w:r>
              <w:rPr>
                <w:rFonts w:ascii="方正黑体_GBK" w:hAnsi="方正黑体_GBK" w:cs="宋体" w:eastAsia="方正黑体_GBK"/>
                <w:sz w:val="18"/>
                <w:szCs w:val="18"/>
              </w:rPr>
              <w:t>B2份额：</w:t>
            </w:r>
          </w:p>
          <w:p>
            <w:pPr>
              <w:pStyle w:val="null10"/>
              <w:spacing w:lineRule="exact" w:line="200"/>
            </w:pPr>
            <w:r>
              <w:rPr>
                <w:rFonts w:ascii="方正黑体_GBK" w:hAnsi="方正黑体_GBK" w:cs="宋体" w:eastAsia="方正黑体_GBK"/>
                <w:sz w:val="18"/>
                <w:szCs w:val="18"/>
              </w:rPr>
              <w:t>C2份额：</w:t>
            </w:r>
          </w:p>
          <w:p>
            <w:pPr>
              <w:pStyle w:val="null10"/>
              <w:spacing w:lineRule="exact" w:line="200"/>
            </w:pPr>
            <w:r>
              <w:rPr>
                <w:rFonts w:ascii="方正黑体_GBK" w:hAnsi="方正黑体_GBK" w:cs="宋体" w:eastAsia="方正黑体_GBK"/>
                <w:sz w:val="18"/>
                <w:szCs w:val="18"/>
              </w:rPr>
              <w:t>Q份额：天津农村商业银行股份有限公司( 财富客户)。</w:t>
            </w:r>
          </w:p>
          <w:p>
            <w:pPr>
              <w:pStyle w:val="null10"/>
              <w:spacing w:lineRule="exact" w:line="200"/>
            </w:pPr>
            <w:r>
              <w:rPr>
                <w:rFonts w:ascii="方正黑体_GBK" w:hAnsi="方正黑体_GBK" w:cs="宋体" w:eastAsia="方正黑体_GBK"/>
                <w:sz w:val="18"/>
                <w:szCs w:val="18"/>
              </w:rPr>
              <w:t>Q2份额：</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A份额/B份额/C份额/F份额/J份额/L份额/B2份额/C2份额/Q份额/Q2份额：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2026年05月27日 09:00—2026年06月02日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2026年06月03日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2026年06月03日—实际到期日（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2026年12月16日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A份额：业绩比较基准为1.83%(年化)。</w:t>
            </w:r>
          </w:p>
          <w:p>
            <w:pPr>
              <w:pStyle w:val="null10"/>
              <w:spacing w:lineRule="exact" w:line="200"/>
            </w:pPr>
            <w:r>
              <w:rPr>
                <w:rFonts w:ascii="方正黑体_GBK" w:hAnsi="方正黑体_GBK" w:cs="宋体" w:eastAsia="方正黑体_GBK"/>
                <w:sz w:val="18"/>
                <w:szCs w:val="18"/>
              </w:rPr>
              <w:t>B份额：业绩比较基准为1.93%(年化)。</w:t>
            </w:r>
          </w:p>
          <w:p>
            <w:pPr>
              <w:pStyle w:val="null10"/>
              <w:spacing w:lineRule="exact" w:line="200"/>
            </w:pPr>
            <w:r>
              <w:rPr>
                <w:rFonts w:ascii="方正黑体_GBK" w:hAnsi="方正黑体_GBK" w:cs="宋体" w:eastAsia="方正黑体_GBK"/>
                <w:sz w:val="18"/>
                <w:szCs w:val="18"/>
              </w:rPr>
              <w:t>C份额：业绩比较基准为2.03%(年化)。</w:t>
            </w:r>
          </w:p>
          <w:p>
            <w:pPr>
              <w:pStyle w:val="null10"/>
              <w:spacing w:lineRule="exact" w:line="200"/>
            </w:pPr>
            <w:r>
              <w:rPr>
                <w:rFonts w:ascii="方正黑体_GBK" w:hAnsi="方正黑体_GBK" w:cs="宋体" w:eastAsia="方正黑体_GBK"/>
                <w:sz w:val="18"/>
                <w:szCs w:val="18"/>
              </w:rPr>
              <w:t>F份额：业绩比较基准为1.93%(年化)。</w:t>
            </w:r>
          </w:p>
          <w:p>
            <w:pPr>
              <w:pStyle w:val="null10"/>
              <w:spacing w:lineRule="exact" w:line="200"/>
            </w:pPr>
            <w:r>
              <w:rPr>
                <w:rFonts w:ascii="方正黑体_GBK" w:hAnsi="方正黑体_GBK" w:cs="宋体" w:eastAsia="方正黑体_GBK"/>
                <w:sz w:val="18"/>
                <w:szCs w:val="18"/>
              </w:rPr>
              <w:t>J份额：业绩比较基准为1.83%(年化)。</w:t>
            </w:r>
          </w:p>
          <w:p>
            <w:pPr>
              <w:pStyle w:val="null10"/>
              <w:spacing w:lineRule="exact" w:line="200"/>
            </w:pPr>
            <w:r>
              <w:rPr>
                <w:rFonts w:ascii="方正黑体_GBK" w:hAnsi="方正黑体_GBK" w:cs="宋体" w:eastAsia="方正黑体_GBK"/>
                <w:sz w:val="18"/>
                <w:szCs w:val="18"/>
              </w:rPr>
              <w:t>L份额：业绩比较基准为2.08%(年化)。</w:t>
            </w:r>
          </w:p>
          <w:p>
            <w:pPr>
              <w:pStyle w:val="null10"/>
              <w:spacing w:lineRule="exact" w:line="200"/>
            </w:pPr>
            <w:r>
              <w:rPr>
                <w:rFonts w:ascii="方正黑体_GBK" w:hAnsi="方正黑体_GBK" w:cs="宋体" w:eastAsia="方正黑体_GBK"/>
                <w:sz w:val="18"/>
                <w:szCs w:val="18"/>
              </w:rPr>
              <w:t>B2份额：业绩比较基准为1.88%(年化)。</w:t>
            </w:r>
          </w:p>
          <w:p>
            <w:pPr>
              <w:pStyle w:val="null10"/>
              <w:spacing w:lineRule="exact" w:line="200"/>
            </w:pPr>
            <w:r>
              <w:rPr>
                <w:rFonts w:ascii="方正黑体_GBK" w:hAnsi="方正黑体_GBK" w:cs="宋体" w:eastAsia="方正黑体_GBK"/>
                <w:sz w:val="18"/>
                <w:szCs w:val="18"/>
              </w:rPr>
              <w:t>C2份额：业绩比较基准为1.98%(年化)。</w:t>
            </w:r>
          </w:p>
          <w:p>
            <w:pPr>
              <w:pStyle w:val="null10"/>
              <w:spacing w:lineRule="exact" w:line="200"/>
            </w:pPr>
            <w:r>
              <w:rPr>
                <w:rFonts w:ascii="方正黑体_GBK" w:hAnsi="方正黑体_GBK" w:cs="宋体" w:eastAsia="方正黑体_GBK"/>
                <w:sz w:val="18"/>
                <w:szCs w:val="18"/>
              </w:rPr>
              <w:t>Q份额：业绩比较基准为1.98%(年化)。</w:t>
            </w:r>
          </w:p>
          <w:p>
            <w:pPr>
              <w:pStyle w:val="null10"/>
              <w:spacing w:lineRule="exact" w:line="200"/>
            </w:pPr>
            <w:r>
              <w:rPr>
                <w:rFonts w:ascii="方正黑体_GBK" w:hAnsi="方正黑体_GBK" w:cs="宋体" w:eastAsia="方正黑体_GBK"/>
                <w:sz w:val="18"/>
                <w:szCs w:val="18"/>
              </w:rPr>
              <w:t>Q2份额：业绩比较基准为2.1%(年化)。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F份额：销售费年化0.2%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B2份额：销售费年化0.25%</w:t>
            </w:r>
          </w:p>
          <w:p>
            <w:pPr>
              <w:pStyle w:val="null10"/>
              <w:spacing w:lineRule="exact" w:line="200"/>
            </w:pPr>
            <w:r>
              <w:rPr>
                <w:rFonts w:ascii="方正黑体_GBK" w:hAnsi="方正黑体_GBK" w:cs="宋体" w:eastAsia="方正黑体_GBK"/>
                <w:sz w:val="18"/>
                <w:b/>
                <w:szCs w:val="18"/>
              </w:rPr>
              <w:t>C2份额：销售费年化0.15%</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Q2份额：销售费年化0.1%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B2份额：固定管理费年化0.08%</w:t>
            </w:r>
          </w:p>
          <w:p>
            <w:pPr>
              <w:pStyle w:val="null10"/>
              <w:spacing w:lineRule="exact" w:line="200"/>
            </w:pPr>
            <w:r>
              <w:rPr>
                <w:rFonts w:ascii="方正黑体_GBK" w:hAnsi="方正黑体_GBK" w:cs="宋体" w:eastAsia="方正黑体_GBK"/>
                <w:sz w:val="18"/>
                <w:b/>
                <w:szCs w:val="18"/>
              </w:rPr>
              <w:t>C2份额：固定管理费年化0.08%</w:t>
            </w:r>
          </w:p>
          <w:p>
            <w:pPr>
              <w:pStyle w:val="null10"/>
              <w:spacing w:lineRule="exact" w:line="200"/>
            </w:pPr>
            <w:r>
              <w:rPr>
                <w:rFonts w:ascii="方正黑体_GBK" w:hAnsi="方正黑体_GBK" w:cs="宋体" w:eastAsia="方正黑体_GBK"/>
                <w:sz w:val="18"/>
                <w:b/>
                <w:szCs w:val="18"/>
              </w:rPr>
              <w:t>Q份额：固定管理费年化0.13%</w:t>
            </w:r>
          </w:p>
          <w:p>
            <w:pPr>
              <w:pStyle w:val="null10"/>
              <w:spacing w:lineRule="exact" w:line="200"/>
            </w:pPr>
            <w:r>
              <w:rPr>
                <w:rFonts w:ascii="方正黑体_GBK" w:hAnsi="方正黑体_GBK" w:cs="宋体" w:eastAsia="方正黑体_GBK"/>
                <w:sz w:val="18"/>
                <w:b/>
                <w:szCs w:val="18"/>
              </w:rPr>
              <w:t>Q2份额：固定管理费年化0.01%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B2份额：到期兑付时，当期产品投资的实际资产组合收益（扣除销售费、固定管理费、托管费等相关费用）超过1.88%（年化，即产品该份额对应的业绩报酬计提基准）时，超过部分管理人将按60%收取业绩报酬。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C2份额：到期兑付时，当期产品投资的实际资产组合收益（扣除销售费、固定管理费、托管费等相关费用）超过1.98%（年化，即产品该份额对应的业绩报酬计提基准）时，超过部分管理人将按60%收取业绩报酬。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Q2份额：到期兑付时，当期产品投资的实际资产组合收益（扣除销售费、固定管理费、托管费等相关费用）超过2.1%（年化，即产品该份额对应的业绩报酬计提基准）时，超过部分管理人将按60%收取业绩报酬。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 xml:space="preserve">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  </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交通银行股份有限公司、甘肃银行股份有限公司、中国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湖州银行股份有限公司、江苏灌云农村商业银行股份有限公司、江苏海安农村商业银行股份有限公司、广州农村商业银行股份有限公司、江苏泰州农村商业银行股份有限公司、朝阳银行股份有限公司、江苏启东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79d6530f"/>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00adc4f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00adc4f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00adc4f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00adc4f1"/>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00adc4f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00adc4f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00adc4f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00adc4f1"/>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南银理财珠联璧合鑫逸稳半年178期封闭式公募人民币理财产品</w:t>
      </w:r>
      <w:r>
        <w:rPr>
          <w:rFonts w:ascii="方正黑体_GBK" w:eastAsia="方正黑体_GBK" w:hint="eastAsia" w:hAnsi="方正黑体_GBK"/>
          <w:vanish w:val="0"/>
          <w:color w:val="3D3D3D"/>
          <w:kern w:val="0"/>
          <w:sz w:val="15"/>
          <w:szCs w:val="15"/>
        </w:rPr>
        <w:t>。</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00adc4f1"/>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00adc4f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00adc4f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00adc4f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3d66ae9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3d66ae9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3d66ae9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3d66ae9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3d66ae9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3d66ae9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00adc4f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00adc4f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00adc4f1"/>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3d66ae9b"/>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79d6530f"/>
        <w:keepNext w:val="0"/>
        <w:keepLines w:val="0"/>
        <w:pageBreakBefore w:val="0"/>
        <w:widowControl/>
        <w:suppressLineNumbers w:val="0"/>
        <w:suppressAutoHyphens w:val="0"/>
        <w:spacing w:line="200" w:lineRule="exact"/>
        <w:ind w:firstLineChars="200" w:firstLine="300"/>
        <w:rPr>
          <w:rStyle w:val="3d66ae9b"/>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79d6530f"/>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79d6530f"/>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79d6530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79d6530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79d6530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79d6530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79d6530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79d6530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79d6530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79d6530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79d6530f"/>
        <w:keepNext w:val="0"/>
        <w:keepLines w:val="0"/>
        <w:pageBreakBefore w:val="0"/>
        <w:widowControl/>
        <w:numPr>
          <w:ilvl w:val="0"/>
          <w:numId w:val="4"/>
        </w:numPr>
        <w:suppressLineNumbers w:val="0"/>
        <w:suppressAutoHyphens w:val="0"/>
        <w:spacing w:line="200" w:lineRule="exact"/>
        <w:ind w:left="0" w:firstLineChars="200" w:firstLine="300"/>
        <w:rPr>
          <w:rFonts w:ascii="方正黑体_GBK" w:hint="eastAsia" w:hAnsi="方正黑体_GBK" w:eastAsia="方正黑体_GBK"/>
          <w:b/>
          <w:bCs/>
          <w:color w:val="3D3D3D"/>
          <w:kern w:val="0"/>
          <w:sz w:val="15"/>
          <w:szCs w:val="15"/>
        </w:rPr>
      </w:pPr>
      <w:bookmarkStart w:id="0" w:name="_GoBack"/>
      <w:bookmarkEnd w:id="0"/>
      <w:r>
        <w:rPr>
          <w:rFonts w:ascii="方正黑体_GBK" w:hint="eastAsia" w:hAnsi="方正黑体_GBK" w:eastAsia="方正黑体_GBK"/>
          <w:b/>
          <w:bCs/>
          <w:color w:val="3D3D3D"/>
          <w:kern w:val="0"/>
          <w:sz w:val="15"/>
          <w:szCs w:val="15"/>
        </w:rPr>
        <w:t>在本理财产品存续期内：</w:t>
      </w:r>
    </w:p>
    <w:p>
      <w:pPr>
        <w:pStyle w:val="79d6530f"/>
        <w:keepNext w:val="0"/>
        <w:keepLines w:val="0"/>
        <w:pageBreakBefore w:val="0"/>
        <w:widowControl/>
        <w:suppressLineNumbers w:val="0"/>
        <w:suppressAutoHyphens w:val="0"/>
        <w:spacing w:line="200" w:lineRule="exact"/>
        <w:ind w:firstLine="0"/>
        <w:rPr>
          <w:rFonts w:ascii="方正黑体_GBK" w:hint="eastAsia" w:hAnsi="方正黑体_GBK" w:eastAsia="方正黑体_GBK"/>
          <w:bCs/>
          <w:color w:val="3D3D3D"/>
          <w:kern w:val="0"/>
          <w:sz w:val="15"/>
          <w:szCs w:val="15"/>
        </w:rPr>
      </w:pPr>
      <w:r>
        <w:rPr>
          <w:rFonts w:ascii="方正黑体_GBK" w:hint="eastAsia" w:hAnsi="方正黑体_GBK" w:eastAsia="方正黑体_GBK"/>
          <w:b/>
          <w:bCs/>
          <w:color w:val="3D3D3D"/>
          <w:kern w:val="0"/>
          <w:sz w:val="15"/>
          <w:szCs w:val="15"/>
        </w:rPr>
        <w:t xml:space="preserve">    </w:t>
      </w:r>
      <w:r>
        <w:rPr>
          <w:rFonts w:ascii="方正黑体_GBK" w:hint="eastAsia" w:hAnsi="方正黑体_GBK" w:eastAsia="方正黑体_GBK"/>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79d6530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79d6530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79d6530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79d653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79d6530f"/>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4"/>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28b7bb1d">
    <w:name w:val="Normal28b7bb1d"/>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339abde">
    <w:name w:val="heading 1e339abde"/>
    <w:basedOn w:val="28b7bb1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1582872">
    <w:name w:val="heading 261582872"/>
    <w:basedOn w:val="28b7bb1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2a9780b">
    <w:name w:val="heading 342a9780b"/>
    <w:basedOn w:val="28b7bb1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7dcf424">
    <w:name w:val="Default Paragraph Fonte7dcf424"/>
  </w:style>
  <w:style xmlns:r="http://schemas.openxmlformats.org/officeDocument/2006/relationships" w:type="paragraph" w:styleId="6e4aa120">
    <w:name w:val="toc 16e4aa120"/>
    <w:basedOn w:val="28b7bb1d"/>
    <w:autoRedefine/>
    <w:next w:val="0"/>
  </w:style>
  <w:style xmlns:r="http://schemas.openxmlformats.org/officeDocument/2006/relationships" w:type="paragraph" w:styleId="1f1be742">
    <w:name w:val="toc 21f1be742"/>
    <w:basedOn w:val="28b7bb1d"/>
    <w:autoRedefine/>
    <w:next w:val="0"/>
    <w:pPr>
      <w:ind w:left="420"/>
    </w:pPr>
  </w:style>
  <w:style xmlns:r="http://schemas.openxmlformats.org/officeDocument/2006/relationships" w:type="paragraph" w:styleId="bf7c99f4">
    <w:name w:val="toc 3bf7c99f4"/>
    <w:basedOn w:val="28b7bb1d"/>
    <w:autoRedefine/>
    <w:next w:val="0"/>
    <w:pPr>
      <w:ind w:left="840"/>
    </w:pPr>
  </w:style>
  <w:style xmlns:r="http://schemas.openxmlformats.org/officeDocument/2006/relationships" w:type="paragraph" w:styleId="9bbf4879">
    <w:name w:val="toc 49bbf4879"/>
    <w:basedOn w:val="28b7bb1d"/>
    <w:autoRedefine/>
    <w:next w:val="0"/>
    <w:pPr>
      <w:ind w:left="1260"/>
    </w:pPr>
  </w:style>
  <w:style xmlns:r="http://schemas.openxmlformats.org/officeDocument/2006/relationships" w:type="paragraph" w:styleId="63b43394">
    <w:name w:val="toc 563b43394"/>
    <w:basedOn w:val="28b7bb1d"/>
    <w:autoRedefine/>
    <w:next w:val="0"/>
    <w:pPr>
      <w:ind w:left="1680"/>
    </w:pPr>
  </w:style>
  <w:style xmlns:r="http://schemas.openxmlformats.org/officeDocument/2006/relationships" w:type="paragraph" w:styleId="457a619d">
    <w:name w:val="header457a619d"/>
    <w:basedOn w:val="28b7bb1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a0180ee">
    <w:name w:val="footeraa0180ee"/>
    <w:basedOn w:val="28b7bb1d"/>
    <w:pPr>
      <w:tabs>
        <w:tab w:val="center" w:pos="4153"/>
        <w:tab w:val="right" w:pos="8307"/>
      </w:tabs>
      <w:adjustRightInd/>
      <w:snapToGrid w:val="0"/>
      <w:contextualSpacing w:val="0"/>
      <w:jc w:val="left"/>
    </w:pPr>
    <w:rPr>
      <w:sz w:val="18"/>
    </w:rPr>
  </w:style>
  <w:style xmlns:r="http://schemas.openxmlformats.org/officeDocument/2006/relationships" w:type="character" w:styleId="40648599">
    <w:name w:val="Strong40648599"/>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9d6530f">
    <w:name w:val="Normal79d6530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1a97706e">
    <w:name w:val="heading 11a97706e"/>
    <w:basedOn w:val="79d6530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6b0471f">
    <w:name w:val="heading 206b0471f"/>
    <w:basedOn w:val="79d6530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319c904">
    <w:name w:val="heading 3c319c904"/>
    <w:basedOn w:val="79d6530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f72685c">
    <w:name w:val="Default Paragraph Font2f72685c"/>
  </w:style>
  <w:style xmlns:r="http://schemas.openxmlformats.org/officeDocument/2006/relationships" w:type="paragraph" w:styleId="e00e8240">
    <w:name w:val="Normal Indente00e8240"/>
    <w:basedOn w:val="79d6530f"/>
    <w:pPr>
      <w:ind w:firstLineChars="200" w:firstLine="200"/>
    </w:pPr>
  </w:style>
  <w:style xmlns:r="http://schemas.openxmlformats.org/officeDocument/2006/relationships" w:type="paragraph" w:styleId="05163408">
    <w:name w:val="toc 505163408"/>
    <w:basedOn w:val="79d6530f"/>
    <w:next w:val="0"/>
    <w:pPr>
      <w:ind w:left="1680"/>
    </w:pPr>
  </w:style>
  <w:style xmlns:r="http://schemas.openxmlformats.org/officeDocument/2006/relationships" w:type="paragraph" w:styleId="9aa0841d">
    <w:name w:val="toc 39aa0841d"/>
    <w:basedOn w:val="79d6530f"/>
    <w:next w:val="0"/>
    <w:pPr>
      <w:ind w:left="840"/>
    </w:pPr>
  </w:style>
  <w:style xmlns:r="http://schemas.openxmlformats.org/officeDocument/2006/relationships" w:type="paragraph" w:styleId="f145a5d4">
    <w:name w:val="footerf145a5d4"/>
    <w:basedOn w:val="79d6530f"/>
    <w:pPr>
      <w:tabs>
        <w:tab w:val="center" w:pos="4153"/>
        <w:tab w:val="right" w:pos="8307"/>
      </w:tabs>
      <w:adjustRightInd/>
      <w:snapToGrid w:val="0"/>
      <w:contextualSpacing w:val="0"/>
      <w:jc w:val="left"/>
    </w:pPr>
    <w:rPr>
      <w:sz w:val="18"/>
    </w:rPr>
  </w:style>
  <w:style xmlns:r="http://schemas.openxmlformats.org/officeDocument/2006/relationships" w:type="paragraph" w:styleId="69ed462d">
    <w:name w:val="header69ed462d"/>
    <w:basedOn w:val="79d6530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6fc06da">
    <w:name w:val="toc 1c6fc06da"/>
    <w:basedOn w:val="79d6530f"/>
    <w:next w:val="0"/>
  </w:style>
  <w:style xmlns:r="http://schemas.openxmlformats.org/officeDocument/2006/relationships" w:type="paragraph" w:styleId="2a31246f">
    <w:name w:val="toc 42a31246f"/>
    <w:basedOn w:val="79d6530f"/>
    <w:next w:val="0"/>
    <w:pPr>
      <w:ind w:left="1260"/>
    </w:pPr>
  </w:style>
  <w:style xmlns:r="http://schemas.openxmlformats.org/officeDocument/2006/relationships" w:type="paragraph" w:styleId="08add0ab">
    <w:name w:val="toc 208add0ab"/>
    <w:basedOn w:val="79d6530f"/>
    <w:next w:val="0"/>
    <w:pPr>
      <w:ind w:left="420"/>
    </w:pPr>
  </w:style>
  <w:style xmlns:r="http://schemas.openxmlformats.org/officeDocument/2006/relationships" w:type="paragraph" w:styleId="956cb782">
    <w:name w:val="Normal (Web)956cb78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0adc4f1">
    <w:name w:val="Normal00adc4f100adc4f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1628596">
    <w:name w:val="heading 16162859661628596"/>
    <w:basedOn w:val="00adc4f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861b81a">
    <w:name w:val="heading 26861b81a6861b81a"/>
    <w:basedOn w:val="00adc4f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19ab52c">
    <w:name w:val="heading 3519ab52c519ab52c"/>
    <w:basedOn w:val="00adc4f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2352700">
    <w:name w:val="Default Paragraph Font6235270062352700"/>
  </w:style>
  <w:style xmlns:r="http://schemas.openxmlformats.org/officeDocument/2006/relationships" w:type="paragraph" w:customStyle="1" w:styleId="7146b7ca">
    <w:name w:val="引文目录17146b7ca7146b7ca"/>
    <w:basedOn w:val="00adc4f1"/>
    <w:next w:val="0"/>
    <w:pPr>
      <w:ind w:leftChars="200" w:left="200"/>
    </w:pPr>
  </w:style>
  <w:style xmlns:r="http://schemas.openxmlformats.org/officeDocument/2006/relationships" w:type="paragraph" w:styleId="70c29c31">
    <w:name w:val="toc 570c29c3170c29c31"/>
    <w:basedOn w:val="00adc4f1"/>
    <w:next w:val="0"/>
    <w:pPr>
      <w:ind w:left="1680"/>
    </w:pPr>
  </w:style>
  <w:style xmlns:r="http://schemas.openxmlformats.org/officeDocument/2006/relationships" w:type="paragraph" w:styleId="12ed8d77">
    <w:name w:val="toc 312ed8d7712ed8d77"/>
    <w:basedOn w:val="00adc4f1"/>
    <w:next w:val="0"/>
    <w:pPr>
      <w:ind w:left="840"/>
    </w:pPr>
  </w:style>
  <w:style xmlns:r="http://schemas.openxmlformats.org/officeDocument/2006/relationships" w:type="paragraph" w:styleId="38c602cb">
    <w:name w:val="footer38c602cb38c602cb"/>
    <w:basedOn w:val="00adc4f1"/>
    <w:pPr>
      <w:tabs>
        <w:tab w:val="center" w:pos="4153"/>
        <w:tab w:val="right" w:pos="8307"/>
      </w:tabs>
      <w:adjustRightInd/>
      <w:snapToGrid w:val="0"/>
      <w:contextualSpacing w:val="0"/>
      <w:jc w:val="left"/>
    </w:pPr>
    <w:rPr>
      <w:sz w:val="18"/>
    </w:rPr>
  </w:style>
  <w:style xmlns:r="http://schemas.openxmlformats.org/officeDocument/2006/relationships" w:type="paragraph" w:styleId="5c41882f">
    <w:name w:val="header5c41882f5c41882f"/>
    <w:basedOn w:val="00adc4f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098d018">
    <w:name w:val="toc 13098d0183098d018"/>
    <w:basedOn w:val="00adc4f1"/>
    <w:next w:val="0"/>
  </w:style>
  <w:style xmlns:r="http://schemas.openxmlformats.org/officeDocument/2006/relationships" w:type="paragraph" w:styleId="0ca5d925">
    <w:name w:val="toc 40ca5d9250ca5d925"/>
    <w:basedOn w:val="00adc4f1"/>
    <w:next w:val="0"/>
    <w:pPr>
      <w:ind w:left="1260"/>
    </w:pPr>
  </w:style>
  <w:style xmlns:r="http://schemas.openxmlformats.org/officeDocument/2006/relationships" w:type="paragraph" w:styleId="3978e64c">
    <w:name w:val="toc 23978e64c3978e64c"/>
    <w:basedOn w:val="00adc4f1"/>
    <w:next w:val="0"/>
    <w:pPr>
      <w:ind w:left="420"/>
    </w:pPr>
  </w:style>
  <w:style xmlns:r="http://schemas.openxmlformats.org/officeDocument/2006/relationships" w:type="paragraph" w:customStyle="1" w:styleId="3d66ae9b">
    <w:name w:val="列出段落13d66ae9b3d66ae9b"/>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