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455e3b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455e3b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455e3b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455e3b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455e3b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455e3b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455e3b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455e3b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455e3b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455e3b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455e3b90"/>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02b56c7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02b56c7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074f053e"/>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南银理财珠联璧合鑫逸稳两年171期封闭式公募人民币理财产品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ZZ700322600149</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Z7003226000156(投资者可依据该编码在中国理财网www.chinawealth.com.cn查询理财产品相关信息）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A份额：NYXY000909</w:t>
            </w:r>
          </w:p>
          <w:p>
            <w:pPr>
              <w:pStyle w:val="null10"/>
              <w:spacing w:lineRule="exact" w:line="200"/>
            </w:pPr>
            <w:r>
              <w:rPr>
                <w:rFonts w:ascii="方正黑体_GBK" w:hAnsi="方正黑体_GBK" w:cs="宋体" w:eastAsia="方正黑体_GBK"/>
                <w:sz w:val="18"/>
                <w:szCs w:val="18"/>
              </w:rPr>
              <w:t>B份额：NYXY000910</w:t>
            </w:r>
          </w:p>
          <w:p>
            <w:pPr>
              <w:pStyle w:val="null10"/>
              <w:spacing w:lineRule="exact" w:line="200"/>
            </w:pPr>
            <w:r>
              <w:rPr>
                <w:rFonts w:ascii="方正黑体_GBK" w:hAnsi="方正黑体_GBK" w:cs="宋体" w:eastAsia="方正黑体_GBK"/>
                <w:sz w:val="18"/>
                <w:szCs w:val="18"/>
              </w:rPr>
              <w:t>C份额：NYXY000911</w:t>
            </w:r>
          </w:p>
          <w:p>
            <w:pPr>
              <w:pStyle w:val="null10"/>
              <w:spacing w:lineRule="exact" w:line="200"/>
            </w:pPr>
            <w:r>
              <w:rPr>
                <w:rFonts w:ascii="方正黑体_GBK" w:hAnsi="方正黑体_GBK" w:cs="宋体" w:eastAsia="方正黑体_GBK"/>
                <w:sz w:val="18"/>
                <w:szCs w:val="18"/>
              </w:rPr>
              <w:t>E份额：NYXY000975</w:t>
            </w:r>
          </w:p>
          <w:p>
            <w:pPr>
              <w:pStyle w:val="null10"/>
              <w:spacing w:lineRule="exact" w:line="200"/>
            </w:pPr>
            <w:r>
              <w:rPr>
                <w:rFonts w:ascii="方正黑体_GBK" w:hAnsi="方正黑体_GBK" w:cs="宋体" w:eastAsia="方正黑体_GBK"/>
                <w:sz w:val="18"/>
                <w:szCs w:val="18"/>
              </w:rPr>
              <w:t>O份额：NYXY000976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及代发客户外的其他客户）、青岛银行股份有限公司、江苏张家港农村商业银行股份有限公司、江苏苏州农村商业银行股份有限公司、蒙商银行股份有限公司、广州农村商业银行股份有限公司、苏州银行股份有限公司、齐鲁银行股份有限公司（除白金/私行客户外的其他客户）、北京银行股份有限公司、贵阳银行股份有限公司、天津农村商业银行股份有限公司（除代发和军人客户外的其他客户）、山西银行股份有限公司、云南红塔银行股份有限公司、宁夏银行股份有限公司、海南银行股份有限公司、廊坊银行股份有限公司、上海农村商业银行股份有限公司、桂林银行股份有限公司（除银龄和财富客户外的其他客户）、宁波通商银行股份有限公司（除老年客户外的其他客户）、石嘴山银行股份有限公司、无锡锡商银行股份有限公司、江苏丹阳农村商业银行股份有限公司、江苏宜兴农村商业银行股份有限公司、江苏高淳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仪征农村商业银行股份有限公司、江苏沭阳农村商业银行股份有限公司、连云港东方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杭州银行股份有限公司(除私行客户外的其他客户)、温州银行股份有限公司、齐商银行股份有限公司、河北银行股份有限公司、长沙银行股份有限公司、秦皇岛银行股份有限公司、齐鲁银行股份有限公司(白金/私行客户)、天津农村商业银行股份有限公司(代发客户)、甘肃银行股份有限公司、乌鲁木齐银行股份有限公司、东营银行股份有限公司、桂林银行股份有限公司(银龄客户)、宁波通商银行股份有限公司(老年客户)、江苏江都农村商业银行股份有限公司、江苏大丰农村商业银行股份有限公司、江苏镇江农村商业银行股份有限公司( 20万元起购)、江苏紫金农村商业银行股份有限公司、江苏沛县农村商业银行股份有限公司（除财富客户外的其他客户）、江苏泰州农村商业银行股份有限公司。</w:t>
            </w:r>
          </w:p>
          <w:p>
            <w:pPr>
              <w:pStyle w:val="null10"/>
              <w:spacing w:lineRule="exact" w:line="200"/>
            </w:pPr>
            <w:r>
              <w:rPr>
                <w:rFonts w:ascii="方正黑体_GBK" w:hAnsi="方正黑体_GBK" w:cs="宋体" w:eastAsia="方正黑体_GBK"/>
                <w:sz w:val="18"/>
                <w:szCs w:val="18"/>
              </w:rPr>
              <w:t>C份额：杭州银行股份有限公司(私行客户)、郑州银行股份有限公司、泰安银行股份有限公司、天津农村商业银行股份有限公司(军人客户)、桂林银行股份有限公司(财富客户)、江苏泰兴农村商业银行股份有限公司、江苏靖江农村商业银行股份有限公司、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江苏沛县农村商业银行股份有限公司（财富客户）。</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O份额：</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A份额/B份额/C份额/E份额/O份额：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2026年05月27日 09:00—2026年06月02日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2026年06月03日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2026年06月03日—实际到期日（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2028年06月21日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A份额：业绩比较基准为年化2.5%-2.75% 。</w:t>
            </w:r>
          </w:p>
          <w:p>
            <w:pPr>
              <w:pStyle w:val="null10"/>
              <w:spacing w:lineRule="exact" w:line="200"/>
            </w:pPr>
            <w:r>
              <w:rPr>
                <w:rFonts w:ascii="方正黑体_GBK" w:hAnsi="方正黑体_GBK" w:cs="宋体" w:eastAsia="方正黑体_GBK"/>
                <w:sz w:val="18"/>
                <w:szCs w:val="18"/>
              </w:rPr>
              <w:t>B份额：业绩比较基准为年化2.6%-2.85% 。</w:t>
            </w:r>
          </w:p>
          <w:p>
            <w:pPr>
              <w:pStyle w:val="null10"/>
              <w:spacing w:lineRule="exact" w:line="200"/>
            </w:pPr>
            <w:r>
              <w:rPr>
                <w:rFonts w:ascii="方正黑体_GBK" w:hAnsi="方正黑体_GBK" w:cs="宋体" w:eastAsia="方正黑体_GBK"/>
                <w:sz w:val="18"/>
                <w:szCs w:val="18"/>
              </w:rPr>
              <w:t>C份额：业绩比较基准为年化2.7%-2.95% 。</w:t>
            </w:r>
          </w:p>
          <w:p>
            <w:pPr>
              <w:pStyle w:val="null10"/>
              <w:spacing w:lineRule="exact" w:line="200"/>
            </w:pPr>
            <w:r>
              <w:rPr>
                <w:rFonts w:ascii="方正黑体_GBK" w:hAnsi="方正黑体_GBK" w:cs="宋体" w:eastAsia="方正黑体_GBK"/>
                <w:sz w:val="18"/>
                <w:szCs w:val="18"/>
              </w:rPr>
              <w:t>E份额：业绩比较基准为年化2.55%-2.8% 。</w:t>
            </w:r>
          </w:p>
          <w:p>
            <w:pPr>
              <w:pStyle w:val="null10"/>
              <w:spacing w:lineRule="exact" w:line="200"/>
            </w:pPr>
            <w:r>
              <w:rPr>
                <w:rFonts w:ascii="方正黑体_GBK" w:hAnsi="方正黑体_GBK" w:cs="宋体" w:eastAsia="方正黑体_GBK"/>
                <w:sz w:val="18"/>
                <w:szCs w:val="18"/>
              </w:rPr>
              <w:t>O份额：业绩比较基准为年化2.5%-2.75%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E份额：</w:t>
            </w:r>
          </w:p>
          <w:p>
            <w:pPr>
              <w:pStyle w:val="null10"/>
              <w:spacing w:lineRule="exact" w:line="200"/>
            </w:pPr>
            <w:r>
              <w:rPr>
                <w:rFonts w:ascii="方正黑体_GBK" w:hAnsi="方正黑体_GBK" w:cs="宋体" w:eastAsia="方正黑体_GBK"/>
                <w:sz w:val="18"/>
                <w:b/>
                <w:szCs w:val="18"/>
              </w:rPr>
              <w:t>本理财产品按前一日理财产品资产净值收取年化0.25%的销售费，按日计提。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本理财产品一次性收取年化0.3%的销售费，按日摊销。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O份额：固定管理费年化0.1%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2.7%（含）（年化，即产品该份额对应的业绩报酬计提基准）至2.95%（不含）之间的部分，管理人将按超过2.7%部分的50%收取业绩报酬；在2.95%（含）（年化，即产品该份额对应的业绩报酬计提基准）以上的部分，管理人将按超过2.95%部分的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甘肃银行股份有限公司、江苏仪征农村商业银行股份有限公司、连云港东方农村商业银行股份有限公司、上海农村商业银行股份有限公司、江苏沭阳农村商业银行股份有限公司、广州农村商业银行股份有限公司、江苏泰州农村商业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云南国际信托有限公司、中国对外经济贸易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02b56c7a"/>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0c9caba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0c9caba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0c9caba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0c9caba1"/>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0c9caba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0c9caba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0c9caba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0c9caba1"/>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南银理财珠联璧合鑫逸稳两年171期封闭式公募人民币理财产品</w:t>
      </w:r>
      <w:r>
        <w:rPr>
          <w:rFonts w:ascii="方正黑体_GBK" w:eastAsia="方正黑体_GBK" w:hint="eastAsia" w:hAnsi="方正黑体_GBK"/>
          <w:vanish w:val="0"/>
          <w:color w:val="3D3D3D"/>
          <w:kern w:val="0"/>
          <w:sz w:val="15"/>
          <w:szCs w:val="15"/>
        </w:rPr>
        <w:t>。</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0c9caba1"/>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0c9cab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0c9caba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0c9caba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a2f062d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a2f062d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a2f062d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a2f062d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a2f062d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a2f062d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0c9caba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0c9caba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0c9caba1"/>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02b56c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02b56c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a2f062d6"/>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02b56c7a"/>
        <w:keepNext w:val="0"/>
        <w:keepLines w:val="0"/>
        <w:pageBreakBefore w:val="0"/>
        <w:widowControl/>
        <w:suppressLineNumbers w:val="0"/>
        <w:suppressAutoHyphens w:val="0"/>
        <w:spacing w:line="200" w:lineRule="exact"/>
        <w:ind w:firstLineChars="200" w:firstLine="300"/>
        <w:rPr>
          <w:rStyle w:val="a2f062d6"/>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02b56c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02b56c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02b56c7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02b56c7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02b56c7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02b56c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02b56c7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02b56c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02b56c7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02b56c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02b56c7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02b56c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02b56c7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02b56c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02b56c7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02b56c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02b56c7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02b56c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02b56c7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02b56c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02b56c7a"/>
        <w:keepNext w:val="0"/>
        <w:keepLines w:val="0"/>
        <w:pageBreakBefore w:val="0"/>
        <w:widowControl/>
        <w:numPr>
          <w:ilvl w:val="0"/>
          <w:numId w:val="4"/>
        </w:numPr>
        <w:suppressLineNumbers w:val="0"/>
        <w:suppressAutoHyphens w:val="0"/>
        <w:spacing w:line="200" w:lineRule="exact"/>
        <w:ind w:left="0" w:firstLineChars="200" w:firstLine="300"/>
        <w:rPr>
          <w:rFonts w:ascii="方正黑体_GBK" w:hint="eastAsia" w:hAnsi="方正黑体_GBK" w:eastAsia="方正黑体_GBK"/>
          <w:b/>
          <w:bCs/>
          <w:color w:val="3D3D3D"/>
          <w:kern w:val="0"/>
          <w:sz w:val="15"/>
          <w:szCs w:val="15"/>
        </w:rPr>
      </w:pPr>
      <w:bookmarkStart w:id="0" w:name="_GoBack"/>
      <w:bookmarkEnd w:id="0"/>
      <w:r>
        <w:rPr>
          <w:rFonts w:ascii="方正黑体_GBK" w:hint="eastAsia" w:hAnsi="方正黑体_GBK" w:eastAsia="方正黑体_GBK"/>
          <w:b/>
          <w:bCs/>
          <w:color w:val="3D3D3D"/>
          <w:kern w:val="0"/>
          <w:sz w:val="15"/>
          <w:szCs w:val="15"/>
        </w:rPr>
        <w:t>在本理财产品存续期内：</w:t>
      </w:r>
    </w:p>
    <w:p>
      <w:pPr>
        <w:pStyle w:val="02b56c7a"/>
        <w:keepNext w:val="0"/>
        <w:keepLines w:val="0"/>
        <w:pageBreakBefore w:val="0"/>
        <w:widowControl/>
        <w:suppressLineNumbers w:val="0"/>
        <w:suppressAutoHyphens w:val="0"/>
        <w:spacing w:line="200" w:lineRule="exact"/>
        <w:ind w:firstLine="0"/>
        <w:rPr>
          <w:rFonts w:ascii="方正黑体_GBK" w:hint="eastAsia" w:hAnsi="方正黑体_GBK" w:eastAsia="方正黑体_GBK"/>
          <w:bCs/>
          <w:color w:val="3D3D3D"/>
          <w:kern w:val="0"/>
          <w:sz w:val="15"/>
          <w:szCs w:val="15"/>
        </w:rPr>
      </w:pPr>
      <w:r>
        <w:rPr>
          <w:rFonts w:ascii="方正黑体_GBK" w:hint="eastAsia" w:hAnsi="方正黑体_GBK" w:eastAsia="方正黑体_GBK"/>
          <w:b/>
          <w:bCs/>
          <w:color w:val="3D3D3D"/>
          <w:kern w:val="0"/>
          <w:sz w:val="15"/>
          <w:szCs w:val="15"/>
        </w:rPr>
        <w:t xml:space="preserve">    </w:t>
      </w:r>
      <w:r>
        <w:rPr>
          <w:rFonts w:ascii="方正黑体_GBK" w:hint="eastAsia" w:hAnsi="方正黑体_GBK" w:eastAsia="方正黑体_GBK"/>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02b56c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02b56c7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02b56c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02b56c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02b56c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02b56c7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02b56c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02b56c7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02b56c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02b56c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02b56c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02b56c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02b56c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02b56c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02b56c7a"/>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1"/>
  </w:num>
  <w:num w:numId="3">
    <w:abstractNumId w:val="2"/>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455e3b90">
    <w:name w:val="Normal455e3b9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bf2215c">
    <w:name w:val="heading 16bf2215c"/>
    <w:basedOn w:val="455e3b9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e0eefe0">
    <w:name w:val="heading 2ee0eefe0"/>
    <w:basedOn w:val="455e3b9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fca45ed">
    <w:name w:val="heading 37fca45ed"/>
    <w:basedOn w:val="455e3b9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5be4d11">
    <w:name w:val="Default Paragraph Fontb5be4d11"/>
  </w:style>
  <w:style xmlns:r="http://schemas.openxmlformats.org/officeDocument/2006/relationships" w:type="paragraph" w:styleId="c492df78">
    <w:name w:val="toc 1c492df78"/>
    <w:basedOn w:val="455e3b90"/>
    <w:autoRedefine/>
    <w:next w:val="0"/>
  </w:style>
  <w:style xmlns:r="http://schemas.openxmlformats.org/officeDocument/2006/relationships" w:type="paragraph" w:styleId="c36f33c9">
    <w:name w:val="toc 2c36f33c9"/>
    <w:basedOn w:val="455e3b90"/>
    <w:autoRedefine/>
    <w:next w:val="0"/>
    <w:pPr>
      <w:ind w:left="420"/>
    </w:pPr>
  </w:style>
  <w:style xmlns:r="http://schemas.openxmlformats.org/officeDocument/2006/relationships" w:type="paragraph" w:styleId="b9d5ce50">
    <w:name w:val="toc 3b9d5ce50"/>
    <w:basedOn w:val="455e3b90"/>
    <w:autoRedefine/>
    <w:next w:val="0"/>
    <w:pPr>
      <w:ind w:left="840"/>
    </w:pPr>
  </w:style>
  <w:style xmlns:r="http://schemas.openxmlformats.org/officeDocument/2006/relationships" w:type="paragraph" w:styleId="e9fea950">
    <w:name w:val="toc 4e9fea950"/>
    <w:basedOn w:val="455e3b90"/>
    <w:autoRedefine/>
    <w:next w:val="0"/>
    <w:pPr>
      <w:ind w:left="1260"/>
    </w:pPr>
  </w:style>
  <w:style xmlns:r="http://schemas.openxmlformats.org/officeDocument/2006/relationships" w:type="paragraph" w:styleId="e4524f9d">
    <w:name w:val="toc 5e4524f9d"/>
    <w:basedOn w:val="455e3b90"/>
    <w:autoRedefine/>
    <w:next w:val="0"/>
    <w:pPr>
      <w:ind w:left="1680"/>
    </w:pPr>
  </w:style>
  <w:style xmlns:r="http://schemas.openxmlformats.org/officeDocument/2006/relationships" w:type="paragraph" w:styleId="2498590c">
    <w:name w:val="header2498590c"/>
    <w:basedOn w:val="455e3b9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c402138">
    <w:name w:val="footerac402138"/>
    <w:basedOn w:val="455e3b90"/>
    <w:pPr>
      <w:tabs>
        <w:tab w:val="center" w:pos="4153"/>
        <w:tab w:val="right" w:pos="8307"/>
      </w:tabs>
      <w:adjustRightInd/>
      <w:snapToGrid w:val="0"/>
      <w:contextualSpacing w:val="0"/>
      <w:jc w:val="left"/>
    </w:pPr>
    <w:rPr>
      <w:sz w:val="18"/>
    </w:rPr>
  </w:style>
  <w:style xmlns:r="http://schemas.openxmlformats.org/officeDocument/2006/relationships" w:type="character" w:styleId="cc223a46">
    <w:name w:val="Strongcc223a46"/>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2b56c7a">
    <w:name w:val="Normal02b56c7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1dea0424">
    <w:name w:val="heading 11dea0424"/>
    <w:basedOn w:val="02b56c7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1186da2">
    <w:name w:val="heading 2d1186da2"/>
    <w:basedOn w:val="02b56c7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c2c2fb2">
    <w:name w:val="heading 35c2c2fb2"/>
    <w:basedOn w:val="02b56c7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1245192">
    <w:name w:val="Default Paragraph Font91245192"/>
  </w:style>
  <w:style xmlns:r="http://schemas.openxmlformats.org/officeDocument/2006/relationships" w:type="paragraph" w:styleId="0183cdf4">
    <w:name w:val="Normal Indent0183cdf4"/>
    <w:basedOn w:val="02b56c7a"/>
    <w:pPr>
      <w:ind w:firstLineChars="200" w:firstLine="200"/>
    </w:pPr>
  </w:style>
  <w:style xmlns:r="http://schemas.openxmlformats.org/officeDocument/2006/relationships" w:type="paragraph" w:styleId="57aa4465">
    <w:name w:val="toc 557aa4465"/>
    <w:basedOn w:val="02b56c7a"/>
    <w:next w:val="0"/>
    <w:pPr>
      <w:ind w:left="1680"/>
    </w:pPr>
  </w:style>
  <w:style xmlns:r="http://schemas.openxmlformats.org/officeDocument/2006/relationships" w:type="paragraph" w:styleId="87e8cf36">
    <w:name w:val="toc 387e8cf36"/>
    <w:basedOn w:val="02b56c7a"/>
    <w:next w:val="0"/>
    <w:pPr>
      <w:ind w:left="840"/>
    </w:pPr>
  </w:style>
  <w:style xmlns:r="http://schemas.openxmlformats.org/officeDocument/2006/relationships" w:type="paragraph" w:styleId="6a07e2c0">
    <w:name w:val="footer6a07e2c0"/>
    <w:basedOn w:val="02b56c7a"/>
    <w:pPr>
      <w:tabs>
        <w:tab w:val="center" w:pos="4153"/>
        <w:tab w:val="right" w:pos="8307"/>
      </w:tabs>
      <w:adjustRightInd/>
      <w:snapToGrid w:val="0"/>
      <w:contextualSpacing w:val="0"/>
      <w:jc w:val="left"/>
    </w:pPr>
    <w:rPr>
      <w:sz w:val="18"/>
    </w:rPr>
  </w:style>
  <w:style xmlns:r="http://schemas.openxmlformats.org/officeDocument/2006/relationships" w:type="paragraph" w:styleId="9f5f1f48">
    <w:name w:val="header9f5f1f48"/>
    <w:basedOn w:val="02b56c7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77d1295">
    <w:name w:val="toc 1277d1295"/>
    <w:basedOn w:val="02b56c7a"/>
    <w:next w:val="0"/>
  </w:style>
  <w:style xmlns:r="http://schemas.openxmlformats.org/officeDocument/2006/relationships" w:type="paragraph" w:styleId="85c190ca">
    <w:name w:val="toc 485c190ca"/>
    <w:basedOn w:val="02b56c7a"/>
    <w:next w:val="0"/>
    <w:pPr>
      <w:ind w:left="1260"/>
    </w:pPr>
  </w:style>
  <w:style xmlns:r="http://schemas.openxmlformats.org/officeDocument/2006/relationships" w:type="paragraph" w:styleId="bdec9d7b">
    <w:name w:val="toc 2bdec9d7b"/>
    <w:basedOn w:val="02b56c7a"/>
    <w:next w:val="0"/>
    <w:pPr>
      <w:ind w:left="420"/>
    </w:pPr>
  </w:style>
  <w:style xmlns:r="http://schemas.openxmlformats.org/officeDocument/2006/relationships" w:type="paragraph" w:styleId="074f053e">
    <w:name w:val="Normal (Web)074f053e"/>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c9caba1">
    <w:name w:val="Normal0c9caba10c9caba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9c2ba09">
    <w:name w:val="heading 1d9c2ba09d9c2ba09"/>
    <w:basedOn w:val="0c9caba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c8efdd1">
    <w:name w:val="heading 2fc8efdd1fc8efdd1"/>
    <w:basedOn w:val="0c9caba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b10be7c">
    <w:name w:val="heading 3fb10be7cfb10be7c"/>
    <w:basedOn w:val="0c9caba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a64342f">
    <w:name w:val="Default Paragraph Font2a64342f2a64342f"/>
  </w:style>
  <w:style xmlns:r="http://schemas.openxmlformats.org/officeDocument/2006/relationships" w:type="paragraph" w:customStyle="1" w:styleId="5689d639">
    <w:name w:val="引文目录15689d6395689d639"/>
    <w:basedOn w:val="0c9caba1"/>
    <w:next w:val="0"/>
    <w:pPr>
      <w:ind w:leftChars="200" w:left="200"/>
    </w:pPr>
  </w:style>
  <w:style xmlns:r="http://schemas.openxmlformats.org/officeDocument/2006/relationships" w:type="paragraph" w:styleId="b7c84af6">
    <w:name w:val="toc 5b7c84af6b7c84af6"/>
    <w:basedOn w:val="0c9caba1"/>
    <w:next w:val="0"/>
    <w:pPr>
      <w:ind w:left="1680"/>
    </w:pPr>
  </w:style>
  <w:style xmlns:r="http://schemas.openxmlformats.org/officeDocument/2006/relationships" w:type="paragraph" w:styleId="2591553e">
    <w:name w:val="toc 32591553e2591553e"/>
    <w:basedOn w:val="0c9caba1"/>
    <w:next w:val="0"/>
    <w:pPr>
      <w:ind w:left="840"/>
    </w:pPr>
  </w:style>
  <w:style xmlns:r="http://schemas.openxmlformats.org/officeDocument/2006/relationships" w:type="paragraph" w:styleId="d8393e69">
    <w:name w:val="footerd8393e69d8393e69"/>
    <w:basedOn w:val="0c9caba1"/>
    <w:pPr>
      <w:tabs>
        <w:tab w:val="center" w:pos="4153"/>
        <w:tab w:val="right" w:pos="8307"/>
      </w:tabs>
      <w:adjustRightInd/>
      <w:snapToGrid w:val="0"/>
      <w:contextualSpacing w:val="0"/>
      <w:jc w:val="left"/>
    </w:pPr>
    <w:rPr>
      <w:sz w:val="18"/>
    </w:rPr>
  </w:style>
  <w:style xmlns:r="http://schemas.openxmlformats.org/officeDocument/2006/relationships" w:type="paragraph" w:styleId="f064f515">
    <w:name w:val="headerf064f515f064f515"/>
    <w:basedOn w:val="0c9caba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59778d5">
    <w:name w:val="toc 1159778d5159778d5"/>
    <w:basedOn w:val="0c9caba1"/>
    <w:next w:val="0"/>
  </w:style>
  <w:style xmlns:r="http://schemas.openxmlformats.org/officeDocument/2006/relationships" w:type="paragraph" w:styleId="3688aa54">
    <w:name w:val="toc 43688aa543688aa54"/>
    <w:basedOn w:val="0c9caba1"/>
    <w:next w:val="0"/>
    <w:pPr>
      <w:ind w:left="1260"/>
    </w:pPr>
  </w:style>
  <w:style xmlns:r="http://schemas.openxmlformats.org/officeDocument/2006/relationships" w:type="paragraph" w:styleId="2202ea46">
    <w:name w:val="toc 22202ea462202ea46"/>
    <w:basedOn w:val="0c9caba1"/>
    <w:next w:val="0"/>
    <w:pPr>
      <w:ind w:left="420"/>
    </w:pPr>
  </w:style>
  <w:style xmlns:r="http://schemas.openxmlformats.org/officeDocument/2006/relationships" w:type="paragraph" w:customStyle="1" w:styleId="a2f062d6">
    <w:name w:val="列出段落1a2f062d6a2f062d6"/>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