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3eb132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3eb132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3eb132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3eb132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3eb132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3eb132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3eb132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3eb132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3eb132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3eb132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3eb1321c"/>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35d94205"/>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35d94205"/>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1bd8c427"/>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南银理财珠联璧合鑫逸稳三个月136期封闭式公募人民币理财产品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ZZ700322600146</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A份额：NYXY000889</w:t>
            </w:r>
          </w:p>
          <w:p>
            <w:pPr>
              <w:pStyle w:val="null10"/>
              <w:spacing w:lineRule="exact" w:line="200"/>
            </w:pPr>
            <w:r>
              <w:rPr>
                <w:rFonts w:ascii="方正黑体_GBK" w:hAnsi="方正黑体_GBK" w:cs="宋体" w:eastAsia="方正黑体_GBK"/>
                <w:sz w:val="18"/>
                <w:szCs w:val="18"/>
              </w:rPr>
              <w:t>B份额：NYXY000890</w:t>
            </w:r>
          </w:p>
          <w:p>
            <w:pPr>
              <w:pStyle w:val="null10"/>
              <w:spacing w:lineRule="exact" w:line="200"/>
            </w:pPr>
            <w:r>
              <w:rPr>
                <w:rFonts w:ascii="方正黑体_GBK" w:hAnsi="方正黑体_GBK" w:cs="宋体" w:eastAsia="方正黑体_GBK"/>
                <w:sz w:val="18"/>
                <w:szCs w:val="18"/>
              </w:rPr>
              <w:t>C份额：NYXY000891</w:t>
            </w:r>
          </w:p>
          <w:p>
            <w:pPr>
              <w:pStyle w:val="null10"/>
              <w:spacing w:lineRule="exact" w:line="200"/>
            </w:pPr>
            <w:r>
              <w:rPr>
                <w:rFonts w:ascii="方正黑体_GBK" w:hAnsi="方正黑体_GBK" w:cs="宋体" w:eastAsia="方正黑体_GBK"/>
                <w:sz w:val="18"/>
                <w:szCs w:val="18"/>
              </w:rPr>
              <w:t>E份额：NYXY000892</w:t>
            </w:r>
          </w:p>
          <w:p>
            <w:pPr>
              <w:pStyle w:val="null10"/>
              <w:spacing w:lineRule="exact" w:line="200"/>
            </w:pPr>
            <w:r>
              <w:rPr>
                <w:rFonts w:ascii="方正黑体_GBK" w:hAnsi="方正黑体_GBK" w:cs="宋体" w:eastAsia="方正黑体_GBK"/>
                <w:sz w:val="18"/>
                <w:szCs w:val="18"/>
              </w:rPr>
              <w:t>J份额：NYXY000893</w:t>
            </w:r>
          </w:p>
          <w:p>
            <w:pPr>
              <w:pStyle w:val="null10"/>
              <w:spacing w:lineRule="exact" w:line="200"/>
            </w:pPr>
            <w:r>
              <w:rPr>
                <w:rFonts w:ascii="方正黑体_GBK" w:hAnsi="方正黑体_GBK" w:cs="宋体" w:eastAsia="方正黑体_GBK"/>
                <w:sz w:val="18"/>
                <w:szCs w:val="18"/>
              </w:rPr>
              <w:t>K份额：NYXY000894</w:t>
            </w:r>
          </w:p>
          <w:p>
            <w:pPr>
              <w:pStyle w:val="null10"/>
              <w:spacing w:lineRule="exact" w:line="200"/>
            </w:pPr>
            <w:r>
              <w:rPr>
                <w:rFonts w:ascii="方正黑体_GBK" w:hAnsi="方正黑体_GBK" w:cs="宋体" w:eastAsia="方正黑体_GBK"/>
                <w:sz w:val="18"/>
                <w:szCs w:val="18"/>
              </w:rPr>
              <w:t>L份额：NYXY000895</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新客、新资金、代发及对公客户外的其他客户）、青岛银行股份有限公司（除私行客户外的其他客户）、江苏张家港农村商业银行股份有限公司、嘉兴银行股份有限公司、江苏常熟农村商业银行股份有限公司（1元起购）、江苏苏州农村商业银行股份有限公司、金华银行股份有限公司、江苏江南农村商业银行股份有限公司（除财富、私行客户外的其他客户）、苏州银行股份有限公司(零售客户)、蒙商银行股份有限公司（除财富客户外的其他客户）、广州农村商业银行股份有限公司、长安银行股份有限公司、无锡农村商业银行股份有限公司、福建海峡银行股份有限公司、齐鲁银行股份有限公司（除白金/私行客户、财富客户外的其他客户）、北京银行股份有限公司、贵阳银行股份有限公司、山西银行股份有限公司、德州银行股份有限公司、云南红塔银行股份有限公司、海南银行股份有限公司、乌鲁木齐银行股份有限公司、上海农村商业银行股份有限公司、湖州银行股份有限公司（除代发客户外的其他客户）、宁波通商银行股份有限公司、石嘴山银行股份有限公司、无锡锡商银行股份有限公司、江苏丹阳农村商业银行股份有限公司、江苏宜兴农村商业银行股份有限公司、江苏高淳农村商业银行股份有限公司、江苏响水农村商业银行股份有限公司（1元起购）、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江苏昆山农村商业银行股份有限公司、朝阳银行股份有限公司。</w:t>
            </w:r>
          </w:p>
          <w:p>
            <w:pPr>
              <w:pStyle w:val="null10"/>
              <w:spacing w:lineRule="exact" w:line="200"/>
            </w:pPr>
            <w:r>
              <w:rPr>
                <w:rFonts w:ascii="方正黑体_GBK" w:hAnsi="方正黑体_GBK" w:cs="宋体" w:eastAsia="方正黑体_GBK"/>
                <w:sz w:val="18"/>
                <w:szCs w:val="18"/>
              </w:rPr>
              <w:t>B份额：南京银行股份有限公司(新客或新资金或代发客户)、江苏太仓农村商业银行股份有限公司、青岛银行股份有限公司(私行客户)、温州银行股份有限公司、浙江民泰商业银行股份有限公司、河北银行股份有限公司(分行专享)、广州银行股份有限公司、江苏江南农村商业银行股份有限公司( 财富客户)、秦皇岛银行股份有限公司、宁波东海银行股份有限公司、齐鲁银行股份有限公司(白金/私行客户)、台州银行股份有限公司(除新客户外的其他客户)、天津农村商业银行股份有限公司(除私行客户外的其他客户)、甘肃银行股份有限公司(除财富客户外的其他客户)、东营银行股份有限公司、桂林银行股份有限公司、江苏江都农村商业银行股份有限公司、江苏大丰农村商业银行股份有限公司、江苏镇江农村商业银行股份有限公司(20万元起购)、徐州农村商业银行股份有限公司(财富客户)、江苏紫金农村商业银行股份有限公司、江苏沛县农村商业银行股份有限公司、江苏仪征农村商业银行股份有限公司( 20万元起购)、江苏海安农村商业银行股份有限公司、江苏泰州农村商业银行股份有限公司、湖州银行股份有限公司(代发工资客户)。</w:t>
            </w:r>
          </w:p>
          <w:p>
            <w:pPr>
              <w:pStyle w:val="null10"/>
              <w:spacing w:lineRule="exact" w:line="200"/>
            </w:pPr>
            <w:r>
              <w:rPr>
                <w:rFonts w:ascii="方正黑体_GBK" w:hAnsi="方正黑体_GBK" w:cs="宋体" w:eastAsia="方正黑体_GBK"/>
                <w:sz w:val="18"/>
                <w:szCs w:val="18"/>
              </w:rPr>
              <w:t>C份额：江苏江南农村商业银行股份有限公司(私行客户)、蒙商银行股份有限公司（财富客户）、郑州银行股份有限公司、泰安银行股份有限公司、齐鲁银行股份有限公司( 财富客户)、哈密市商业银行股份有限公司、台州银行股份有限公司(新客户)、甘肃银行股份有限公司(财富客户)、江苏泰兴农村商业银行股份有限公司、江苏响水农村商业银行股份有限公司(50万元起购)、江苏靖江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 10万元起购)、江苏仪征农村商业银行股份有限公司( 50万元起购)。</w:t>
            </w:r>
          </w:p>
          <w:p>
            <w:pPr>
              <w:pStyle w:val="null10"/>
              <w:spacing w:lineRule="exact" w:line="200"/>
            </w:pPr>
            <w:r>
              <w:rPr>
                <w:rFonts w:ascii="方正黑体_GBK" w:hAnsi="方正黑体_GBK" w:cs="宋体" w:eastAsia="方正黑体_GBK"/>
                <w:sz w:val="18"/>
                <w:szCs w:val="18"/>
              </w:rPr>
              <w:t>E份额：南京银行股份有限公司（对公客户）。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L份额：天津农村商业银行股份有限公司(私行客户)。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A份额/B份额/C份额/J份额/K份额/L份额：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2026年05月27日 09:00—2026年06月02日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2026年06月03日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2026年06月03日—实际到期日（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2026年09月10日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b/>
                <w:color w:val="000000"/>
                <w:shd w:fill="FAFAFA" w:val="clear"/>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A份额：业绩比较基准为1.5%(年化)。</w:t>
            </w:r>
          </w:p>
          <w:p>
            <w:pPr>
              <w:pStyle w:val="null10"/>
              <w:spacing w:lineRule="exact" w:line="200"/>
            </w:pPr>
            <w:r>
              <w:rPr>
                <w:rFonts w:ascii="方正黑体_GBK" w:hAnsi="方正黑体_GBK" w:cs="宋体" w:eastAsia="方正黑体_GBK"/>
                <w:sz w:val="18"/>
                <w:szCs w:val="18"/>
              </w:rPr>
              <w:t>B份额：业绩比较基准为1.6%(年化)。</w:t>
            </w:r>
          </w:p>
          <w:p>
            <w:pPr>
              <w:pStyle w:val="null10"/>
              <w:spacing w:lineRule="exact" w:line="200"/>
            </w:pPr>
            <w:r>
              <w:rPr>
                <w:rFonts w:ascii="方正黑体_GBK" w:hAnsi="方正黑体_GBK" w:cs="宋体" w:eastAsia="方正黑体_GBK"/>
                <w:sz w:val="18"/>
                <w:szCs w:val="18"/>
              </w:rPr>
              <w:t>C份额：业绩比较基准为1.7%(年化)。</w:t>
            </w:r>
          </w:p>
          <w:p>
            <w:pPr>
              <w:pStyle w:val="null10"/>
              <w:spacing w:lineRule="exact" w:line="200"/>
            </w:pPr>
            <w:r>
              <w:rPr>
                <w:rFonts w:ascii="方正黑体_GBK" w:hAnsi="方正黑体_GBK" w:cs="宋体" w:eastAsia="方正黑体_GBK"/>
                <w:sz w:val="18"/>
                <w:szCs w:val="18"/>
              </w:rPr>
              <w:t>E份额：业绩比较基准为1.65%(年化)。</w:t>
            </w:r>
          </w:p>
          <w:p>
            <w:pPr>
              <w:pStyle w:val="null10"/>
              <w:spacing w:lineRule="exact" w:line="200"/>
            </w:pPr>
            <w:r>
              <w:rPr>
                <w:rFonts w:ascii="方正黑体_GBK" w:hAnsi="方正黑体_GBK" w:cs="宋体" w:eastAsia="方正黑体_GBK"/>
                <w:sz w:val="18"/>
                <w:szCs w:val="18"/>
              </w:rPr>
              <w:t>J份额：业绩比较基准为1.5%(年化)。</w:t>
            </w:r>
          </w:p>
          <w:p>
            <w:pPr>
              <w:pStyle w:val="null10"/>
              <w:spacing w:lineRule="exact" w:line="200"/>
            </w:pPr>
            <w:r>
              <w:rPr>
                <w:rFonts w:ascii="方正黑体_GBK" w:hAnsi="方正黑体_GBK" w:cs="宋体" w:eastAsia="方正黑体_GBK"/>
                <w:sz w:val="18"/>
                <w:szCs w:val="18"/>
              </w:rPr>
              <w:t>K份额：业绩比较基准为1.75%(年化)。</w:t>
            </w:r>
          </w:p>
          <w:p>
            <w:pPr>
              <w:pStyle w:val="null10"/>
              <w:spacing w:lineRule="exact" w:line="200"/>
            </w:pPr>
            <w:r>
              <w:rPr>
                <w:rFonts w:ascii="方正黑体_GBK" w:hAnsi="方正黑体_GBK" w:cs="宋体" w:eastAsia="方正黑体_GBK"/>
                <w:sz w:val="18"/>
                <w:szCs w:val="18"/>
              </w:rPr>
              <w:t>L份额：业绩比较基准为1.75%(年化)。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E份额：销售费年化0.1%</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K份额：销售费年化0.05%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J份额：固定管理费年化0.15%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B份额：到期兑付时，当期产品投资的实际资产组合收益（扣除销售费、固定管理费、托管费等相关费用）超过1.6%（年化，即产品该份额对应的业绩报酬计提基准）时，超过部分管理人将按60%收取业绩报酬。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C份额：到期兑付时，当期产品投资的实际资产组合收益（扣除销售费、固定管理费、托管费等相关费用）超过1.7%（年化，即产品该份额对应的业绩报酬计提基准）时，超过部分管理人将按60%收取业绩报酬。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E份额：到期兑付时，当期产品投资的实际资产组合收益（扣除销售费、固定管理费、托管费等相关费用）超过1.65%（年化，即产品该份额对应的业绩报酬计提基准）时，超过部分管理人将按60%收取业绩报酬。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K份额：到期兑付时，当期产品投资的实际资产组合收益（扣除销售费、固定管理费、托管费等相关费用）超过1.75%（年化，即产品该份额对应的业绩报酬计提基准）时，超过部分管理人将按60%收取业绩报酬。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L份额：到期兑付时，当期产品投资的实际资产组合收益（扣除销售费、固定管理费、托管费等相关费用）超过1.75%（年化，即产品该份额对应的业绩报酬计提基准）时，超过部分管理人将按60%收取业绩报酬。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哈密市商业银行股份有限公司、江苏赣榆农村商业银行股份有限公司、江苏盱眙农村商业银行股份有限公司、东营银行股份有限公司、江苏沛县农村商业银行股份有限公司、甘肃银行股份有限公司、台州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上海农村商业银行股份有限公司、长安银行股份有限公司、江苏沭阳农村商业银行股份有限公司、湖州银行股份有限公司、江苏灌云农村商业银行股份有限公司、江苏海安农村商业银行股份有限公司、江苏昆山农村商业银行股份有限公司、广州农村商业银行股份有限公司、江苏泰州农村商业银行股份有限公司、朝阳银行股份有限公司。</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云南国际信托有限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云南国际信托有限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35d94205"/>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53a971a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53a971a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53a971a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53a971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53a971ac"/>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53a971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53a971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53a971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53a971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53a971a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53a971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53a971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53a971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53a971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53a971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53a971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53a971a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53a971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53a971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53a971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53a971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53a971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53a971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53a971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53a971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53a971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53a971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53a971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53a971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53a971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53a971a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53a971ac"/>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南银理财珠联璧合鑫逸稳三个月136期封闭式公募人民币理财产品</w:t>
      </w:r>
      <w:r>
        <w:rPr>
          <w:rFonts w:ascii="方正黑体_GBK" w:eastAsia="方正黑体_GBK" w:hint="eastAsia" w:hAnsi="方正黑体_GBK"/>
          <w:vanish w:val="0"/>
          <w:color w:val="3D3D3D"/>
          <w:kern w:val="0"/>
          <w:sz w:val="15"/>
          <w:szCs w:val="15"/>
        </w:rPr>
        <w:t>。</w:t>
      </w:r>
    </w:p>
    <w:p>
      <w:pPr>
        <w:pStyle w:val="53a971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53a971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53a971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53a971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53a971ac"/>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53a971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53a971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53a971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53a971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53a971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53a971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53a971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53a971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53a971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53a971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53a971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53a971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53a971a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53a971a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7046656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7046656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7046656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7046656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7046656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7046656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53a971a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53a971a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53a971ac"/>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35d942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35d942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70466565"/>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35d94205"/>
        <w:keepNext w:val="0"/>
        <w:keepLines w:val="0"/>
        <w:pageBreakBefore w:val="0"/>
        <w:widowControl/>
        <w:suppressLineNumbers w:val="0"/>
        <w:suppressAutoHyphens w:val="0"/>
        <w:spacing w:line="200" w:lineRule="exact"/>
        <w:ind w:firstLineChars="200" w:firstLine="300"/>
        <w:rPr>
          <w:rStyle w:val="70466565"/>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35d942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35d942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35d94205"/>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35d94205"/>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35d9420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35d942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35d9420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35d942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35d9420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35d942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35d9420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35d942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35d9420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35d942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35d9420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35d942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35d9420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35d942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35d9420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35d942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35d94205"/>
        <w:keepNext w:val="0"/>
        <w:keepLines w:val="0"/>
        <w:pageBreakBefore w:val="0"/>
        <w:widowControl/>
        <w:numPr>
          <w:ilvl w:val="0"/>
          <w:numId w:val="4"/>
        </w:numPr>
        <w:suppressLineNumbers w:val="0"/>
        <w:suppressAutoHyphens w:val="0"/>
        <w:spacing w:line="200" w:lineRule="exact"/>
        <w:ind w:left="0" w:firstLineChars="200" w:firstLine="300"/>
        <w:rPr>
          <w:rFonts w:ascii="方正黑体_GBK" w:hint="eastAsia" w:hAnsi="方正黑体_GBK" w:eastAsia="方正黑体_GBK"/>
          <w:b/>
          <w:bCs/>
          <w:color w:val="3D3D3D"/>
          <w:kern w:val="0"/>
          <w:sz w:val="15"/>
          <w:szCs w:val="15"/>
        </w:rPr>
      </w:pPr>
      <w:bookmarkStart w:id="0" w:name="_GoBack"/>
      <w:bookmarkEnd w:id="0"/>
      <w:r>
        <w:rPr>
          <w:rFonts w:ascii="方正黑体_GBK" w:hint="eastAsia" w:hAnsi="方正黑体_GBK" w:eastAsia="方正黑体_GBK"/>
          <w:b/>
          <w:bCs/>
          <w:color w:val="3D3D3D"/>
          <w:kern w:val="0"/>
          <w:sz w:val="15"/>
          <w:szCs w:val="15"/>
        </w:rPr>
        <w:t>在本理财产品存续期内：</w:t>
      </w:r>
    </w:p>
    <w:p>
      <w:pPr>
        <w:pStyle w:val="35d94205"/>
        <w:keepNext w:val="0"/>
        <w:keepLines w:val="0"/>
        <w:pageBreakBefore w:val="0"/>
        <w:widowControl/>
        <w:suppressLineNumbers w:val="0"/>
        <w:suppressAutoHyphens w:val="0"/>
        <w:spacing w:line="200" w:lineRule="exact"/>
        <w:ind w:firstLine="0"/>
        <w:rPr>
          <w:rFonts w:ascii="方正黑体_GBK" w:hint="eastAsia" w:hAnsi="方正黑体_GBK" w:eastAsia="方正黑体_GBK"/>
          <w:bCs/>
          <w:color w:val="3D3D3D"/>
          <w:kern w:val="0"/>
          <w:sz w:val="15"/>
          <w:szCs w:val="15"/>
        </w:rPr>
      </w:pPr>
      <w:r>
        <w:rPr>
          <w:rFonts w:ascii="方正黑体_GBK" w:hint="eastAsia" w:hAnsi="方正黑体_GBK" w:eastAsia="方正黑体_GBK"/>
          <w:b/>
          <w:bCs/>
          <w:color w:val="3D3D3D"/>
          <w:kern w:val="0"/>
          <w:sz w:val="15"/>
          <w:szCs w:val="15"/>
        </w:rPr>
        <w:t xml:space="preserve">    </w:t>
      </w:r>
      <w:r>
        <w:rPr>
          <w:rFonts w:ascii="方正黑体_GBK" w:hint="eastAsia" w:hAnsi="方正黑体_GBK" w:eastAsia="方正黑体_GBK"/>
          <w:b/>
          <w:color w:val="3D3D3D"/>
          <w:kern w:val="0"/>
          <w:sz w:val="15"/>
          <w:szCs w:val="15"/>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35d942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35d9420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35d942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35d942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35d942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35d9420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35d942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35d9420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35d942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35d942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35d942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35d942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35d942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35d942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35d94205"/>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1"/>
  </w:num>
  <w:num w:numId="3">
    <w:abstractNumId w:val="3"/>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3eb1321c">
    <w:name w:val="Normal3eb1321c"/>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e5a0262">
    <w:name w:val="heading 11e5a0262"/>
    <w:basedOn w:val="3eb1321c"/>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a58bc69">
    <w:name w:val="heading 2da58bc69"/>
    <w:basedOn w:val="3eb1321c"/>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3251ee8">
    <w:name w:val="heading 333251ee8"/>
    <w:basedOn w:val="3eb1321c"/>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9bec4e8">
    <w:name w:val="Default Paragraph Font49bec4e8"/>
  </w:style>
  <w:style xmlns:r="http://schemas.openxmlformats.org/officeDocument/2006/relationships" w:type="paragraph" w:styleId="f54cba7c">
    <w:name w:val="toc 1f54cba7c"/>
    <w:basedOn w:val="3eb1321c"/>
    <w:autoRedefine/>
    <w:next w:val="0"/>
  </w:style>
  <w:style xmlns:r="http://schemas.openxmlformats.org/officeDocument/2006/relationships" w:type="paragraph" w:styleId="d924e3c6">
    <w:name w:val="toc 2d924e3c6"/>
    <w:basedOn w:val="3eb1321c"/>
    <w:autoRedefine/>
    <w:next w:val="0"/>
    <w:pPr>
      <w:ind w:left="420"/>
    </w:pPr>
  </w:style>
  <w:style xmlns:r="http://schemas.openxmlformats.org/officeDocument/2006/relationships" w:type="paragraph" w:styleId="5a983e26">
    <w:name w:val="toc 35a983e26"/>
    <w:basedOn w:val="3eb1321c"/>
    <w:autoRedefine/>
    <w:next w:val="0"/>
    <w:pPr>
      <w:ind w:left="840"/>
    </w:pPr>
  </w:style>
  <w:style xmlns:r="http://schemas.openxmlformats.org/officeDocument/2006/relationships" w:type="paragraph" w:styleId="3ae132cd">
    <w:name w:val="toc 43ae132cd"/>
    <w:basedOn w:val="3eb1321c"/>
    <w:autoRedefine/>
    <w:next w:val="0"/>
    <w:pPr>
      <w:ind w:left="1260"/>
    </w:pPr>
  </w:style>
  <w:style xmlns:r="http://schemas.openxmlformats.org/officeDocument/2006/relationships" w:type="paragraph" w:styleId="43a460eb">
    <w:name w:val="toc 543a460eb"/>
    <w:basedOn w:val="3eb1321c"/>
    <w:autoRedefine/>
    <w:next w:val="0"/>
    <w:pPr>
      <w:ind w:left="1680"/>
    </w:pPr>
  </w:style>
  <w:style xmlns:r="http://schemas.openxmlformats.org/officeDocument/2006/relationships" w:type="paragraph" w:styleId="c3659337">
    <w:name w:val="headerc3659337"/>
    <w:basedOn w:val="3eb1321c"/>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4d066b21">
    <w:name w:val="footer4d066b21"/>
    <w:basedOn w:val="3eb1321c"/>
    <w:pPr>
      <w:tabs>
        <w:tab w:val="center" w:pos="4153"/>
        <w:tab w:val="right" w:pos="8307"/>
      </w:tabs>
      <w:adjustRightInd/>
      <w:snapToGrid w:val="0"/>
      <w:contextualSpacing w:val="0"/>
      <w:jc w:val="left"/>
    </w:pPr>
    <w:rPr>
      <w:sz w:val="18"/>
    </w:rPr>
  </w:style>
  <w:style xmlns:r="http://schemas.openxmlformats.org/officeDocument/2006/relationships" w:type="character" w:styleId="78712b4c">
    <w:name w:val="Strong78712b4c"/>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35d94205">
    <w:name w:val="Normal35d94205"/>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2d15915f">
    <w:name w:val="heading 12d15915f"/>
    <w:basedOn w:val="35d94205"/>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ad63efa">
    <w:name w:val="heading 29ad63efa"/>
    <w:basedOn w:val="35d94205"/>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f951229">
    <w:name w:val="heading 31f951229"/>
    <w:basedOn w:val="35d94205"/>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cea6937">
    <w:name w:val="Default Paragraph Fontfcea6937"/>
  </w:style>
  <w:style xmlns:r="http://schemas.openxmlformats.org/officeDocument/2006/relationships" w:type="paragraph" w:styleId="d76aa32a">
    <w:name w:val="Normal Indentd76aa32a"/>
    <w:basedOn w:val="35d94205"/>
    <w:pPr>
      <w:ind w:firstLineChars="200" w:firstLine="200"/>
    </w:pPr>
  </w:style>
  <w:style xmlns:r="http://schemas.openxmlformats.org/officeDocument/2006/relationships" w:type="paragraph" w:styleId="9941e72e">
    <w:name w:val="toc 59941e72e"/>
    <w:basedOn w:val="35d94205"/>
    <w:next w:val="0"/>
    <w:pPr>
      <w:ind w:left="1680"/>
    </w:pPr>
  </w:style>
  <w:style xmlns:r="http://schemas.openxmlformats.org/officeDocument/2006/relationships" w:type="paragraph" w:styleId="ba4dbdb2">
    <w:name w:val="toc 3ba4dbdb2"/>
    <w:basedOn w:val="35d94205"/>
    <w:next w:val="0"/>
    <w:pPr>
      <w:ind w:left="840"/>
    </w:pPr>
  </w:style>
  <w:style xmlns:r="http://schemas.openxmlformats.org/officeDocument/2006/relationships" w:type="paragraph" w:styleId="5c4a2bf3">
    <w:name w:val="footer5c4a2bf3"/>
    <w:basedOn w:val="35d94205"/>
    <w:pPr>
      <w:tabs>
        <w:tab w:val="center" w:pos="4153"/>
        <w:tab w:val="right" w:pos="8307"/>
      </w:tabs>
      <w:adjustRightInd/>
      <w:snapToGrid w:val="0"/>
      <w:contextualSpacing w:val="0"/>
      <w:jc w:val="left"/>
    </w:pPr>
    <w:rPr>
      <w:sz w:val="18"/>
    </w:rPr>
  </w:style>
  <w:style xmlns:r="http://schemas.openxmlformats.org/officeDocument/2006/relationships" w:type="paragraph" w:styleId="1fd94bcb">
    <w:name w:val="header1fd94bcb"/>
    <w:basedOn w:val="35d94205"/>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e2e3afc">
    <w:name w:val="toc 1de2e3afc"/>
    <w:basedOn w:val="35d94205"/>
    <w:next w:val="0"/>
  </w:style>
  <w:style xmlns:r="http://schemas.openxmlformats.org/officeDocument/2006/relationships" w:type="paragraph" w:styleId="93cbac28">
    <w:name w:val="toc 493cbac28"/>
    <w:basedOn w:val="35d94205"/>
    <w:next w:val="0"/>
    <w:pPr>
      <w:ind w:left="1260"/>
    </w:pPr>
  </w:style>
  <w:style xmlns:r="http://schemas.openxmlformats.org/officeDocument/2006/relationships" w:type="paragraph" w:styleId="193950e7">
    <w:name w:val="toc 2193950e7"/>
    <w:basedOn w:val="35d94205"/>
    <w:next w:val="0"/>
    <w:pPr>
      <w:ind w:left="420"/>
    </w:pPr>
  </w:style>
  <w:style xmlns:r="http://schemas.openxmlformats.org/officeDocument/2006/relationships" w:type="paragraph" w:styleId="1bd8c427">
    <w:name w:val="Normal (Web)1bd8c427"/>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53a971ac">
    <w:name w:val="Normal53a971ac53a971ac"/>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7f0ac561">
    <w:name w:val="heading 17f0ac5617f0ac561"/>
    <w:basedOn w:val="53a971ac"/>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3322f7b">
    <w:name w:val="heading 273322f7b73322f7b"/>
    <w:basedOn w:val="53a971ac"/>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7a99fb5">
    <w:name w:val="heading 337a99fb537a99fb5"/>
    <w:basedOn w:val="53a971ac"/>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84250298">
    <w:name w:val="Default Paragraph Font8425029884250298"/>
  </w:style>
  <w:style xmlns:r="http://schemas.openxmlformats.org/officeDocument/2006/relationships" w:type="paragraph" w:customStyle="1" w:styleId="feff3204">
    <w:name w:val="引文目录1feff3204feff3204"/>
    <w:basedOn w:val="53a971ac"/>
    <w:next w:val="0"/>
    <w:pPr>
      <w:ind w:leftChars="200" w:left="200"/>
    </w:pPr>
  </w:style>
  <w:style xmlns:r="http://schemas.openxmlformats.org/officeDocument/2006/relationships" w:type="paragraph" w:styleId="561d4045">
    <w:name w:val="toc 5561d4045561d4045"/>
    <w:basedOn w:val="53a971ac"/>
    <w:next w:val="0"/>
    <w:pPr>
      <w:ind w:left="1680"/>
    </w:pPr>
  </w:style>
  <w:style xmlns:r="http://schemas.openxmlformats.org/officeDocument/2006/relationships" w:type="paragraph" w:styleId="0d91ec54">
    <w:name w:val="toc 30d91ec540d91ec54"/>
    <w:basedOn w:val="53a971ac"/>
    <w:next w:val="0"/>
    <w:pPr>
      <w:ind w:left="840"/>
    </w:pPr>
  </w:style>
  <w:style xmlns:r="http://schemas.openxmlformats.org/officeDocument/2006/relationships" w:type="paragraph" w:styleId="489c61d5">
    <w:name w:val="footer489c61d5489c61d5"/>
    <w:basedOn w:val="53a971ac"/>
    <w:pPr>
      <w:tabs>
        <w:tab w:val="center" w:pos="4153"/>
        <w:tab w:val="right" w:pos="8307"/>
      </w:tabs>
      <w:adjustRightInd/>
      <w:snapToGrid w:val="0"/>
      <w:contextualSpacing w:val="0"/>
      <w:jc w:val="left"/>
    </w:pPr>
    <w:rPr>
      <w:sz w:val="18"/>
    </w:rPr>
  </w:style>
  <w:style xmlns:r="http://schemas.openxmlformats.org/officeDocument/2006/relationships" w:type="paragraph" w:styleId="c1e107f8">
    <w:name w:val="headerc1e107f8c1e107f8"/>
    <w:basedOn w:val="53a971ac"/>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5679ac5">
    <w:name w:val="toc 1c5679ac5c5679ac5"/>
    <w:basedOn w:val="53a971ac"/>
    <w:next w:val="0"/>
  </w:style>
  <w:style xmlns:r="http://schemas.openxmlformats.org/officeDocument/2006/relationships" w:type="paragraph" w:styleId="4e9181a4">
    <w:name w:val="toc 44e9181a44e9181a4"/>
    <w:basedOn w:val="53a971ac"/>
    <w:next w:val="0"/>
    <w:pPr>
      <w:ind w:left="1260"/>
    </w:pPr>
  </w:style>
  <w:style xmlns:r="http://schemas.openxmlformats.org/officeDocument/2006/relationships" w:type="paragraph" w:styleId="7eacf70f">
    <w:name w:val="toc 27eacf70f7eacf70f"/>
    <w:basedOn w:val="53a971ac"/>
    <w:next w:val="0"/>
    <w:pPr>
      <w:ind w:left="420"/>
    </w:pPr>
  </w:style>
  <w:style xmlns:r="http://schemas.openxmlformats.org/officeDocument/2006/relationships" w:type="paragraph" w:customStyle="1" w:styleId="70466565">
    <w:name w:val="列出段落17046656570466565"/>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