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22B2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b/>
          <w:bCs/>
          <w:caps w:val="0"/>
          <w:smallCaps w:val="0"/>
          <w:snapToGrid/>
          <w:vanish w:val="0"/>
          <w:color w:val="auto"/>
          <w:kern w:val="0"/>
          <w:sz w:val="24"/>
          <w:szCs w:val="15"/>
          <w:vertAlign w:val="baseline"/>
        </w:rPr>
        <w:t xml:space="preserve"> </w:t>
      </w:r>
      <w:r>
        <w:rPr>
          <w:rFonts w:hint="eastAsia" w:ascii="方正黑体_GBK" w:eastAsia="方正黑体_GBK"/>
          <w:b/>
          <w:bCs/>
          <w:caps w:val="0"/>
          <w:smallCaps w:val="0"/>
          <w:snapToGrid/>
          <w:vanish w:val="0"/>
          <w:color w:val="auto"/>
          <w:kern w:val="0"/>
          <w:sz w:val="24"/>
          <w:szCs w:val="24"/>
          <w:vertAlign w:val="baseline"/>
        </w:rPr>
        <w:t>理财产品说明书</w:t>
      </w:r>
    </w:p>
    <w:p w14:paraId="24B1649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b/>
          <w:bCs/>
          <w:i/>
          <w:iCs/>
          <w:caps w:val="0"/>
          <w:smallCaps w:val="0"/>
          <w:snapToGrid/>
          <w:vanish w:val="0"/>
          <w:color w:val="auto"/>
          <w:kern w:val="0"/>
          <w:sz w:val="24"/>
          <w:szCs w:val="24"/>
          <w:u w:val="single"/>
          <w:vertAlign w:val="baseline"/>
        </w:rPr>
      </w:pPr>
      <w:r>
        <w:rPr>
          <w:rFonts w:ascii="方正黑体_GBK" w:eastAsia="方正黑体_GBK"/>
          <w:b/>
          <w:bCs/>
          <w:i/>
          <w:iCs/>
          <w:caps w:val="0"/>
          <w:smallCaps w:val="0"/>
          <w:snapToGrid/>
          <w:vanish w:val="0"/>
          <w:color w:val="auto"/>
          <w:kern w:val="0"/>
          <w:sz w:val="24"/>
          <w:szCs w:val="24"/>
          <w:u w:val="single"/>
          <w:vertAlign w:val="baseline"/>
        </w:rPr>
        <w:t>“</w:t>
      </w:r>
      <w:r>
        <w:rPr>
          <w:rFonts w:hint="eastAsia" w:asci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b/>
          <w:bCs/>
          <w:i/>
          <w:iCs/>
          <w:caps w:val="0"/>
          <w:smallCaps w:val="0"/>
          <w:snapToGrid/>
          <w:vanish w:val="0"/>
          <w:color w:val="auto"/>
          <w:kern w:val="0"/>
          <w:sz w:val="24"/>
          <w:szCs w:val="24"/>
          <w:u w:val="single"/>
          <w:vertAlign w:val="baseline"/>
        </w:rPr>
        <w:t>”</w:t>
      </w:r>
      <w:r>
        <w:rPr>
          <w:rFonts w:hint="eastAsia" w:ascii="方正黑体_GBK" w:eastAsia="方正黑体_GBK"/>
          <w:b/>
          <w:bCs/>
          <w:i/>
          <w:iCs/>
          <w:caps w:val="0"/>
          <w:smallCaps w:val="0"/>
          <w:snapToGrid/>
          <w:vanish w:val="0"/>
          <w:color w:val="auto"/>
          <w:kern w:val="0"/>
          <w:sz w:val="24"/>
          <w:szCs w:val="24"/>
          <w:u w:val="single"/>
          <w:vertAlign w:val="baseline"/>
        </w:rPr>
        <w:t>！</w:t>
      </w:r>
    </w:p>
    <w:p w14:paraId="4066D0C8">
      <w:pPr>
        <w:pStyle w:val="4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b/>
          <w:bCs w:val="0"/>
          <w:caps w:val="0"/>
          <w:smallCaps w:val="0"/>
          <w:snapToGrid/>
          <w:vanish w:val="0"/>
          <w:color w:val="3D3D3D"/>
          <w:kern w:val="0"/>
          <w:sz w:val="15"/>
          <w:szCs w:val="15"/>
          <w:vertAlign w:val="baseline"/>
        </w:rPr>
      </w:pPr>
      <w:r>
        <w:rPr>
          <w:rFonts w:hint="eastAsia" w:ascii="方正黑体_GBK" w:eastAsia="方正黑体_GBK"/>
          <w:b/>
          <w:bCs w:val="0"/>
          <w:caps w:val="0"/>
          <w:smallCaps w:val="0"/>
          <w:snapToGrid/>
          <w:vanish w:val="0"/>
          <w:color w:val="3D3D3D"/>
          <w:kern w:val="0"/>
          <w:sz w:val="15"/>
          <w:szCs w:val="15"/>
          <w:vertAlign w:val="baseline"/>
        </w:rPr>
        <w:t>第一条</w:t>
      </w:r>
      <w:r>
        <w:rPr>
          <w:rFonts w:asci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013CA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3EB01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6C561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南银理财珠联璧合安稳1903一年定开公募人民币理财产品</w:t>
            </w:r>
          </w:p>
        </w:tc>
      </w:tr>
      <w:tr w14:paraId="1B9DBB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C7DAF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99CC0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定期开放式、固定收益类、公募、净值型</w:t>
            </w:r>
          </w:p>
        </w:tc>
      </w:tr>
      <w:tr w14:paraId="26374D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2AFB0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F388C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公开募集</w:t>
            </w:r>
          </w:p>
        </w:tc>
      </w:tr>
      <w:tr w14:paraId="06A35F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DABA3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5547D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ZC108691944590</w:t>
            </w:r>
          </w:p>
        </w:tc>
      </w:tr>
      <w:tr w14:paraId="7EBFD6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6C21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B3358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宋体"/>
                <w:caps w:val="0"/>
                <w:smallCaps w:val="0"/>
                <w:snapToGrid/>
                <w:vanish w:val="0"/>
                <w:color w:val="auto"/>
                <w:kern w:val="0"/>
                <w:sz w:val="18"/>
                <w:szCs w:val="18"/>
                <w:vertAlign w:val="baseline"/>
              </w:rPr>
              <w:t>Z7003221000028(投资者可依据该编码在中国理财网www.chinawealth.com.cn查询理财产品相关信息）</w:t>
            </w:r>
          </w:p>
        </w:tc>
      </w:tr>
      <w:tr w14:paraId="5A4FA21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583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73F9ABA">
            <w:pPr>
              <w:spacing w:line="200" w:lineRule="exact"/>
            </w:pPr>
            <w:r>
              <w:rPr>
                <w:rFonts w:ascii="方正黑体_GBK" w:eastAsia="方正黑体_GBK" w:cs="宋体"/>
                <w:sz w:val="18"/>
                <w:szCs w:val="18"/>
              </w:rPr>
              <w:t>A份额：Z10024</w:t>
            </w:r>
          </w:p>
          <w:p w14:paraId="20BB4215">
            <w:pPr>
              <w:spacing w:line="200" w:lineRule="exact"/>
            </w:pPr>
            <w:r>
              <w:rPr>
                <w:rFonts w:ascii="方正黑体_GBK" w:eastAsia="方正黑体_GBK" w:cs="宋体"/>
                <w:sz w:val="18"/>
                <w:szCs w:val="18"/>
              </w:rPr>
              <w:t>F份额：ZF10024</w:t>
            </w:r>
          </w:p>
          <w:p w14:paraId="7650482D">
            <w:pPr>
              <w:spacing w:line="200" w:lineRule="exact"/>
            </w:pPr>
            <w:r>
              <w:rPr>
                <w:rFonts w:ascii="方正黑体_GBK" w:eastAsia="方正黑体_GBK" w:cs="宋体"/>
                <w:sz w:val="18"/>
                <w:szCs w:val="18"/>
              </w:rPr>
              <w:t>A2份额：Z11024</w:t>
            </w:r>
          </w:p>
          <w:p w14:paraId="05F1E6B8">
            <w:pPr>
              <w:spacing w:line="200" w:lineRule="exact"/>
            </w:pPr>
            <w:r>
              <w:rPr>
                <w:rFonts w:ascii="方正黑体_GBK" w:eastAsia="方正黑体_GBK" w:cs="宋体"/>
                <w:sz w:val="18"/>
                <w:szCs w:val="18"/>
              </w:rPr>
              <w:t>A3份额：Z12024</w:t>
            </w:r>
          </w:p>
          <w:p w14:paraId="7335BFC3">
            <w:pPr>
              <w:spacing w:line="200" w:lineRule="exact"/>
            </w:pPr>
            <w:r>
              <w:rPr>
                <w:rFonts w:ascii="方正黑体_GBK" w:eastAsia="方正黑体_GBK" w:cs="宋体"/>
                <w:sz w:val="18"/>
                <w:szCs w:val="18"/>
              </w:rPr>
              <w:t>B4份额：NYAW001045</w:t>
            </w:r>
          </w:p>
          <w:p w14:paraId="46B703B3">
            <w:pPr>
              <w:spacing w:line="200" w:lineRule="exact"/>
            </w:pPr>
            <w:r>
              <w:rPr>
                <w:rFonts w:ascii="方正黑体_GBK" w:eastAsia="方正黑体_GBK" w:cs="宋体"/>
                <w:sz w:val="18"/>
                <w:szCs w:val="18"/>
              </w:rPr>
              <w:t>C4份额：NYAW001046</w:t>
            </w:r>
          </w:p>
          <w:p w14:paraId="2FB3D50C">
            <w:pPr>
              <w:spacing w:line="200" w:lineRule="exact"/>
            </w:pPr>
            <w:r>
              <w:rPr>
                <w:rFonts w:ascii="方正黑体_GBK" w:eastAsia="方正黑体_GBK" w:cs="宋体"/>
                <w:sz w:val="18"/>
                <w:szCs w:val="18"/>
              </w:rPr>
              <w:t>D4份额：NYAW001047</w:t>
            </w:r>
          </w:p>
          <w:p w14:paraId="2239ED2E">
            <w:pPr>
              <w:spacing w:line="200" w:lineRule="exact"/>
            </w:pPr>
            <w:r>
              <w:rPr>
                <w:rFonts w:ascii="方正黑体_GBK" w:eastAsia="方正黑体_GBK" w:cs="宋体"/>
                <w:sz w:val="18"/>
                <w:szCs w:val="18"/>
              </w:rPr>
              <w:t>E4份额：NYAW001048</w:t>
            </w:r>
          </w:p>
          <w:p w14:paraId="3FAE0779">
            <w:pPr>
              <w:spacing w:line="200" w:lineRule="exact"/>
            </w:pPr>
            <w:r>
              <w:rPr>
                <w:rFonts w:ascii="方正黑体_GBK" w:eastAsia="方正黑体_GBK" w:cs="宋体"/>
                <w:sz w:val="18"/>
                <w:szCs w:val="18"/>
              </w:rPr>
              <w:t>F2份额：ZF11024</w:t>
            </w:r>
          </w:p>
          <w:p w14:paraId="4EC36139">
            <w:pPr>
              <w:spacing w:line="200" w:lineRule="exact"/>
            </w:pPr>
            <w:r>
              <w:rPr>
                <w:rFonts w:ascii="方正黑体_GBK" w:eastAsia="方正黑体_GBK" w:cs="宋体"/>
                <w:sz w:val="18"/>
                <w:szCs w:val="18"/>
              </w:rPr>
              <w:t>F3份额：ZF12024</w:t>
            </w:r>
          </w:p>
          <w:p w14:paraId="55650458">
            <w:pPr>
              <w:spacing w:line="200" w:lineRule="exact"/>
            </w:pPr>
            <w:r>
              <w:rPr>
                <w:rFonts w:ascii="方正黑体_GBK" w:eastAsia="方正黑体_GBK" w:cs="宋体"/>
                <w:sz w:val="18"/>
                <w:szCs w:val="18"/>
              </w:rPr>
              <w:t>G3份额：NYAW001061</w:t>
            </w:r>
          </w:p>
          <w:p w14:paraId="4D8CDF29">
            <w:pPr>
              <w:spacing w:line="200" w:lineRule="exact"/>
            </w:pPr>
            <w:r>
              <w:rPr>
                <w:rFonts w:ascii="方正黑体_GBK" w:eastAsia="方正黑体_GBK" w:cs="宋体"/>
                <w:sz w:val="18"/>
                <w:szCs w:val="18"/>
              </w:rPr>
              <w:t>G4份额：NYAW001070</w:t>
            </w:r>
          </w:p>
          <w:p w14:paraId="4F2AC88E">
            <w:pPr>
              <w:spacing w:line="200" w:lineRule="exact"/>
            </w:pPr>
            <w:r>
              <w:rPr>
                <w:rFonts w:ascii="方正黑体_GBK" w:eastAsia="方正黑体_GBK" w:cs="宋体"/>
                <w:sz w:val="18"/>
                <w:szCs w:val="18"/>
              </w:rPr>
              <w:t>J2份额：NYAW001049</w:t>
            </w:r>
          </w:p>
          <w:p w14:paraId="4FC15A2D">
            <w:pPr>
              <w:spacing w:line="200" w:lineRule="exact"/>
            </w:pPr>
            <w:r>
              <w:rPr>
                <w:rFonts w:ascii="方正黑体_GBK" w:eastAsia="方正黑体_GBK" w:cs="宋体"/>
                <w:sz w:val="18"/>
                <w:szCs w:val="18"/>
              </w:rPr>
              <w:t>L2份额：NYAW001050</w:t>
            </w:r>
          </w:p>
          <w:p w14:paraId="5806941E">
            <w:pPr>
              <w:spacing w:line="200" w:lineRule="exact"/>
            </w:pPr>
            <w:r>
              <w:rPr>
                <w:rFonts w:ascii="方正黑体_GBK" w:eastAsia="方正黑体_GBK" w:cs="宋体"/>
                <w:sz w:val="18"/>
                <w:szCs w:val="18"/>
              </w:rPr>
              <w:t>J3份额：NYAW001062</w:t>
            </w:r>
          </w:p>
          <w:p w14:paraId="08D29BEB">
            <w:pPr>
              <w:spacing w:line="200" w:lineRule="exact"/>
            </w:pPr>
            <w:r>
              <w:rPr>
                <w:rFonts w:ascii="方正黑体_GBK" w:eastAsia="方正黑体_GBK" w:cs="宋体"/>
                <w:sz w:val="18"/>
                <w:szCs w:val="18"/>
              </w:rPr>
              <w:t>L3份额：NYAW001063</w:t>
            </w:r>
          </w:p>
          <w:p w14:paraId="6B48F863">
            <w:pPr>
              <w:spacing w:line="200" w:lineRule="exact"/>
            </w:pPr>
            <w:r>
              <w:rPr>
                <w:rFonts w:ascii="方正黑体_GBK" w:eastAsia="方正黑体_GBK" w:cs="宋体"/>
                <w:sz w:val="18"/>
                <w:szCs w:val="18"/>
              </w:rPr>
              <w:t>M2份额：NYAW001054</w:t>
            </w:r>
          </w:p>
          <w:p w14:paraId="31A87C1C">
            <w:pPr>
              <w:spacing w:line="200" w:lineRule="exact"/>
            </w:pPr>
            <w:r>
              <w:rPr>
                <w:rFonts w:ascii="方正黑体_GBK" w:eastAsia="方正黑体_GBK" w:cs="宋体"/>
                <w:sz w:val="18"/>
                <w:szCs w:val="18"/>
              </w:rPr>
              <w:t>M3份额：NYAW001067</w:t>
            </w:r>
          </w:p>
          <w:p w14:paraId="1A0D12AF">
            <w:pPr>
              <w:spacing w:line="200" w:lineRule="exact"/>
            </w:pPr>
            <w:r>
              <w:rPr>
                <w:rFonts w:ascii="方正黑体_GBK" w:eastAsia="方正黑体_GBK" w:cs="宋体"/>
                <w:sz w:val="18"/>
                <w:szCs w:val="18"/>
              </w:rPr>
              <w:t>O2份额：NYAW001051</w:t>
            </w:r>
          </w:p>
          <w:p w14:paraId="06598AFD">
            <w:pPr>
              <w:spacing w:line="200" w:lineRule="exact"/>
            </w:pPr>
            <w:r>
              <w:rPr>
                <w:rFonts w:ascii="方正黑体_GBK" w:eastAsia="方正黑体_GBK" w:cs="宋体"/>
                <w:sz w:val="18"/>
                <w:szCs w:val="18"/>
              </w:rPr>
              <w:t>O3份额：NYAW001064</w:t>
            </w:r>
          </w:p>
          <w:p w14:paraId="7AE38438">
            <w:pPr>
              <w:spacing w:line="200" w:lineRule="exact"/>
            </w:pPr>
            <w:r>
              <w:rPr>
                <w:rFonts w:ascii="方正黑体_GBK" w:eastAsia="方正黑体_GBK" w:cs="宋体"/>
                <w:sz w:val="18"/>
                <w:szCs w:val="18"/>
              </w:rPr>
              <w:t>Q1份额：NYAW001043</w:t>
            </w:r>
          </w:p>
          <w:p w14:paraId="4A7CF782">
            <w:pPr>
              <w:spacing w:line="200" w:lineRule="exact"/>
            </w:pPr>
            <w:r>
              <w:rPr>
                <w:rFonts w:ascii="方正黑体_GBK" w:eastAsia="方正黑体_GBK" w:cs="宋体"/>
                <w:sz w:val="18"/>
                <w:szCs w:val="18"/>
              </w:rPr>
              <w:t>R1份额：NYAW001044</w:t>
            </w:r>
          </w:p>
          <w:p w14:paraId="1FAEBB3A">
            <w:pPr>
              <w:spacing w:line="200" w:lineRule="exact"/>
            </w:pPr>
            <w:r>
              <w:rPr>
                <w:rFonts w:ascii="方正黑体_GBK" w:eastAsia="方正黑体_GBK" w:cs="宋体"/>
                <w:sz w:val="18"/>
                <w:szCs w:val="18"/>
              </w:rPr>
              <w:t>Q2份额：NYAW001055</w:t>
            </w:r>
          </w:p>
          <w:p w14:paraId="25BB7BA9">
            <w:pPr>
              <w:spacing w:line="200" w:lineRule="exact"/>
            </w:pPr>
            <w:r>
              <w:rPr>
                <w:rFonts w:ascii="方正黑体_GBK" w:eastAsia="方正黑体_GBK" w:cs="宋体"/>
                <w:sz w:val="18"/>
                <w:szCs w:val="18"/>
              </w:rPr>
              <w:t>R2份额：NYAW001056</w:t>
            </w:r>
          </w:p>
          <w:p w14:paraId="2A480B8E">
            <w:pPr>
              <w:spacing w:line="200" w:lineRule="exact"/>
            </w:pPr>
            <w:r>
              <w:rPr>
                <w:rFonts w:ascii="方正黑体_GBK" w:eastAsia="方正黑体_GBK" w:cs="宋体"/>
                <w:sz w:val="18"/>
                <w:szCs w:val="18"/>
              </w:rPr>
              <w:t>Q3份额：NYAW001068</w:t>
            </w:r>
          </w:p>
          <w:p w14:paraId="10D05768">
            <w:pPr>
              <w:spacing w:line="200" w:lineRule="exact"/>
            </w:pPr>
            <w:r>
              <w:rPr>
                <w:rFonts w:ascii="方正黑体_GBK" w:eastAsia="方正黑体_GBK" w:cs="宋体"/>
                <w:sz w:val="18"/>
                <w:szCs w:val="18"/>
              </w:rPr>
              <w:t>R3份额：NYAW001069</w:t>
            </w:r>
          </w:p>
          <w:p w14:paraId="6EC15FCA">
            <w:pPr>
              <w:spacing w:line="200" w:lineRule="exact"/>
            </w:pPr>
            <w:r>
              <w:rPr>
                <w:rFonts w:ascii="方正黑体_GBK" w:eastAsia="方正黑体_GBK" w:cs="宋体"/>
                <w:sz w:val="18"/>
                <w:szCs w:val="18"/>
              </w:rPr>
              <w:t>B1份额：NYAW001030</w:t>
            </w:r>
          </w:p>
          <w:p w14:paraId="3B800321">
            <w:pPr>
              <w:spacing w:line="200" w:lineRule="exact"/>
            </w:pPr>
            <w:r>
              <w:rPr>
                <w:rFonts w:ascii="方正黑体_GBK" w:eastAsia="方正黑体_GBK" w:cs="宋体"/>
                <w:sz w:val="18"/>
                <w:szCs w:val="18"/>
              </w:rPr>
              <w:t>C1份额：NYAW001031</w:t>
            </w:r>
          </w:p>
          <w:p w14:paraId="0BBBF866">
            <w:pPr>
              <w:spacing w:line="200" w:lineRule="exact"/>
            </w:pPr>
            <w:r>
              <w:rPr>
                <w:rFonts w:ascii="方正黑体_GBK" w:eastAsia="方正黑体_GBK" w:cs="宋体"/>
                <w:sz w:val="18"/>
                <w:szCs w:val="18"/>
              </w:rPr>
              <w:t>D1份额：NYAW001032</w:t>
            </w:r>
          </w:p>
          <w:p w14:paraId="404FF2CF">
            <w:pPr>
              <w:spacing w:line="200" w:lineRule="exact"/>
            </w:pPr>
            <w:r>
              <w:rPr>
                <w:rFonts w:ascii="方正黑体_GBK" w:eastAsia="方正黑体_GBK" w:cs="宋体"/>
                <w:sz w:val="18"/>
                <w:szCs w:val="18"/>
              </w:rPr>
              <w:t>E1份额：NYAW001033</w:t>
            </w:r>
          </w:p>
          <w:p w14:paraId="1D573CA7">
            <w:pPr>
              <w:spacing w:line="200" w:lineRule="exact"/>
            </w:pPr>
            <w:r>
              <w:rPr>
                <w:rFonts w:ascii="方正黑体_GBK" w:eastAsia="方正黑体_GBK" w:cs="宋体"/>
                <w:sz w:val="18"/>
                <w:szCs w:val="18"/>
              </w:rPr>
              <w:t>G1份额：NYAW001034</w:t>
            </w:r>
          </w:p>
          <w:p w14:paraId="516DA1D4">
            <w:pPr>
              <w:spacing w:line="200" w:lineRule="exact"/>
            </w:pPr>
            <w:r>
              <w:rPr>
                <w:rFonts w:ascii="方正黑体_GBK" w:eastAsia="方正黑体_GBK" w:cs="宋体"/>
                <w:sz w:val="18"/>
                <w:szCs w:val="18"/>
              </w:rPr>
              <w:t>I1份额：NYAW001035</w:t>
            </w:r>
          </w:p>
          <w:p w14:paraId="72BD1977">
            <w:pPr>
              <w:spacing w:line="200" w:lineRule="exact"/>
            </w:pPr>
            <w:r>
              <w:rPr>
                <w:rFonts w:ascii="方正黑体_GBK" w:eastAsia="方正黑体_GBK" w:cs="宋体"/>
                <w:sz w:val="18"/>
                <w:szCs w:val="18"/>
              </w:rPr>
              <w:t>J1份额：NYAW001036</w:t>
            </w:r>
          </w:p>
          <w:p w14:paraId="0A3C9723">
            <w:pPr>
              <w:spacing w:line="200" w:lineRule="exact"/>
            </w:pPr>
            <w:r>
              <w:rPr>
                <w:rFonts w:ascii="方正黑体_GBK" w:eastAsia="方正黑体_GBK" w:cs="宋体"/>
                <w:sz w:val="18"/>
                <w:szCs w:val="18"/>
              </w:rPr>
              <w:t>L1份额：NYAW001037</w:t>
            </w:r>
          </w:p>
          <w:p w14:paraId="7B81CFD2">
            <w:pPr>
              <w:spacing w:line="200" w:lineRule="exact"/>
            </w:pPr>
            <w:r>
              <w:rPr>
                <w:rFonts w:ascii="方正黑体_GBK" w:eastAsia="方正黑体_GBK" w:cs="宋体"/>
                <w:sz w:val="18"/>
                <w:szCs w:val="18"/>
              </w:rPr>
              <w:t>M1份额：NYAW001041</w:t>
            </w:r>
          </w:p>
          <w:p w14:paraId="6C406C4C">
            <w:pPr>
              <w:spacing w:line="200" w:lineRule="exact"/>
            </w:pPr>
            <w:r>
              <w:rPr>
                <w:rFonts w:ascii="方正黑体_GBK" w:eastAsia="方正黑体_GBK" w:cs="宋体"/>
                <w:sz w:val="18"/>
                <w:szCs w:val="18"/>
              </w:rPr>
              <w:t>N1份额：NYAW001042</w:t>
            </w:r>
          </w:p>
          <w:p w14:paraId="148D2859">
            <w:pPr>
              <w:spacing w:line="200" w:lineRule="exact"/>
            </w:pPr>
            <w:r>
              <w:rPr>
                <w:rFonts w:ascii="方正黑体_GBK" w:eastAsia="方正黑体_GBK" w:cs="宋体"/>
                <w:sz w:val="18"/>
                <w:szCs w:val="18"/>
              </w:rPr>
              <w:t>O1份额：NYAW001038</w:t>
            </w:r>
          </w:p>
          <w:p w14:paraId="14E9CC9E">
            <w:pPr>
              <w:spacing w:line="200" w:lineRule="exact"/>
            </w:pPr>
            <w:r>
              <w:rPr>
                <w:rFonts w:ascii="方正黑体_GBK" w:eastAsia="方正黑体_GBK" w:cs="宋体"/>
                <w:sz w:val="18"/>
                <w:szCs w:val="18"/>
              </w:rPr>
              <w:t>S1份额：NYAW001039</w:t>
            </w:r>
          </w:p>
          <w:p w14:paraId="75E6EE52">
            <w:pPr>
              <w:spacing w:line="200" w:lineRule="exact"/>
            </w:pPr>
            <w:r>
              <w:rPr>
                <w:rFonts w:ascii="方正黑体_GBK" w:eastAsia="方正黑体_GBK" w:cs="宋体"/>
                <w:sz w:val="18"/>
                <w:szCs w:val="18"/>
              </w:rPr>
              <w:t>S2份额：NYAW001052</w:t>
            </w:r>
          </w:p>
          <w:p w14:paraId="5BEF199A">
            <w:pPr>
              <w:spacing w:line="200" w:lineRule="exact"/>
            </w:pPr>
            <w:r>
              <w:rPr>
                <w:rFonts w:ascii="方正黑体_GBK" w:eastAsia="方正黑体_GBK" w:cs="宋体"/>
                <w:sz w:val="18"/>
                <w:szCs w:val="18"/>
              </w:rPr>
              <w:t>S3份额：NYAW001065</w:t>
            </w:r>
          </w:p>
          <w:p w14:paraId="4AB8567F">
            <w:pPr>
              <w:spacing w:line="200" w:lineRule="exact"/>
            </w:pPr>
            <w:r>
              <w:rPr>
                <w:rFonts w:ascii="方正黑体_GBK" w:eastAsia="方正黑体_GBK" w:cs="宋体"/>
                <w:sz w:val="18"/>
                <w:szCs w:val="18"/>
              </w:rPr>
              <w:t>T1份额：NYAW001040</w:t>
            </w:r>
          </w:p>
          <w:p w14:paraId="580E76CB">
            <w:pPr>
              <w:spacing w:line="200" w:lineRule="exact"/>
            </w:pPr>
            <w:r>
              <w:rPr>
                <w:rFonts w:ascii="方正黑体_GBK" w:eastAsia="方正黑体_GBK" w:cs="宋体"/>
                <w:sz w:val="18"/>
                <w:szCs w:val="18"/>
              </w:rPr>
              <w:t>T2份额：NYAW001053</w:t>
            </w:r>
          </w:p>
          <w:p w14:paraId="4C929BEC">
            <w:pPr>
              <w:spacing w:line="200" w:lineRule="exact"/>
            </w:pPr>
            <w:r>
              <w:rPr>
                <w:rFonts w:ascii="方正黑体_GBK" w:eastAsia="方正黑体_GBK" w:cs="宋体"/>
                <w:sz w:val="18"/>
                <w:szCs w:val="18"/>
              </w:rPr>
              <w:t>T3份额：NYAW001066</w:t>
            </w:r>
          </w:p>
          <w:p w14:paraId="37527D9A">
            <w:pPr>
              <w:spacing w:line="200" w:lineRule="exact"/>
            </w:pPr>
            <w:r>
              <w:rPr>
                <w:rFonts w:ascii="方正黑体_GBK" w:eastAsia="方正黑体_GBK" w:cs="宋体"/>
                <w:sz w:val="18"/>
                <w:szCs w:val="18"/>
              </w:rPr>
              <w:t>B5份额：NYAW001057</w:t>
            </w:r>
          </w:p>
          <w:p w14:paraId="33B23E86">
            <w:pPr>
              <w:spacing w:line="200" w:lineRule="exact"/>
            </w:pPr>
            <w:r>
              <w:rPr>
                <w:rFonts w:ascii="方正黑体_GBK" w:eastAsia="方正黑体_GBK" w:cs="宋体"/>
                <w:sz w:val="18"/>
                <w:szCs w:val="18"/>
              </w:rPr>
              <w:t>C5份额：NYAW001058</w:t>
            </w:r>
          </w:p>
          <w:p w14:paraId="7B1BA608">
            <w:pPr>
              <w:spacing w:line="200" w:lineRule="exact"/>
            </w:pPr>
            <w:r>
              <w:rPr>
                <w:rFonts w:ascii="方正黑体_GBK" w:eastAsia="方正黑体_GBK" w:cs="宋体"/>
                <w:sz w:val="18"/>
                <w:szCs w:val="18"/>
              </w:rPr>
              <w:t>D5份额：NYAW001059</w:t>
            </w:r>
          </w:p>
          <w:p w14:paraId="6C1A4B9C">
            <w:pPr>
              <w:spacing w:line="200" w:lineRule="exact"/>
            </w:pPr>
            <w:r>
              <w:rPr>
                <w:rFonts w:ascii="方正黑体_GBK" w:eastAsia="方正黑体_GBK" w:cs="宋体"/>
                <w:sz w:val="18"/>
                <w:szCs w:val="18"/>
              </w:rPr>
              <w:t>E5份额：NYAW001060</w:t>
            </w:r>
          </w:p>
          <w:p w14:paraId="33702B17">
            <w:pPr>
              <w:spacing w:line="200" w:lineRule="exact"/>
            </w:pPr>
            <w:r>
              <w:rPr>
                <w:rFonts w:ascii="方正黑体_GBK" w:eastAsia="方正黑体_GBK" w:cs="宋体"/>
                <w:b/>
                <w:sz w:val="18"/>
                <w:szCs w:val="18"/>
              </w:rPr>
              <w:t>注：本产品不同份额针对不同的销售机构及客群进行销售，设置有不同的销售费和管理费。</w:t>
            </w:r>
          </w:p>
        </w:tc>
      </w:tr>
      <w:tr w14:paraId="03580B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89AF7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33DF90C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sz w:val="18"/>
                <w:szCs w:val="18"/>
              </w:rPr>
              <w:t>10年</w:t>
            </w:r>
            <w:r>
              <w:rPr>
                <w:rFonts w:hint="eastAsia" w:ascii="方正黑体_GBK" w:eastAsia="方正黑体_GBK" w:cs="宋体"/>
                <w:kern w:val="0"/>
                <w:sz w:val="18"/>
                <w:szCs w:val="18"/>
                <w:lang w:val="en-US" w:eastAsia="zh-CN"/>
              </w:rPr>
              <w:t>（管理人有权提前终止或延期终止）</w:t>
            </w:r>
          </w:p>
        </w:tc>
      </w:tr>
      <w:tr w14:paraId="1B1555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18EC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94949FE">
            <w:pPr>
              <w:spacing w:line="200" w:lineRule="exact"/>
            </w:pPr>
            <w:r>
              <w:rPr>
                <w:rFonts w:ascii="方正黑体_GBK" w:eastAsia="方正黑体_GBK" w:cs="宋体"/>
                <w:sz w:val="18"/>
                <w:szCs w:val="18"/>
              </w:rPr>
              <w:t>全国</w:t>
            </w:r>
          </w:p>
        </w:tc>
      </w:tr>
      <w:tr w14:paraId="6E45F0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B9CB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B75F1A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kern w:val="0"/>
                <w:sz w:val="18"/>
                <w:szCs w:val="18"/>
              </w:rPr>
              <w:t>人民币</w:t>
            </w:r>
          </w:p>
        </w:tc>
      </w:tr>
      <w:tr w14:paraId="75C91C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F5F3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C524DCB">
            <w:pPr>
              <w:spacing w:line="200" w:lineRule="exact"/>
            </w:pPr>
            <w:r>
              <w:rPr>
                <w:rFonts w:ascii="方正黑体_GBK" w:eastAsia="方正黑体_GBK" w:cs="宋体"/>
                <w:sz w:val="18"/>
                <w:szCs w:val="18"/>
              </w:rPr>
              <w:t>本理财产品规模上限为500亿元。理财产品管理人有权对上述规模上限根据实际业务需求进行调整。</w:t>
            </w:r>
          </w:p>
        </w:tc>
      </w:tr>
      <w:tr w14:paraId="415671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4BA4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4E150EC">
            <w:pPr>
              <w:spacing w:line="200" w:lineRule="exact"/>
            </w:pPr>
            <w:r>
              <w:rPr>
                <w:rFonts w:ascii="方正黑体_GBK" w:eastAsia="方正黑体_GBK" w:cs="宋体"/>
                <w:sz w:val="18"/>
                <w:szCs w:val="18"/>
              </w:rPr>
              <w:t>根据理财产品管理人对理财产品的内部风险评估，本理财产品风险等级为</w:t>
            </w:r>
            <w:r>
              <w:rPr>
                <w:rFonts w:ascii="方正黑体_GBK" w:eastAsia="方正黑体_GBK" w:cs="宋体"/>
                <w:b/>
                <w:sz w:val="18"/>
                <w:szCs w:val="18"/>
              </w:rPr>
              <w:t>中低风险</w:t>
            </w:r>
            <w:r>
              <w:rPr>
                <w:rFonts w:ascii="方正黑体_GBK" w:eastAsia="方正黑体_GBK" w:cs="宋体"/>
                <w:sz w:val="18"/>
                <w:szCs w:val="18"/>
              </w:rPr>
              <w:t>（本风险等级为管理人内部风险评估结果，仅供参考）。</w:t>
            </w:r>
          </w:p>
          <w:p w14:paraId="1B30F7C9">
            <w:pPr>
              <w:spacing w:line="200" w:lineRule="exact"/>
            </w:pPr>
            <w:r>
              <w:rPr>
                <w:rFonts w:asci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75230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C062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4A7B778">
            <w:pPr>
              <w:spacing w:line="200" w:lineRule="exact"/>
              <w:jc w:val="left"/>
            </w:pPr>
            <w:r>
              <w:rPr>
                <w:rFonts w:ascii="方正黑体_GBK" w:eastAsia="方正黑体_GBK" w:cs="宋体"/>
                <w:sz w:val="18"/>
                <w:szCs w:val="18"/>
              </w:rPr>
              <w:t>符合相关法律法规、监管规定要求的，经销售机构的风险承受能力评估体系评定为适合的个人和机构投资者。</w:t>
            </w:r>
          </w:p>
          <w:p w14:paraId="0533CB02">
            <w:pPr>
              <w:spacing w:line="200" w:lineRule="exact"/>
            </w:pPr>
            <w:r>
              <w:rPr>
                <w:rFonts w:ascii="方正黑体_GBK" w:eastAsia="方正黑体_GBK" w:cs="宋体"/>
                <w:sz w:val="18"/>
                <w:szCs w:val="18"/>
              </w:rPr>
              <w:t>A份额：南京银行股份有限公司（除镇江分行(新客或新资金5万或代发客户)、私行客户、钻石客户、新晋私行客户、新晋钻石户及南京银行认定的其他符合标准的客户外的其他客户）、南银理财有限责任公司、昆山鹿城村镇银行股份有限公司、日照银行股份有限公司、秦皇岛银行股份有限公司、泰安银行股份有限公司、齐鲁银行股份有限公司、深圳前海微众银行股份有限公司、九江银行股份有限公司、无锡锡商银行股份有限公司、江苏江阴农村商业银行股份有限公司。</w:t>
            </w:r>
          </w:p>
          <w:p w14:paraId="392D0327">
            <w:pPr>
              <w:spacing w:line="200" w:lineRule="exact"/>
            </w:pPr>
            <w:r>
              <w:rPr>
                <w:rFonts w:ascii="方正黑体_GBK" w:eastAsia="方正黑体_GBK" w:cs="宋体"/>
                <w:sz w:val="18"/>
                <w:szCs w:val="18"/>
              </w:rPr>
              <w:t>F份额：南京银行私行客户、钻石客户、新晋私行客户、新晋钻石户及南京银行认定的其他符合标准的客户。</w:t>
            </w:r>
          </w:p>
          <w:p w14:paraId="38C2C188">
            <w:pPr>
              <w:spacing w:line="200" w:lineRule="exact"/>
            </w:pPr>
            <w:r>
              <w:rPr>
                <w:rFonts w:ascii="方正黑体_GBK" w:eastAsia="方正黑体_GBK" w:cs="宋体"/>
                <w:sz w:val="18"/>
                <w:szCs w:val="18"/>
              </w:rPr>
              <w:t>A2份额：南京银行股份有限公司（除私行客户、钻石客户、新晋私行客户、新晋钻石户及南京银行认定的其他符合标准的客户外的其他客户）、南银理财有限责任公司。</w:t>
            </w:r>
          </w:p>
          <w:p w14:paraId="6F31FB84">
            <w:pPr>
              <w:spacing w:line="200" w:lineRule="exact"/>
            </w:pPr>
            <w:r>
              <w:rPr>
                <w:rFonts w:ascii="方正黑体_GBK" w:eastAsia="方正黑体_GBK" w:cs="宋体"/>
                <w:sz w:val="18"/>
                <w:szCs w:val="18"/>
              </w:rPr>
              <w:t>A3份额：南京银行股份有限公司（除私行客户、钻石客户、新晋私行客户、新晋钻石户及南京银行认定的其他符合标准的客户外的其他客户）、南银理财有限责任公司。</w:t>
            </w:r>
          </w:p>
          <w:p w14:paraId="6D309949">
            <w:pPr>
              <w:spacing w:line="200" w:lineRule="exact"/>
            </w:pPr>
            <w:r>
              <w:rPr>
                <w:rFonts w:ascii="方正黑体_GBK" w:eastAsia="方正黑体_GBK" w:cs="宋体"/>
                <w:sz w:val="18"/>
                <w:szCs w:val="18"/>
              </w:rPr>
              <w:t>B4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0270AAE8">
            <w:pPr>
              <w:spacing w:line="200" w:lineRule="exact"/>
            </w:pPr>
            <w:r>
              <w:rPr>
                <w:rFonts w:ascii="方正黑体_GBK" w:eastAsia="方正黑体_GBK" w:cs="宋体"/>
                <w:sz w:val="18"/>
                <w:szCs w:val="18"/>
              </w:rPr>
              <w:t>C4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14:paraId="31C8A955">
            <w:pPr>
              <w:spacing w:line="200" w:lineRule="exact"/>
            </w:pPr>
            <w:r>
              <w:rPr>
                <w:rFonts w:ascii="方正黑体_GBK" w:eastAsia="方正黑体_GBK" w:cs="宋体"/>
                <w:sz w:val="18"/>
                <w:szCs w:val="18"/>
              </w:rPr>
              <w:t>D4份额：南京银行股份有限公司(新客、新资金(20万))、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045809FD">
            <w:pPr>
              <w:spacing w:line="200" w:lineRule="exact"/>
            </w:pPr>
            <w:r>
              <w:rPr>
                <w:rFonts w:ascii="方正黑体_GBK" w:eastAsia="方正黑体_GBK" w:cs="宋体"/>
                <w:sz w:val="18"/>
                <w:szCs w:val="18"/>
              </w:rPr>
              <w:t>E4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4195BE17">
            <w:pPr>
              <w:spacing w:line="200" w:lineRule="exact"/>
            </w:pPr>
            <w:r>
              <w:rPr>
                <w:rFonts w:ascii="方正黑体_GBK" w:eastAsia="方正黑体_GBK" w:cs="宋体"/>
                <w:sz w:val="18"/>
                <w:szCs w:val="18"/>
              </w:rPr>
              <w:t>F2份额：南京银行私行客户、钻石客户、新晋私行客户、新晋钻石户及南京银行认定的其他符合标准的客户。</w:t>
            </w:r>
          </w:p>
          <w:p w14:paraId="63A94F9C">
            <w:pPr>
              <w:spacing w:line="200" w:lineRule="exact"/>
            </w:pPr>
            <w:r>
              <w:rPr>
                <w:rFonts w:ascii="方正黑体_GBK" w:eastAsia="方正黑体_GBK" w:cs="宋体"/>
                <w:sz w:val="18"/>
                <w:szCs w:val="18"/>
              </w:rPr>
              <w:t>F3份额：南京银行私行客户、钻石客户、新晋私行客户、新晋钻石户及南京银行认定的其他符合标准的客户。</w:t>
            </w:r>
          </w:p>
          <w:p w14:paraId="2ABB039C">
            <w:pPr>
              <w:spacing w:line="200" w:lineRule="exact"/>
            </w:pPr>
            <w:r>
              <w:rPr>
                <w:rFonts w:ascii="方正黑体_GBK" w:eastAsia="方正黑体_GBK" w:cs="宋体"/>
                <w:sz w:val="18"/>
                <w:szCs w:val="18"/>
              </w:rPr>
              <w:t>G3份额：成都银行股份有限公司。</w:t>
            </w:r>
          </w:p>
          <w:p w14:paraId="627A15F5">
            <w:pPr>
              <w:spacing w:line="200" w:lineRule="exact"/>
            </w:pPr>
            <w:r>
              <w:rPr>
                <w:rFonts w:ascii="方正黑体_GBK" w:eastAsia="方正黑体_GBK" w:cs="宋体"/>
                <w:sz w:val="18"/>
                <w:szCs w:val="18"/>
              </w:rPr>
              <w:t>G4份额：成都银行股份有限公司。</w:t>
            </w:r>
          </w:p>
          <w:p w14:paraId="2F55D537">
            <w:pPr>
              <w:spacing w:line="200" w:lineRule="exact"/>
            </w:pPr>
            <w:r>
              <w:rPr>
                <w:rFonts w:ascii="方正黑体_GBK" w:eastAsia="方正黑体_GBK" w:cs="宋体"/>
                <w:sz w:val="18"/>
                <w:szCs w:val="18"/>
              </w:rPr>
              <w:t>J2份额：兴业银行股份有限公司（私行客户1万元起购）。</w:t>
            </w:r>
          </w:p>
          <w:p w14:paraId="01B63E88">
            <w:pPr>
              <w:spacing w:line="200" w:lineRule="exact"/>
            </w:pPr>
            <w:r>
              <w:rPr>
                <w:rFonts w:ascii="方正黑体_GBK" w:eastAsia="方正黑体_GBK" w:cs="宋体"/>
                <w:sz w:val="18"/>
                <w:szCs w:val="18"/>
              </w:rPr>
              <w:t>L2份额：兴业银行股份有限公司（私行客户100万元起购）。</w:t>
            </w:r>
          </w:p>
          <w:p w14:paraId="0B20192D">
            <w:pPr>
              <w:spacing w:line="200" w:lineRule="exact"/>
            </w:pPr>
            <w:r>
              <w:rPr>
                <w:rFonts w:ascii="方正黑体_GBK" w:eastAsia="方正黑体_GBK" w:cs="宋体"/>
                <w:sz w:val="18"/>
                <w:szCs w:val="18"/>
              </w:rPr>
              <w:t>J3份额：兴业银行股份有限公司（私行客户1万元起购）。</w:t>
            </w:r>
          </w:p>
          <w:p w14:paraId="54627532">
            <w:pPr>
              <w:spacing w:line="200" w:lineRule="exact"/>
            </w:pPr>
            <w:r>
              <w:rPr>
                <w:rFonts w:ascii="方正黑体_GBK" w:eastAsia="方正黑体_GBK" w:cs="宋体"/>
                <w:sz w:val="18"/>
                <w:szCs w:val="18"/>
              </w:rPr>
              <w:t>L3份额：兴业银行股份有限公司（私行客户100万元起购）。</w:t>
            </w:r>
          </w:p>
          <w:p w14:paraId="45C8078A">
            <w:pPr>
              <w:spacing w:line="200" w:lineRule="exact"/>
            </w:pPr>
            <w:r>
              <w:rPr>
                <w:rFonts w:ascii="方正黑体_GBK" w:eastAsia="方正黑体_GBK" w:cs="宋体"/>
                <w:sz w:val="18"/>
                <w:szCs w:val="18"/>
              </w:rPr>
              <w:t>M2份额：浙江民泰商业银行股份有限公司、嘉兴银行股份有限公司、苏州银行股份有限公司、福建海峡银行股份有限公司、宁波通商银行股份有限公司。</w:t>
            </w:r>
          </w:p>
          <w:p w14:paraId="081F0FD3">
            <w:pPr>
              <w:spacing w:line="200" w:lineRule="exact"/>
            </w:pPr>
            <w:r>
              <w:rPr>
                <w:rFonts w:ascii="方正黑体_GBK" w:eastAsia="方正黑体_GBK" w:cs="宋体"/>
                <w:sz w:val="18"/>
                <w:szCs w:val="18"/>
              </w:rPr>
              <w:t>M3份额：浙江民泰商业银行股份有限公司、嘉兴银行股份有限公司、苏州银行股份有限公司、福建海峡银行股份有限公司、宁波通商银行股份有限公司。</w:t>
            </w:r>
          </w:p>
          <w:p w14:paraId="00459C1E">
            <w:pPr>
              <w:spacing w:line="200" w:lineRule="exact"/>
            </w:pPr>
            <w:r>
              <w:rPr>
                <w:rFonts w:ascii="方正黑体_GBK" w:eastAsia="方正黑体_GBK" w:cs="宋体"/>
                <w:sz w:val="18"/>
                <w:szCs w:val="18"/>
              </w:rPr>
              <w:t>O2份额：广发银行股份有限公司所有个人客户。</w:t>
            </w:r>
          </w:p>
          <w:p w14:paraId="6DDD4CB7">
            <w:pPr>
              <w:spacing w:line="200" w:lineRule="exact"/>
            </w:pPr>
            <w:r>
              <w:rPr>
                <w:rFonts w:ascii="方正黑体_GBK" w:eastAsia="方正黑体_GBK" w:cs="宋体"/>
                <w:sz w:val="18"/>
                <w:szCs w:val="18"/>
              </w:rPr>
              <w:t>O3份额：广发银行股份有限公司所有个人客户。</w:t>
            </w:r>
          </w:p>
          <w:p w14:paraId="538BA85D">
            <w:pPr>
              <w:spacing w:line="200" w:lineRule="exact"/>
            </w:pPr>
            <w:r>
              <w:rPr>
                <w:rFonts w:ascii="方正黑体_GBK" w:eastAsia="方正黑体_GBK" w:cs="宋体"/>
                <w:sz w:val="18"/>
                <w:szCs w:val="18"/>
              </w:rPr>
              <w:t>Q1份额：台州银行股份有限公司（除白名单客户外的其他客户）</w:t>
            </w:r>
          </w:p>
          <w:p w14:paraId="3DE3C192">
            <w:pPr>
              <w:spacing w:line="200" w:lineRule="exact"/>
            </w:pPr>
            <w:r>
              <w:rPr>
                <w:rFonts w:ascii="方正黑体_GBK" w:eastAsia="方正黑体_GBK" w:cs="宋体"/>
                <w:sz w:val="18"/>
                <w:szCs w:val="18"/>
              </w:rPr>
              <w:t>R1份额：台州银行股份有限公司白名单客户。</w:t>
            </w:r>
          </w:p>
          <w:p w14:paraId="310779F2">
            <w:pPr>
              <w:spacing w:line="200" w:lineRule="exact"/>
            </w:pPr>
            <w:r>
              <w:rPr>
                <w:rFonts w:ascii="方正黑体_GBK" w:eastAsia="方正黑体_GBK" w:cs="宋体"/>
                <w:sz w:val="18"/>
                <w:szCs w:val="18"/>
              </w:rPr>
              <w:t>Q2份额：台州银行股份有限公司（除白名单客户外的其他客户）</w:t>
            </w:r>
          </w:p>
          <w:p w14:paraId="2F491125">
            <w:pPr>
              <w:spacing w:line="200" w:lineRule="exact"/>
            </w:pPr>
            <w:r>
              <w:rPr>
                <w:rFonts w:ascii="方正黑体_GBK" w:eastAsia="方正黑体_GBK" w:cs="宋体"/>
                <w:sz w:val="18"/>
                <w:szCs w:val="18"/>
              </w:rPr>
              <w:t>R2份额：台州银行股份有限公司白名单客户。</w:t>
            </w:r>
          </w:p>
          <w:p w14:paraId="174326FE">
            <w:pPr>
              <w:spacing w:line="200" w:lineRule="exact"/>
            </w:pPr>
            <w:r>
              <w:rPr>
                <w:rFonts w:ascii="方正黑体_GBK" w:eastAsia="方正黑体_GBK" w:cs="宋体"/>
                <w:sz w:val="18"/>
                <w:szCs w:val="18"/>
              </w:rPr>
              <w:t>Q3份额：台州银行股份有限公司（除白名单客户外的其他客户）</w:t>
            </w:r>
          </w:p>
          <w:p w14:paraId="386B3EDD">
            <w:pPr>
              <w:spacing w:line="200" w:lineRule="exact"/>
            </w:pPr>
            <w:r>
              <w:rPr>
                <w:rFonts w:ascii="方正黑体_GBK" w:eastAsia="方正黑体_GBK" w:cs="宋体"/>
                <w:sz w:val="18"/>
                <w:szCs w:val="18"/>
              </w:rPr>
              <w:t>R3份额：台州银行股份有限公司白名单客户。</w:t>
            </w:r>
          </w:p>
          <w:p w14:paraId="33C0A7B7">
            <w:pPr>
              <w:spacing w:line="200" w:lineRule="exact"/>
            </w:pPr>
            <w:r>
              <w:rPr>
                <w:rFonts w:ascii="方正黑体_GBK" w:eastAsia="方正黑体_GBK" w:cs="宋体"/>
                <w:sz w:val="18"/>
                <w:szCs w:val="18"/>
              </w:rPr>
              <w:t>B1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713DD39D">
            <w:pPr>
              <w:spacing w:line="200" w:lineRule="exact"/>
            </w:pPr>
            <w:r>
              <w:rPr>
                <w:rFonts w:ascii="方正黑体_GBK" w:eastAsia="方正黑体_GBK" w:cs="宋体"/>
                <w:sz w:val="18"/>
                <w:szCs w:val="18"/>
              </w:rPr>
              <w:t>C1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14:paraId="0947FB1E">
            <w:pPr>
              <w:spacing w:line="200" w:lineRule="exact"/>
            </w:pPr>
            <w:r>
              <w:rPr>
                <w:rFonts w:ascii="方正黑体_GBK" w:eastAsia="方正黑体_GBK" w:cs="宋体"/>
                <w:sz w:val="18"/>
                <w:szCs w:val="18"/>
              </w:rPr>
              <w:t>D1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50F4566F">
            <w:pPr>
              <w:spacing w:line="200" w:lineRule="exact"/>
            </w:pPr>
            <w:r>
              <w:rPr>
                <w:rFonts w:ascii="方正黑体_GBK" w:eastAsia="方正黑体_GBK" w:cs="宋体"/>
                <w:sz w:val="18"/>
                <w:szCs w:val="18"/>
              </w:rPr>
              <w:t>E1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37E1888B">
            <w:pPr>
              <w:spacing w:line="200" w:lineRule="exact"/>
            </w:pPr>
            <w:r>
              <w:rPr>
                <w:rFonts w:ascii="方正黑体_GBK" w:eastAsia="方正黑体_GBK" w:cs="宋体"/>
                <w:sz w:val="18"/>
                <w:szCs w:val="18"/>
              </w:rPr>
              <w:t>G1份额：成都银行股份有限公司。</w:t>
            </w:r>
          </w:p>
          <w:p w14:paraId="14B04F65">
            <w:pPr>
              <w:spacing w:line="200" w:lineRule="exact"/>
            </w:pPr>
            <w:r>
              <w:rPr>
                <w:rFonts w:ascii="方正黑体_GBK" w:eastAsia="方正黑体_GBK" w:cs="宋体"/>
                <w:sz w:val="18"/>
                <w:szCs w:val="18"/>
              </w:rPr>
              <w:t>I1份额：南京银行股份有限公司镇江分行(新客或新资金5万或代发客户)</w:t>
            </w:r>
          </w:p>
          <w:p w14:paraId="24B01479">
            <w:pPr>
              <w:spacing w:line="200" w:lineRule="exact"/>
            </w:pPr>
            <w:r>
              <w:rPr>
                <w:rFonts w:ascii="方正黑体_GBK" w:eastAsia="方正黑体_GBK" w:cs="宋体"/>
                <w:sz w:val="18"/>
                <w:szCs w:val="18"/>
              </w:rPr>
              <w:t>J1份额：兴业银行股份有限公司（私行客户1万元起购）。</w:t>
            </w:r>
          </w:p>
          <w:p w14:paraId="4D1515FC">
            <w:pPr>
              <w:spacing w:line="200" w:lineRule="exact"/>
            </w:pPr>
            <w:r>
              <w:rPr>
                <w:rFonts w:ascii="方正黑体_GBK" w:eastAsia="方正黑体_GBK" w:cs="宋体"/>
                <w:sz w:val="18"/>
                <w:szCs w:val="18"/>
              </w:rPr>
              <w:t>L1份额：兴业银行股份有限公司（私行客户100万元起购）。</w:t>
            </w:r>
          </w:p>
          <w:p w14:paraId="0D6FEB1D">
            <w:pPr>
              <w:spacing w:line="200" w:lineRule="exact"/>
            </w:pPr>
            <w:r>
              <w:rPr>
                <w:rFonts w:ascii="方正黑体_GBK" w:eastAsia="方正黑体_GBK" w:cs="宋体"/>
                <w:sz w:val="18"/>
                <w:szCs w:val="18"/>
              </w:rPr>
              <w:t>M1份额：浙江民泰商业银行股份有限公司、嘉兴银行股份有限公司、苏州银行股份有限公司（除代发与新资金外的其他客户）、福建海峡银行股份有限公司、宁波通商银行股份有限公司。</w:t>
            </w:r>
          </w:p>
          <w:p w14:paraId="26258668">
            <w:pPr>
              <w:spacing w:line="200" w:lineRule="exact"/>
            </w:pPr>
            <w:r>
              <w:rPr>
                <w:rFonts w:ascii="方正黑体_GBK" w:eastAsia="方正黑体_GBK" w:cs="宋体"/>
                <w:sz w:val="18"/>
                <w:szCs w:val="18"/>
              </w:rPr>
              <w:t>N1份额：苏州银行股份有限公司（代发与新资金客户）。</w:t>
            </w:r>
          </w:p>
          <w:p w14:paraId="08342325">
            <w:pPr>
              <w:spacing w:line="200" w:lineRule="exact"/>
            </w:pPr>
            <w:r>
              <w:rPr>
                <w:rFonts w:ascii="方正黑体_GBK" w:eastAsia="方正黑体_GBK" w:cs="宋体"/>
                <w:sz w:val="18"/>
                <w:szCs w:val="18"/>
              </w:rPr>
              <w:t>O1份额：广发银行股份有限公司所有个人客户。</w:t>
            </w:r>
          </w:p>
          <w:p w14:paraId="2091694F">
            <w:pPr>
              <w:spacing w:line="200" w:lineRule="exact"/>
            </w:pPr>
            <w:r>
              <w:rPr>
                <w:rFonts w:ascii="方正黑体_GBK" w:eastAsia="方正黑体_GBK" w:cs="宋体"/>
                <w:sz w:val="18"/>
                <w:szCs w:val="18"/>
              </w:rPr>
              <w:t>S1份额：成都农村商业银行股份有限公司。</w:t>
            </w:r>
          </w:p>
          <w:p w14:paraId="22E2C187">
            <w:pPr>
              <w:spacing w:line="200" w:lineRule="exact"/>
            </w:pPr>
            <w:r>
              <w:rPr>
                <w:rFonts w:ascii="方正黑体_GBK" w:eastAsia="方正黑体_GBK" w:cs="宋体"/>
                <w:sz w:val="18"/>
                <w:szCs w:val="18"/>
              </w:rPr>
              <w:t>S2份额：成都农村商业银行股份有限公司。</w:t>
            </w:r>
          </w:p>
          <w:p w14:paraId="53F64F29">
            <w:pPr>
              <w:spacing w:line="200" w:lineRule="exact"/>
            </w:pPr>
            <w:r>
              <w:rPr>
                <w:rFonts w:ascii="方正黑体_GBK" w:eastAsia="方正黑体_GBK" w:cs="宋体"/>
                <w:sz w:val="18"/>
                <w:szCs w:val="18"/>
              </w:rPr>
              <w:t>S3份额：成都农村商业银行股份有限公司。</w:t>
            </w:r>
          </w:p>
          <w:p w14:paraId="0F30FC60">
            <w:pPr>
              <w:spacing w:line="200" w:lineRule="exact"/>
            </w:pPr>
            <w:r>
              <w:rPr>
                <w:rFonts w:ascii="方正黑体_GBK" w:eastAsia="方正黑体_GBK" w:cs="宋体"/>
                <w:sz w:val="18"/>
                <w:szCs w:val="18"/>
              </w:rPr>
              <w:t>T1份额：河北银行股份有限公司（除分行财富客户外的其他客户）、桂林银行股份有限公司（高净值客户）。</w:t>
            </w:r>
          </w:p>
          <w:p w14:paraId="020D0B88">
            <w:pPr>
              <w:spacing w:line="200" w:lineRule="exact"/>
            </w:pPr>
            <w:r>
              <w:rPr>
                <w:rFonts w:ascii="方正黑体_GBK" w:eastAsia="方正黑体_GBK" w:cs="宋体"/>
                <w:sz w:val="18"/>
                <w:szCs w:val="18"/>
              </w:rPr>
              <w:t>T2份额：河北银行股份有限公司（除分行财富客户外的其他客户）、桂林银行股份有限公司（高净值客户）。</w:t>
            </w:r>
          </w:p>
          <w:p w14:paraId="23D8CC3E">
            <w:pPr>
              <w:spacing w:line="200" w:lineRule="exact"/>
            </w:pPr>
            <w:r>
              <w:rPr>
                <w:rFonts w:ascii="方正黑体_GBK" w:eastAsia="方正黑体_GBK" w:cs="宋体"/>
                <w:sz w:val="18"/>
                <w:szCs w:val="18"/>
              </w:rPr>
              <w:t>T3份额：河北银行股份有限公司（除分行财富客户外的其他客户）、桂林银行股份有限公司（高净值客户）。</w:t>
            </w:r>
          </w:p>
          <w:p w14:paraId="667B92D7">
            <w:pPr>
              <w:spacing w:line="200" w:lineRule="exact"/>
            </w:pPr>
            <w:r>
              <w:rPr>
                <w:rFonts w:ascii="方正黑体_GBK" w:eastAsia="方正黑体_GBK" w:cs="宋体"/>
                <w:sz w:val="18"/>
                <w:szCs w:val="18"/>
              </w:rPr>
              <w:t>B5份额：江苏常熟农村商业银行股份有限公司、江苏苏州农村商业银行股份有限公司、齐鲁银行股份有限公司、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14:paraId="57364433">
            <w:pPr>
              <w:spacing w:line="200" w:lineRule="exact"/>
            </w:pPr>
            <w:r>
              <w:rPr>
                <w:rFonts w:ascii="方正黑体_GBK" w:eastAsia="方正黑体_GBK" w:cs="宋体"/>
                <w:sz w:val="18"/>
                <w:szCs w:val="18"/>
              </w:rPr>
              <w:t>C5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14:paraId="250D9822">
            <w:pPr>
              <w:spacing w:line="200" w:lineRule="exact"/>
            </w:pPr>
            <w:r>
              <w:rPr>
                <w:rFonts w:ascii="方正黑体_GBK" w:eastAsia="方正黑体_GBK" w:cs="宋体"/>
                <w:sz w:val="18"/>
                <w:szCs w:val="18"/>
              </w:rPr>
              <w:t>D5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起购）、江苏海安农村商业银行股份有限公司。</w:t>
            </w:r>
          </w:p>
          <w:p w14:paraId="218ED1A4">
            <w:pPr>
              <w:spacing w:line="200" w:lineRule="exact"/>
            </w:pPr>
            <w:r>
              <w:rPr>
                <w:rFonts w:ascii="方正黑体_GBK" w:eastAsia="方正黑体_GBK" w:cs="宋体"/>
                <w:sz w:val="18"/>
                <w:szCs w:val="18"/>
              </w:rPr>
              <w:t>E5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14:paraId="54FBDF5A">
            <w:pPr>
              <w:spacing w:line="200" w:lineRule="exact"/>
            </w:pPr>
            <w:r>
              <w:rPr>
                <w:rFonts w:ascii="方正黑体_GBK" w:eastAsia="方正黑体_GBK" w:cs="宋体"/>
                <w:b/>
                <w:sz w:val="18"/>
                <w:szCs w:val="18"/>
              </w:rPr>
              <w:t>注：本产品不同份额针对不同的销售机构及客群进行销售，设置有不同的销售费和管理费。</w:t>
            </w:r>
          </w:p>
          <w:p w14:paraId="710B71E5">
            <w:pPr>
              <w:spacing w:line="200" w:lineRule="exact"/>
              <w:jc w:val="left"/>
            </w:pPr>
            <w:r>
              <w:rPr>
                <w:rFonts w:ascii="方正黑体_GBK" w:eastAsia="方正黑体_GBK" w:cs="宋体"/>
                <w:sz w:val="18"/>
                <w:szCs w:val="18"/>
              </w:rPr>
              <w:t xml:space="preserve"> </w:t>
            </w:r>
          </w:p>
        </w:tc>
      </w:tr>
      <w:tr w14:paraId="440288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B38B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CEC0F66">
            <w:pPr>
              <w:spacing w:line="200" w:lineRule="exact"/>
            </w:pPr>
            <w:r>
              <w:rPr>
                <w:rFonts w:ascii="方正黑体_GBK" w:eastAsia="方正黑体_GBK" w:cs="宋体"/>
                <w:sz w:val="18"/>
                <w:szCs w:val="18"/>
              </w:rPr>
              <w:t>A份额/F份额/A2份额/A3份额/B4份额/C4份额/D4份额/E4份额/F2份额/F3份额/G3份额/G4份额/J2份额/L2份额/J3份额/L3份额/M2份额/M3份额/Q1份额/R1份额/Q2份额/R2份额/Q3份额/R3份额/B1份额/C1份额/D1份额/E1份额/G1份额/I1份额/J1份额/L1份额/M1份额/N1份额/S1份额/S2份额/S3份额/T1份额/T2份额/T3份额/B5份额/C5份额/D5份额/E5份额：</w:t>
            </w:r>
          </w:p>
          <w:p w14:paraId="3210B1BC">
            <w:pPr>
              <w:spacing w:line="200" w:lineRule="exact"/>
            </w:pPr>
            <w:r>
              <w:rPr>
                <w:rFonts w:ascii="方正黑体_GBK" w:eastAsia="方正黑体_GBK" w:cs="宋体"/>
                <w:sz w:val="18"/>
                <w:szCs w:val="18"/>
              </w:rPr>
              <w:t>个人投资者投资起点金额1元人民币，以1元的整数倍递增；</w:t>
            </w:r>
          </w:p>
          <w:p w14:paraId="422063D1">
            <w:pPr>
              <w:spacing w:line="200" w:lineRule="exact"/>
            </w:pPr>
            <w:r>
              <w:rPr>
                <w:rFonts w:ascii="方正黑体_GBK" w:eastAsia="方正黑体_GBK" w:cs="宋体"/>
                <w:sz w:val="18"/>
                <w:szCs w:val="18"/>
              </w:rPr>
              <w:t>机构投资者投资起点金额1元人民币，以1元的整数倍递增；</w:t>
            </w:r>
          </w:p>
          <w:p w14:paraId="03E7C820">
            <w:pPr>
              <w:spacing w:line="200" w:lineRule="exact"/>
            </w:pPr>
            <w:r>
              <w:rPr>
                <w:rFonts w:ascii="方正黑体_GBK" w:eastAsia="方正黑体_GBK" w:cs="宋体"/>
                <w:sz w:val="18"/>
                <w:szCs w:val="18"/>
              </w:rPr>
              <w:t>O2份额/O3份额/O1份额：</w:t>
            </w:r>
          </w:p>
          <w:p w14:paraId="33006F2A">
            <w:pPr>
              <w:spacing w:line="200" w:lineRule="exact"/>
            </w:pPr>
            <w:r>
              <w:rPr>
                <w:rFonts w:ascii="方正黑体_GBK" w:eastAsia="方正黑体_GBK" w:cs="宋体"/>
                <w:sz w:val="18"/>
                <w:szCs w:val="18"/>
              </w:rPr>
              <w:t>个人投资者投资起点金额1元人民币，以1元的整数倍递增；</w:t>
            </w:r>
          </w:p>
          <w:p w14:paraId="440CBE6C">
            <w:pPr>
              <w:spacing w:line="200" w:lineRule="exact"/>
            </w:pPr>
            <w:r>
              <w:rPr>
                <w:rFonts w:asci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7309E10">
            <w:pPr>
              <w:spacing w:line="200" w:lineRule="exact"/>
            </w:pPr>
            <w:r>
              <w:rPr>
                <w:rFonts w:asci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B0F79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F3AF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B795109">
            <w:pPr>
              <w:spacing w:line="200" w:lineRule="exact"/>
              <w:jc w:val="left"/>
            </w:pPr>
            <w:r>
              <w:rPr>
                <w:rFonts w:asci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AE7FC0A">
            <w:pPr>
              <w:spacing w:line="200" w:lineRule="exact"/>
              <w:jc w:val="left"/>
            </w:pPr>
            <w:r>
              <w:rPr>
                <w:rFonts w:asci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A92C4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49E1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439110E">
            <w:pPr>
              <w:spacing w:line="200" w:lineRule="exact"/>
            </w:pPr>
            <w:r>
              <w:rPr>
                <w:rFonts w:ascii="方正黑体_GBK" w:eastAsia="方正黑体_GBK" w:cs="宋体"/>
                <w:color w:val="000000"/>
                <w:sz w:val="18"/>
                <w:szCs w:val="18"/>
              </w:rPr>
              <w:t>2019年02月27日 09:00—2019年03月05日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F024C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CB0E09">
            <w:pPr>
              <w:keepNext w:val="0"/>
              <w:keepLines w:val="0"/>
              <w:pageBreakBefore w:val="0"/>
              <w:widowControl/>
              <w:suppressLineNumbers w:val="0"/>
              <w:suppressAutoHyphens w:val="0"/>
              <w:spacing w:line="200" w:lineRule="exact"/>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A1BB2BF">
            <w:pPr>
              <w:spacing w:line="200" w:lineRule="exact"/>
            </w:pPr>
            <w:r>
              <w:rPr>
                <w:rFonts w:ascii="方正黑体_GBK" w:eastAsia="方正黑体_GBK" w:cs="宋体"/>
                <w:sz w:val="18"/>
                <w:szCs w:val="18"/>
              </w:rPr>
              <w:t>认购份额=确认认购金额/1。（认购份额以去尾法保留两位小数）</w:t>
            </w:r>
          </w:p>
        </w:tc>
      </w:tr>
      <w:tr w14:paraId="174C49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2B6F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0DBCBD89">
            <w:pPr>
              <w:spacing w:line="200" w:lineRule="exact"/>
            </w:pPr>
            <w:r>
              <w:rPr>
                <w:rFonts w:ascii="方正黑体_GBK" w:eastAsia="方正黑体_GBK" w:cs="宋体"/>
                <w:sz w:val="18"/>
                <w:szCs w:val="18"/>
              </w:rPr>
              <w:t>本理财产品每期封闭期为一年，当期封闭期起止时间以公告为准。</w:t>
            </w:r>
          </w:p>
        </w:tc>
      </w:tr>
      <w:tr w14:paraId="5C6672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37205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0CD2C6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eastAsia="方正黑体_GBK"/>
                <w:color w:val="000000"/>
                <w:kern w:val="0"/>
                <w:sz w:val="18"/>
                <w:szCs w:val="18"/>
              </w:rPr>
            </w:pPr>
            <w:r>
              <w:rPr>
                <w:rFonts w:hint="eastAsia" w:ascii="方正黑体_GBK" w:eastAsia="方正黑体_GBK"/>
                <w:color w:val="000000"/>
                <w:kern w:val="0"/>
                <w:sz w:val="18"/>
                <w:szCs w:val="18"/>
              </w:rPr>
              <w:t>同产品成立日</w:t>
            </w:r>
          </w:p>
        </w:tc>
      </w:tr>
      <w:tr w14:paraId="555324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0D8D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DCAB70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eastAsia="方正黑体_GBK"/>
                <w:kern w:val="0"/>
                <w:sz w:val="18"/>
                <w:szCs w:val="18"/>
              </w:rPr>
              <w:t>2019年03月06日</w:t>
            </w:r>
          </w:p>
        </w:tc>
      </w:tr>
      <w:tr w14:paraId="34844F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D057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69956E1">
            <w:pPr>
              <w:spacing w:line="200" w:lineRule="exact"/>
            </w:pPr>
            <w:r>
              <w:rPr>
                <w:rFonts w:ascii="方正黑体_GBK" w:eastAsia="方正黑体_GBK" w:cs="宋体"/>
                <w:sz w:val="18"/>
                <w:szCs w:val="18"/>
              </w:rPr>
              <w:t>2019年03月06日—实际到期日（若本理财产品未被提前终止或延期终止，则实际到期日即为名义到期日，存续期限10年；若本理财产品被提前终止或延期终止，则实际到期日为提前终止日或延期终止日。</w:t>
            </w:r>
            <w:r>
              <w:rPr>
                <w:rFonts w:ascii="方正黑体_GBK" w:eastAsia="方正黑体_GBK" w:cs="宋体"/>
                <w:b/>
                <w:sz w:val="18"/>
                <w:szCs w:val="18"/>
              </w:rPr>
              <w:t>理财产品管理人有权根据市场变化情况调整产品存续期，届时管理人将调整相关日期并进行信息披露。）</w:t>
            </w:r>
          </w:p>
        </w:tc>
      </w:tr>
      <w:tr w14:paraId="2ADFE4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FDCE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2F0944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2029年12月28日</w:t>
            </w:r>
            <w:r>
              <w:rPr>
                <w:rFonts w:hint="eastAsia" w:asci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eastAsia="方正黑体_GBK"/>
                <w:b/>
                <w:bCs/>
                <w:caps w:val="0"/>
                <w:smallCaps w:val="0"/>
                <w:snapToGrid/>
                <w:vanish w:val="0"/>
                <w:color w:val="auto"/>
                <w:kern w:val="0"/>
                <w:sz w:val="18"/>
                <w:szCs w:val="18"/>
                <w:vertAlign w:val="baseline"/>
              </w:rPr>
              <w:t>信息披露</w:t>
            </w:r>
            <w:r>
              <w:rPr>
                <w:rFonts w:hint="eastAsia" w:ascii="方正黑体_GBK" w:eastAsia="方正黑体_GBK" w:cs="Times New Roman"/>
                <w:b/>
                <w:bCs/>
                <w:caps w:val="0"/>
                <w:smallCaps w:val="0"/>
                <w:snapToGrid/>
                <w:vanish w:val="0"/>
                <w:color w:val="auto"/>
                <w:kern w:val="0"/>
                <w:sz w:val="18"/>
                <w:szCs w:val="18"/>
                <w:vertAlign w:val="baseline"/>
              </w:rPr>
              <w:t>）</w:t>
            </w:r>
          </w:p>
        </w:tc>
      </w:tr>
      <w:tr w14:paraId="70BFD6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BCA79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C4D3666">
            <w:pPr>
              <w:spacing w:line="200" w:lineRule="exact"/>
            </w:pPr>
            <w:r>
              <w:rPr>
                <w:rFonts w:ascii="方正黑体_GBK" w:eastAsia="方正黑体_GBK" w:cs="宋体"/>
                <w:sz w:val="18"/>
                <w:szCs w:val="18"/>
              </w:rPr>
              <w:t>本理财产品存续期内按每一年开放申购，如遇节假日调整，申购开放日和申购确认日以公告为准。</w:t>
            </w:r>
          </w:p>
        </w:tc>
      </w:tr>
      <w:tr w14:paraId="352D8D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AADA7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DA6E9F8">
            <w:pPr>
              <w:spacing w:line="200" w:lineRule="exact"/>
            </w:pPr>
            <w:r>
              <w:rPr>
                <w:rFonts w:ascii="方正黑体_GBK" w:eastAsia="方正黑体_GBK"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14:paraId="4B8653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8DC92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asci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0C1870B9">
            <w:pPr>
              <w:spacing w:line="200" w:lineRule="exact"/>
              <w:jc w:val="left"/>
            </w:pPr>
            <w:r>
              <w:rPr>
                <w:rFonts w:ascii="方正黑体_GBK" w:eastAsia="方正黑体_GBK" w:cs="宋体"/>
                <w:sz w:val="18"/>
                <w:szCs w:val="18"/>
                <w:shd w:val="clear" w:color="auto" w:fill="FFFFFF"/>
              </w:rPr>
              <w:t>A份额/F份额/Q1份额/R1份额：本次开放期为</w:t>
            </w:r>
            <w:r>
              <w:rPr>
                <w:rFonts w:ascii="方正黑体_GBK" w:eastAsia="方正黑体_GBK" w:cs="宋体"/>
                <w:sz w:val="18"/>
                <w:szCs w:val="18"/>
              </w:rPr>
              <w:t>2026年5月26日9：00至2026年6月1日17：00</w:t>
            </w:r>
            <w:r>
              <w:rPr>
                <w:rFonts w:ascii="方正黑体_GBK" w:eastAsia="方正黑体_GBK" w:cs="宋体"/>
                <w:sz w:val="18"/>
                <w:szCs w:val="18"/>
                <w:shd w:val="clear" w:color="auto" w:fill="FFFFFF"/>
              </w:rPr>
              <w:t>,下一个开放期为2027年6月24日9：00至2027年6月30日17：00，投资者可以提交或撤销认购/申购/赎回申请。</w:t>
            </w:r>
          </w:p>
          <w:p w14:paraId="3562140B">
            <w:pPr>
              <w:spacing w:line="200" w:lineRule="exact"/>
              <w:jc w:val="left"/>
            </w:pPr>
            <w:r>
              <w:rPr>
                <w:rFonts w:ascii="方正黑体_GBK" w:eastAsia="方正黑体_GBK" w:cs="宋体"/>
                <w:sz w:val="18"/>
                <w:szCs w:val="18"/>
                <w:shd w:val="clear" w:color="auto" w:fill="FFFFFF"/>
              </w:rPr>
              <w:t>A2份额/F2份额/A3份额/F3份额:开放期</w:t>
            </w:r>
            <w:r>
              <w:rPr>
                <w:rFonts w:ascii="方正黑体_GBK" w:eastAsia="方正黑体_GBK" w:cs="宋体"/>
                <w:sz w:val="18"/>
                <w:szCs w:val="18"/>
              </w:rPr>
              <w:t>2026年5月26日9：00至2026年6月1日17：00，</w:t>
            </w:r>
            <w:r>
              <w:rPr>
                <w:rFonts w:ascii="方正黑体_GBK" w:eastAsia="方正黑体_GBK" w:cs="宋体"/>
                <w:sz w:val="18"/>
                <w:szCs w:val="18"/>
                <w:shd w:val="clear" w:color="auto" w:fill="FFFFFF"/>
              </w:rPr>
              <w:t>投资者可以提交或撤销赎回申请</w:t>
            </w:r>
          </w:p>
          <w:p w14:paraId="5B7D7E8F">
            <w:pPr>
              <w:spacing w:line="200" w:lineRule="exact"/>
              <w:jc w:val="left"/>
            </w:pPr>
            <w:r>
              <w:rPr>
                <w:rFonts w:ascii="方正黑体_GBK" w:eastAsia="方正黑体_GBK" w:cs="宋体"/>
                <w:sz w:val="18"/>
                <w:szCs w:val="18"/>
                <w:shd w:val="clear" w:color="auto" w:fill="FFFFFF"/>
              </w:rPr>
              <w:t>B1份额/C1份额/D1份额/E1份额/G1份额/I1份额/J1份额/L1份额/M1份额/N1份额/O1份额/S1份额/T1份额：本次开放期为</w:t>
            </w:r>
            <w:r>
              <w:rPr>
                <w:rFonts w:ascii="方正黑体_GBK" w:eastAsia="方正黑体_GBK" w:cs="宋体"/>
                <w:sz w:val="18"/>
                <w:szCs w:val="18"/>
              </w:rPr>
              <w:t>2026年5月26日9：00至2026年6月1日17：00</w:t>
            </w:r>
            <w:r>
              <w:rPr>
                <w:rFonts w:ascii="方正黑体_GBK" w:eastAsia="方正黑体_GBK" w:cs="宋体"/>
                <w:sz w:val="18"/>
                <w:szCs w:val="18"/>
                <w:shd w:val="clear" w:color="auto" w:fill="FFFFFF"/>
              </w:rPr>
              <w:t>，投资者可以提交或撤销认购/申购申请；确认成功的份额均将于下一个开放期（2027年6月24日9：00至2027年6月30日17：00）由系统自动发起赎回申请。</w:t>
            </w:r>
          </w:p>
          <w:p w14:paraId="6A9C5AA2">
            <w:pPr>
              <w:spacing w:line="200" w:lineRule="exact"/>
              <w:jc w:val="left"/>
            </w:pPr>
            <w:r>
              <w:rPr>
                <w:rFonts w:ascii="方正黑体_GBK" w:eastAsia="方正黑体_GBK" w:cs="宋体"/>
                <w:sz w:val="18"/>
                <w:szCs w:val="18"/>
                <w:shd w:val="clear" w:color="auto" w:fill="FFFFFF"/>
              </w:rPr>
              <w:t>A2份额/F2份额/Q2份额/R2份额：本次开放期为2026年6月2日9：00至2026年6月8日17：00,下一个开放期为2027年7月1日9：00至2027年7月7日17：00，投资者可以提交或撤销认购/申购/赎回申请。</w:t>
            </w:r>
          </w:p>
          <w:p w14:paraId="2B411742">
            <w:pPr>
              <w:spacing w:line="200" w:lineRule="exact"/>
              <w:jc w:val="left"/>
            </w:pPr>
            <w:r>
              <w:rPr>
                <w:rFonts w:ascii="方正黑体_GBK" w:eastAsia="方正黑体_GBK" w:cs="宋体"/>
                <w:sz w:val="18"/>
                <w:szCs w:val="18"/>
                <w:shd w:val="clear" w:color="auto" w:fill="FFFFFF"/>
              </w:rPr>
              <w:t>B4份额/C4份额/D4份额/E4份额/G5份额/J2份额/L2份额/M2份额/O2份额/S2份额/T2份额：本次开放期为2026年6月2日9：00至2026年6月8日17：00，投资者可以提交或撤销认购/申购申请；确认成功的份额均将于下一个开放期（2027年7月1日9：00至2027年7月7日17：00）由系统自动发起赎回申请。</w:t>
            </w:r>
          </w:p>
          <w:p w14:paraId="76D63474">
            <w:pPr>
              <w:spacing w:line="200" w:lineRule="exact"/>
              <w:jc w:val="left"/>
            </w:pPr>
            <w:r>
              <w:rPr>
                <w:rFonts w:ascii="方正黑体_GBK" w:eastAsia="方正黑体_GBK" w:cs="宋体"/>
                <w:sz w:val="18"/>
                <w:szCs w:val="18"/>
                <w:shd w:val="clear" w:color="auto" w:fill="FFFFFF"/>
              </w:rPr>
              <w:t>A3份额/F3份额/Q3份额/R3份额：本次开放期为2026年6月9日9：00至2026年6月15日17：00,下一个开放期为2027年7月8日9：00至2027年7月14日17：00，投资者可以提交或撤销认购/申购/赎回申请。</w:t>
            </w:r>
          </w:p>
          <w:p w14:paraId="5B7126E3">
            <w:pPr>
              <w:spacing w:line="200" w:lineRule="exact"/>
              <w:jc w:val="left"/>
            </w:pPr>
            <w:r>
              <w:rPr>
                <w:rFonts w:ascii="方正黑体_GBK" w:eastAsia="方正黑体_GBK" w:cs="宋体"/>
                <w:sz w:val="18"/>
                <w:szCs w:val="18"/>
                <w:shd w:val="clear" w:color="auto" w:fill="FFFFFF"/>
              </w:rPr>
              <w:t>B5份额/C5份额/D5份额/E5份额/G3份额/J3份额L3份额/M3份额/O3份额/S3份额/T3份额：本次开放期为2026年6月9日9：00至2026年6月15日17：00，投资者可以提交或撤销认购/申购申请；确认成功的份额均将于下一个开放期（2027年7月8日9：00至2027年7月14日17：00）由系统自动发起赎回申请。产品开放期如有调整以管理人公告为准。</w:t>
            </w:r>
          </w:p>
          <w:p w14:paraId="264C397C">
            <w:pPr>
              <w:spacing w:line="200" w:lineRule="exact"/>
              <w:jc w:val="left"/>
            </w:pPr>
            <w:r>
              <w:rPr>
                <w:rFonts w:ascii="方正黑体_GBK" w:eastAsia="方正黑体_GBK" w:cs="宋体"/>
                <w:sz w:val="18"/>
                <w:szCs w:val="18"/>
                <w:shd w:val="clear" w:color="auto" w:fill="FFFFFF"/>
              </w:rPr>
              <w:t>在销售机构支持的前提下，认购/申购/赎回开放期末日17:00前可以撤销申请。</w:t>
            </w:r>
          </w:p>
          <w:p w14:paraId="0350A24D">
            <w:pPr>
              <w:spacing w:line="200" w:lineRule="exact"/>
              <w:jc w:val="left"/>
            </w:pPr>
            <w:r>
              <w:rPr>
                <w:rFonts w:ascii="方正黑体_GBK" w:eastAsia="方正黑体_GBK" w:cs="宋体"/>
                <w:sz w:val="18"/>
                <w:szCs w:val="18"/>
                <w:shd w:val="clear" w:color="auto" w:fill="FFFFFF"/>
              </w:rPr>
              <w:t>代销机构可根据其销售需要在管理人设定的认购/申购/赎回时间范围内对认购/申购/赎回时间进行重新设定，投资者通过代销机构购买本理财产品的，以该代销机构最终披露的时间为准。</w:t>
            </w:r>
          </w:p>
        </w:tc>
      </w:tr>
      <w:tr w14:paraId="2BC413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2DF82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申购</w:t>
            </w:r>
            <w:r>
              <w:rPr>
                <w:rFonts w:hint="eastAsia" w:asci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4D99D62">
            <w:pPr>
              <w:spacing w:line="200" w:lineRule="exact"/>
            </w:pPr>
            <w:r>
              <w:rPr>
                <w:rFonts w:ascii="方正黑体_GBK" w:eastAsia="方正黑体_GBK" w:cs="宋体"/>
                <w:sz w:val="18"/>
                <w:szCs w:val="18"/>
              </w:rPr>
              <w:t>申购份额=确认申购金额/S。S为申购确认日理财产品单位净值（已扣除相关费用）。申购份额以去尾法保留两位小数。</w:t>
            </w:r>
          </w:p>
        </w:tc>
      </w:tr>
      <w:tr w14:paraId="3CAE5C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0CA0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0D06F1F">
            <w:pPr>
              <w:spacing w:line="200" w:lineRule="exact"/>
            </w:pPr>
            <w:r>
              <w:rPr>
                <w:rFonts w:ascii="方正黑体_GBK" w:eastAsia="方正黑体_GBK" w:cs="宋体"/>
                <w:sz w:val="18"/>
                <w:szCs w:val="18"/>
              </w:rPr>
              <w:t>赎回金额=确认赎回份额×R。 R为赎回确认日理财产品单位净值（已扣除相关费用，赎回金额以去尾法保留两位小数）</w:t>
            </w:r>
          </w:p>
        </w:tc>
      </w:tr>
      <w:tr w14:paraId="74F766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70EBA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2284D47">
            <w:pPr>
              <w:spacing w:line="200" w:lineRule="exact"/>
            </w:pPr>
            <w:r>
              <w:rPr>
                <w:rFonts w:ascii="方正黑体_GBK" w:eastAsia="方正黑体_GBK" w:cs="宋体"/>
                <w:color w:val="000000"/>
                <w:sz w:val="18"/>
                <w:szCs w:val="18"/>
              </w:rPr>
              <w:t>到期兑付金额=到期时持有份额×P。 P为期末理财产品单位净值。（已扣除相关费用，到期兑付金额以去尾法保留两位小数）</w:t>
            </w:r>
          </w:p>
        </w:tc>
      </w:tr>
      <w:tr w14:paraId="27C73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8270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7975283">
            <w:pPr>
              <w:spacing w:line="200" w:lineRule="exact"/>
            </w:pPr>
            <w:r>
              <w:rPr>
                <w:rFonts w:asci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6DCD1353">
            <w:pPr>
              <w:spacing w:line="200" w:lineRule="exact"/>
            </w:pPr>
            <w:r>
              <w:rPr>
                <w:rFonts w:ascii="方正黑体_GBK" w:eastAsia="方正黑体_GBK" w:cs="宋体"/>
                <w:sz w:val="18"/>
                <w:szCs w:val="18"/>
              </w:rPr>
              <w:t>产品到期后，理财产品管理人和代销机构将根据理财资金所投资资产实际运作情况向投资者分配到期款项。</w:t>
            </w:r>
          </w:p>
        </w:tc>
      </w:tr>
      <w:tr w14:paraId="3A2C28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1261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E7F7DFD">
            <w:pPr>
              <w:spacing w:line="200" w:lineRule="exact"/>
              <w:jc w:val="left"/>
            </w:pPr>
            <w:r>
              <w:rPr>
                <w:rFonts w:asci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4A5693EA">
            <w:pPr>
              <w:spacing w:line="200" w:lineRule="exact"/>
              <w:jc w:val="left"/>
            </w:pPr>
            <w:r>
              <w:rPr>
                <w:rFonts w:ascii="方正黑体_GBK" w:eastAsia="方正黑体_GBK" w:cs="宋体"/>
                <w:sz w:val="18"/>
                <w:szCs w:val="18"/>
              </w:rPr>
              <w:t>分红权益登记日指管理人确认投资者所持份额是否享受本次分红的日期。</w:t>
            </w:r>
          </w:p>
        </w:tc>
      </w:tr>
      <w:tr w14:paraId="53F8AB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E19E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4866640">
            <w:pPr>
              <w:spacing w:line="200" w:lineRule="exact"/>
              <w:jc w:val="left"/>
            </w:pPr>
            <w:r>
              <w:rPr>
                <w:rFonts w:ascii="方正黑体_GBK" w:eastAsia="方正黑体_GBK" w:cs="宋体"/>
                <w:sz w:val="18"/>
                <w:szCs w:val="18"/>
              </w:rPr>
              <w:t>本理财产品募集的资金投资于以下金融资产和金融工具，包括但不限于：</w:t>
            </w:r>
          </w:p>
          <w:p w14:paraId="63F8036E">
            <w:pPr>
              <w:spacing w:line="200" w:lineRule="exact"/>
              <w:jc w:val="left"/>
            </w:pPr>
            <w:r>
              <w:rPr>
                <w:rFonts w:ascii="方正黑体_GBK" w:eastAsia="方正黑体_GBK" w:cs="宋体"/>
                <w:sz w:val="18"/>
                <w:szCs w:val="18"/>
              </w:rPr>
              <w:t>1.现金、银行存款、银行承兑汇票、同业存款、大额存单、同业存单、债券回购、货币基金等货币市场工具；</w:t>
            </w:r>
          </w:p>
          <w:p w14:paraId="6FD31087">
            <w:pPr>
              <w:spacing w:line="200" w:lineRule="exact"/>
              <w:jc w:val="left"/>
            </w:pPr>
            <w:r>
              <w:rPr>
                <w:rFonts w:asci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4E67842">
            <w:pPr>
              <w:spacing w:line="200" w:lineRule="exact"/>
              <w:jc w:val="left"/>
            </w:pPr>
            <w:r>
              <w:rPr>
                <w:rFonts w:asci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196E79A">
            <w:pPr>
              <w:spacing w:line="200" w:lineRule="exact"/>
              <w:jc w:val="left"/>
            </w:pPr>
            <w:r>
              <w:rPr>
                <w:rFonts w:ascii="方正黑体_GBK" w:eastAsia="方正黑体_GBK" w:cs="宋体"/>
                <w:sz w:val="18"/>
                <w:szCs w:val="18"/>
              </w:rPr>
              <w:t>4.投资范围为上述资产的信托计划、资产管理计划等资产管理产品；</w:t>
            </w:r>
          </w:p>
          <w:p w14:paraId="7991162A">
            <w:pPr>
              <w:spacing w:line="200" w:lineRule="exact"/>
              <w:jc w:val="left"/>
            </w:pPr>
            <w:r>
              <w:rPr>
                <w:rFonts w:ascii="方正黑体_GBK" w:eastAsia="方正黑体_GBK" w:cs="宋体"/>
                <w:sz w:val="18"/>
                <w:szCs w:val="18"/>
              </w:rPr>
              <w:t>5.法律法规或监管机构允许投资的符合本理财产品投资性质的其他金融工具；</w:t>
            </w:r>
          </w:p>
          <w:p w14:paraId="0C5181C9">
            <w:pPr>
              <w:spacing w:line="200" w:lineRule="exact"/>
              <w:jc w:val="left"/>
            </w:pPr>
            <w:r>
              <w:rPr>
                <w:rFonts w:asci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62C9E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B842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A8B030F">
            <w:pPr>
              <w:spacing w:line="200" w:lineRule="exact"/>
            </w:pPr>
            <w:r>
              <w:rPr>
                <w:rFonts w:ascii="方正黑体_GBK" w:eastAsia="方正黑体_GBK" w:cs="宋体"/>
                <w:sz w:val="18"/>
                <w:szCs w:val="18"/>
              </w:rPr>
              <w:t>本理财产品投资于固定收益类资产的比例不低于80%,投资于非标准化债权类资产的比例不高于50%。</w:t>
            </w:r>
          </w:p>
          <w:p w14:paraId="4B421A89">
            <w:pPr>
              <w:spacing w:line="200" w:lineRule="exact"/>
            </w:pPr>
            <w:r>
              <w:rPr>
                <w:rFonts w:asci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15C8B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35CE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9C7EB9D">
            <w:pPr>
              <w:spacing w:line="200" w:lineRule="exact"/>
            </w:pPr>
            <w:r>
              <w:rPr>
                <w:rFonts w:ascii="方正黑体_GBK" w:eastAsia="方正黑体_GBK"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14:paraId="6DB5F1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38BD3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9251A0C">
            <w:pPr>
              <w:spacing w:line="200" w:lineRule="exact"/>
            </w:pPr>
            <w:r>
              <w:rPr>
                <w:rFonts w:ascii="方正黑体_GBK" w:eastAsia="方正黑体_GBK" w:cs="宋体"/>
                <w:b/>
                <w:sz w:val="18"/>
                <w:szCs w:val="18"/>
              </w:rPr>
              <w:t>本理财产品拟投资以下备选非标准化债权类资产：</w:t>
            </w:r>
          </w:p>
          <w:p w14:paraId="0404E320">
            <w:pPr>
              <w:spacing w:line="200" w:lineRule="exact"/>
            </w:pPr>
            <w:r>
              <w:rPr>
                <w:rFonts w:ascii="方正黑体_GBK" w:eastAsia="方正黑体_GBK" w:cs="宋体"/>
                <w:sz w:val="18"/>
                <w:szCs w:val="18"/>
              </w:rPr>
              <w:t>1.信托贷款：资产类型为信托公司设立的固定收益类信托计划，底层资产为向融资人南京江北新区科技投资集团有限公司发放信托贷款，资产到期日不超过理财产品最近一次开放日。融资人评级为AA（评级机构为中证鹏元资信评估股份有限公司），融资人第一大股东为南京扬子国资投资集团有限责任公司，持股比例为73.36%。经营范围包括：技术咨询及售后服务;科学技术成果转让;技术研发机构办公用房的出租及物业管理;开发、生产计算机软件、硬件;开发智能仪器仪表、网络安全设备、应用系统;停车场管理;住宿服务;餐饮服务;会务服务;酒店管理与酒店管理咨询;计算机系统集成;预包装食品零售;承接服务外包业务;销售自产产品;日用百货出售;图书服装销售;花卉苗木销售;公共技术平台运营与管理、基因科技、生物科技领域内的技术开发、技术咨询、技术服务、技术转让;仪器仪表、试剂耗材、计算机软硬件及辅助设备销售和租赁服务;自营和代理各类商品和技术的进出口业务;房屋租赁;会务会展、技术培训、咨询服务、检测服务。创业投资;投资管理服务、投资管理咨询;增值电信业务。(依法须经批准的项目,经相关部门批准后方可开展经营活动)</w:t>
            </w:r>
          </w:p>
          <w:p w14:paraId="7A8958BD">
            <w:pPr>
              <w:spacing w:line="200" w:lineRule="exact"/>
            </w:pPr>
            <w:r>
              <w:rPr>
                <w:rFonts w:ascii="方正黑体_GBK" w:eastAsia="方正黑体_GBK" w:cs="宋体"/>
                <w:sz w:val="18"/>
                <w:szCs w:val="18"/>
              </w:rPr>
              <w:t>2.信托贷款：资产类型为信托公司设立的固定收益类信托计划，底层资产为向融资人邳州市产业投资控股集团有限公司发放信托贷款，资产到期日不超过理财产品最近一次开放日。融资人评级为AA+（评级机构为东方金诚国际信用评估有限公司），融资人第一大股东为邳州市财政局，持股比例为100%。经营范围包括：许可项目:建筑物拆除作业(爆破作业除外);发电业务、输电业务、供(配)电业务;水利工程建设监理;城市建筑垃圾处置(清运);建设工程施工;住宅室内装饰装修(依法须经批准的项目,经相关部门批准后方可开展经营活动,具体经营项目以审批结果为准)一般项目:土地整治服务;融资咨询服务;规划设计管理;市政设施管理;城市绿化管理;园区管理服务;养老服务;与农业生产经营有关的技术、信息、设施建设运营等服务;园林绿化工程施工;水污染治理;热力生产和供应(除依法须经批准的项目外,凭营业执照依法自主开展经营活动)</w:t>
            </w:r>
          </w:p>
          <w:p w14:paraId="5617CFD2">
            <w:pPr>
              <w:spacing w:line="200" w:lineRule="exact"/>
            </w:pPr>
            <w:r>
              <w:rPr>
                <w:rFonts w:ascii="方正黑体_GBK" w:eastAsia="方正黑体_GBK" w:cs="宋体"/>
                <w:sz w:val="18"/>
                <w:szCs w:val="18"/>
              </w:rPr>
              <w:t>3.信托贷款：资产类型为信托公司设立的固定收益类信托计划，底层资产为向融资人南京江宁滨江物流有限公司发放信托贷款，资产到期日不超过理财产品最近一次开放日。融资人评级为AA+（评级机构为中证鹏元资信评估股份有限公司），融资人第一大股东为南京江宁滨江经济开发区管理委员会，持股比例为60%。经营范围包括：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389037CD">
            <w:pPr>
              <w:spacing w:line="200" w:lineRule="exact"/>
            </w:pPr>
            <w:r>
              <w:rPr>
                <w:rFonts w:ascii="方正黑体_GBK" w:eastAsia="方正黑体_GBK" w:cs="宋体"/>
                <w:sz w:val="18"/>
                <w:szCs w:val="18"/>
              </w:rPr>
              <w:t>4.信托贷款：资产类型为信托公司设立的固定收益类信托计划，底层资产为向融资人南京创启科技发展有限公司发放信托贷款，资产到期日不超过理财产品最近一次开放日。融资人评级为AA-（评级机构为东方金诚国际信用评估有限公司），融资人第一大股东为南京吉山国有资产运营集团有限公司，持股比例为51%。经营范围包括：高新技术企业孵化；建筑安装工程施工；房屋租赁；物业管理；停车场服务；企业管理服务；会务服务；展览展示服务。（依法须经批准的项目，经相关部门批准后方可开展经营活动） 一般项目：新材料技术研发；软件开发；园区管理服务；电子元器件制造；电子元器件批发；电子元器件零售（除依法须经批准的项目外，凭营业执照依法自主开展经营活动）</w:t>
            </w:r>
          </w:p>
          <w:p w14:paraId="7621D5DC">
            <w:pPr>
              <w:spacing w:line="200" w:lineRule="exact"/>
            </w:pPr>
            <w:r>
              <w:rPr>
                <w:rFonts w:ascii="方正黑体_GBK" w:eastAsia="方正黑体_GBK" w:cs="宋体"/>
                <w:sz w:val="18"/>
                <w:szCs w:val="18"/>
              </w:rPr>
              <w:t>5.信托贷款：资产类型为信托公司设立的固定收益类信托计划，底层资产为向融资人宜兴市科产城人融合建设发展有限公司发放信托贷款，资产到期日不超过理财产品最近一次开放日。融资人无外部评级，融资人第一大股东为宜兴市人民政府国有资产监督管理办公室，持股比例为50%。经营范围包括：许可项目：建设工程施工；建设工程设计；建筑物拆除作业(爆破作业除外)；房屋建筑和市政基础设施项目工程总承包；旅游业务；道路货物运输(不含危险货物)；电线、电缆制造；职业中介活动(依法须经批准的项目，经相关部门批准后方可开展经营活动，具体经营项目以审批结果为准)一般项目：园林绿化工程施工；房屋拆迁服务；土地整治服务；股权投资；以自有资金从事投资活动；自有资金投资的资产管理服务；物业管理；工程管理服务；企业管理；供应链管理服务；公共事业管理服务；园区管理服务；土地使用权租赁；住房租赁；非居住房地产租赁；建筑材料销售；建筑装饰材料销售；建筑用石加工；社会经济咨询服务；融资咨询服务；财务咨询；技术服务、技术开发、技术咨询、技术交流、技术转让、技术推广；信息咨询服务(不含许可类信息咨询服务)；信息技术咨询服务；企业管理咨询；劳务服务(不含劳务派遣)；软件开发；网络技术服务；信息系统集成服务；计算机系统服务；数据处理和存储支持服务；科技推广和应用服务；物联网技术服务；大数据服务；互联网数据服务；数据处理服务；普通货物仓储服务(不含危险化学品等需许可审批的项目)；装卸搬运；货物进出口；技术进出口；进出口代理；锻件及粉末冶金制品销售；高性能有色金属及合金材料销售；金属材料销售；有色金属合金销售；有色金属压延加工；金属丝绳及其制品制造；金属丝绳及其制品销售；五金产品研发；五金产品制造；五金产品零售；电线、电缆经营；通用设备制造(不含特种设备制造)；机械设备销售；专用设备修理；环境保护专用设备销售；花卉种植；树木种植经营；医学研究和试验发展；市场营销策划；日用百货销售；人力资源服务(不含职业中介活动、劳务派遣服务)(除依法须经批准的项目外，凭营业执照依法自主开展经营活动)</w:t>
            </w:r>
          </w:p>
          <w:p w14:paraId="690EF5DD">
            <w:pPr>
              <w:spacing w:line="200" w:lineRule="exact"/>
            </w:pPr>
            <w:r>
              <w:rPr>
                <w:rFonts w:ascii="方正黑体_GBK" w:eastAsia="方正黑体_GBK" w:cs="宋体"/>
                <w:sz w:val="18"/>
                <w:szCs w:val="18"/>
              </w:rPr>
              <w:t>6.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100%。经营范围包括：许可项目：建设工程施工；建设工程设计；住宅室内装饰装修；建筑物拆除作业(爆破作业除外)(依法须经批准的项目，经相关部门批准后方可开展经营活动，具体经营项目以审批结果为准) 一般项目：工程管理服务；土地整治服务；自有资金投资的资产管理服务；供应链管理服务；公共事业管理服务；园区管理服务；技术服务、技术开发、技术咨询、技术交流、技术转让、技术推广；土地使用权租赁；住宅水电安装维护服务；劳务服务(不含劳务派遣)；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除依法须经批准的项目外，凭营业执照依法自主开展经营活动)</w:t>
            </w:r>
          </w:p>
          <w:p w14:paraId="089A8693">
            <w:pPr>
              <w:spacing w:line="200" w:lineRule="exact"/>
            </w:pPr>
            <w:r>
              <w:rPr>
                <w:rFonts w:ascii="方正黑体_GBK" w:eastAsia="方正黑体_GBK" w:cs="宋体"/>
                <w:sz w:val="18"/>
                <w:szCs w:val="18"/>
              </w:rPr>
              <w:t>7.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100%。经营范围包括：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危险品除外)、化工产品及原料(危险品除外)、炉料、机械产品、电器产品、金属制品、日用百货、办公用品的批发和零售；仓储服务(危险品除外)，普通道路货物运输；金属材料加工及货物配送。(依法须经批准的项目，经相关部门批准后方可开展经营活动)</w:t>
            </w:r>
          </w:p>
          <w:p w14:paraId="2805C499">
            <w:pPr>
              <w:spacing w:line="200" w:lineRule="exact"/>
            </w:pPr>
            <w:r>
              <w:rPr>
                <w:rFonts w:ascii="方正黑体_GBK" w:eastAsia="方正黑体_GBK" w:cs="宋体"/>
                <w:sz w:val="18"/>
                <w:szCs w:val="18"/>
              </w:rPr>
              <w:t>8.信托贷款：资产类型为信托公司设立的固定收益类信托计划，底层资产为向融资人盐城市海兴集团有限公司发放信托贷款，资产到期日不超过理财产品最近一次开放日。融资人评级为AA+（评级机构为上海新世纪资信评估投资服务有限公司），融资人第一大股东为盐城市海兴控股集团有限公司，持股比例为100%。经营范围包括：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p w14:paraId="68B8BD0D">
            <w:pPr>
              <w:spacing w:line="200" w:lineRule="exact"/>
            </w:pPr>
            <w:r>
              <w:rPr>
                <w:rFonts w:ascii="方正黑体_GBK" w:eastAsia="方正黑体_GBK" w:cs="宋体"/>
                <w:sz w:val="18"/>
                <w:szCs w:val="18"/>
              </w:rPr>
              <w:t>9.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14:paraId="7F1802C2">
            <w:pPr>
              <w:spacing w:line="200" w:lineRule="exact"/>
            </w:pPr>
            <w:r>
              <w:rPr>
                <w:rFonts w:ascii="方正黑体_GBK" w:eastAsia="方正黑体_GBK" w:cs="宋体"/>
                <w:sz w:val="18"/>
                <w:szCs w:val="18"/>
              </w:rPr>
              <w:t>10.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100%。经营范围包括：许可项目：建设工程施工(依法须经批准的项目，经相关部门批准后方可开展经营活动，具体经营项目以审批结果为准)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p w14:paraId="07AD7835">
            <w:pPr>
              <w:spacing w:line="200" w:lineRule="exact"/>
            </w:pPr>
            <w:r>
              <w:rPr>
                <w:rFonts w:ascii="方正黑体_GBK" w:eastAsia="方正黑体_GBK" w:cs="宋体"/>
                <w:sz w:val="18"/>
                <w:szCs w:val="18"/>
              </w:rPr>
              <w:t>11.信托贷款：资产类型为信托公司设立的固定收益类信托计划，底层资产为向融资人如东县民泰城乡建设工程有限公司发放信托贷款，资产到期日不超过理财产品最近一次开放日。融资人评级为AA（评级机构为东方金诚国际信用评估有限公司），融资人第一大股东为如东县金鑫交通工程建设投资有限公司，持股比例为100%。经营范围包括：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p w14:paraId="2001D010">
            <w:pPr>
              <w:spacing w:line="200" w:lineRule="exact"/>
            </w:pPr>
            <w:r>
              <w:rPr>
                <w:rFonts w:ascii="方正黑体_GBK" w:eastAsia="方正黑体_GBK" w:cs="宋体"/>
                <w:sz w:val="18"/>
                <w:szCs w:val="18"/>
              </w:rPr>
              <w:t>12.信托贷款：资产类型为信托公司设立的固定收益类信托计划，底层资产为向融资人富皋万泰集团有限公司发放信托贷款，资产到期日不超过理财产品最近一次开放日。融资人评级为AA+（评级机构为联合资信评估股份有限公司），融资人第一大股东为如皋市人民政府，持股比例为100%。经营范围包括：实业投资;投资管理;资产管理;城市基础设施建设;工程管理服务;房地产开发经营;房屋租赁;物业管理;土地整理服务;棚户区改造。(依法须经批准的项目,经相关部门批准后方可开展经营活动)</w:t>
            </w:r>
          </w:p>
          <w:p w14:paraId="2C8B9A00">
            <w:pPr>
              <w:spacing w:line="200" w:lineRule="exact"/>
            </w:pPr>
            <w:r>
              <w:rPr>
                <w:rFonts w:ascii="方正黑体_GBK" w:eastAsia="方正黑体_GBK" w:cs="宋体"/>
                <w:sz w:val="18"/>
                <w:szCs w:val="18"/>
              </w:rPr>
              <w:t>13.信托贷款：资产类型为信托公司设立的固定收益类信托计划，底层资产为向融资人江苏武进绿色建筑产业投资有限公司发放信托贷款，资产到期日不超过理财产品最近一次开放日。融资人评级为AA（评级机构为上海新世纪资信评估投资服务有限公司），融资人第一大股东为常州市武进建设资产经营有限公司，持股比例为100%。经营范围包括：绿色建筑产业投资;土地整理;基础设施开发;绿色建材与环保设备研发、销售;节能改造工程施工;太阳能光伏发电;合同能源管理;绿色科技服务;会展服务。(依法须经批准的项目,经相关部门批准后方可开展经营活动)</w:t>
            </w:r>
          </w:p>
          <w:p w14:paraId="546538C6">
            <w:pPr>
              <w:spacing w:line="200" w:lineRule="exact"/>
            </w:pPr>
            <w:r>
              <w:rPr>
                <w:rFonts w:ascii="方正黑体_GBK" w:eastAsia="方正黑体_GBK" w:cs="宋体"/>
                <w:sz w:val="18"/>
                <w:szCs w:val="18"/>
              </w:rPr>
              <w:t>14.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100%。经营范围包括：建设项目投资、管理，历史文化街区修缮、改造、重建，房屋租赁，物业管理，房地产开发经营，城市基础设施建设工程、园林绿化工程施工，建筑材料销售(不仓储)。(依法须经批准的项目，经相关部门批准后方可开展经营活动)&gt;&gt;##许可项目：测绘服务；水产养殖；建设工程施工；文物保护工程施工；住宅室内装饰装修；建筑物拆除作业(爆破作业除外)；住宿服务；水利工程建设监理(依法须经批准的项目，经相关部门批准后方可开展经营活动，具体经营项目以审批结果为准)一般项目：水产品批发；蔬菜种植；农副产品销售；谷物种植；房屋拆迁服务；土地整治服务；公园、景区小型设施娱乐活动(除依法须经批准的项目外，凭营业执照依法自主开展经营活动)</w:t>
            </w:r>
          </w:p>
          <w:p w14:paraId="604E5FD2">
            <w:pPr>
              <w:spacing w:line="200" w:lineRule="exact"/>
            </w:pPr>
            <w:r>
              <w:rPr>
                <w:rFonts w:ascii="方正黑体_GBK" w:eastAsia="方正黑体_GBK" w:cs="宋体"/>
                <w:sz w:val="18"/>
                <w:szCs w:val="18"/>
              </w:rPr>
              <w:t>15.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100%。经营范围包括：交通基础设施建设、投资、开发、经营管理；房产经纪、物业管理(凭资质证书经营)。房地产开发经营。(依法须经批准的项目，经相关部门批准后方可开展经营活动)</w:t>
            </w:r>
          </w:p>
          <w:p w14:paraId="56D506E1">
            <w:pPr>
              <w:spacing w:line="200" w:lineRule="exact"/>
            </w:pPr>
            <w:r>
              <w:rPr>
                <w:rFonts w:ascii="方正黑体_GBK" w:eastAsia="方正黑体_GBK" w:cs="宋体"/>
                <w:sz w:val="18"/>
                <w:szCs w:val="18"/>
              </w:rPr>
              <w:t>16.信托贷款：资产类型为信托公司设立的固定收益类信托计划，底层资产为向融资人泰州市城市建设投资控股有限公司发放信托贷款，资产到期日不超过理财产品最近一次开放日。融资人评级为AA+（评级机构为上海新世纪资信评估投资服务有限公司），融资人第一大股东为泰州市城市建设投资集团有限公司，持股比例为100%。经营范围包括：许可项目:建设工程施工;餐饮服务;烟草制品零售;出版物零售;食品销售(依法须经批准的项目,经相关部门批准后方可开展经营活动,具体经营项目以审批结果为准)一般项目:以自有资金从事投资活动;股权投资;物业管理;商业综合体管理服务;建筑材料销售;住房租赁;非居住房地产租赁;机械设备租赁;新鲜水果零售;打字复印;润滑油销售;石油制品销售(不含危险化学品);化工产品销售(不含许可类化工产品);煤炭及制品销售(禁燃区内不得含有原煤、散煤、煤矸石、煤泥、煤粉、水煤浆、型煤、焦炭、兰炭等)(除依法须经批准的项目外,凭营业执照依法自主开展经营活动)</w:t>
            </w:r>
          </w:p>
          <w:p w14:paraId="25C38E87">
            <w:pPr>
              <w:spacing w:line="200" w:lineRule="exact"/>
            </w:pPr>
            <w:r>
              <w:rPr>
                <w:rFonts w:ascii="方正黑体_GBK" w:eastAsia="方正黑体_GBK" w:cs="宋体"/>
                <w:sz w:val="18"/>
                <w:szCs w:val="18"/>
              </w:rPr>
              <w:t>17.信托贷款：资产类型为信托公司设立的固定收益类信托计划，底层资产为向融资人泰州东方中国医药城控股集团有限公司发放信托贷款，资产到期日不超过理财产品最近一次开放日。融资人评级为AA（评级机构为上海新世纪资信评估投资服务有限公司），融资人第一大股东为泰州医药城控股集团有限公司，持股比例为96.21%。经营范围包括：市场管理,医药会展服务,房屋、机械设备租赁,对外投资,医药技术开发服务,疫苗、生物药、化学药、医疗器械的技术研发(不含药品、医疗器械的生产销售),经济信息咨询服务,物业管理,从事授权范围内的国有资产的经营、资本运作,房屋建筑工程施工,城市基础设施建设,市政工程施工,土地整理,城市防洪工程建设的投资、建设、管理、维护,水土资源开发利用,水利工程设备物资采购、供应。(依法须经批准的项目,经相关部门批准后方可开展经营活动)许可项目:发电业务、输电业务、供(配)电业务;供电业务;输电、供电、受电电力设施的安装、维修和试验(依法须经批准的项目,经相关部门批准后方可开展经营活动,具体经营项目以审批结果为准)一般项目:金属材料销售;新型金属功能材料销售;有色金属合金销售;金属结构销售;建筑用钢筋产品销售;建筑用金属配件销售;房屋拆迁服务(除依法须经批准的项目外,凭营业执照依法自主开展经营活动)</w:t>
            </w:r>
          </w:p>
          <w:p w14:paraId="3EF7E381">
            <w:pPr>
              <w:spacing w:line="200" w:lineRule="exact"/>
              <w:jc w:val="left"/>
            </w:pPr>
            <w:r>
              <w:rPr>
                <w:rFonts w:ascii="方正黑体_GBK" w:eastAsia="方正黑体_GBK" w:cs="宋体"/>
                <w:sz w:val="18"/>
                <w:szCs w:val="18"/>
              </w:rPr>
              <w:t>18.  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2A348212">
            <w:pPr>
              <w:spacing w:line="200" w:lineRule="exact"/>
              <w:jc w:val="left"/>
            </w:pPr>
            <w:r>
              <w:rPr>
                <w:rFonts w:ascii="方正黑体_GBK" w:eastAsia="方正黑体_GBK" w:cs="宋体"/>
                <w:sz w:val="18"/>
                <w:szCs w:val="18"/>
              </w:rPr>
              <w:t>19.  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328C4F23">
            <w:pPr>
              <w:spacing w:line="200" w:lineRule="exact"/>
              <w:jc w:val="left"/>
            </w:pPr>
            <w:r>
              <w:rPr>
                <w:rFonts w:ascii="方正黑体_GBK" w:eastAsia="方正黑体_GBK" w:cs="宋体"/>
                <w:sz w:val="18"/>
                <w:szCs w:val="18"/>
              </w:rPr>
              <w:t>20.  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499415F3">
            <w:pPr>
              <w:spacing w:line="200" w:lineRule="exact"/>
              <w:jc w:val="left"/>
            </w:pPr>
            <w:r>
              <w:rPr>
                <w:rFonts w:ascii="方正黑体_GBK" w:eastAsia="方正黑体_GBK" w:cs="宋体"/>
                <w:sz w:val="18"/>
                <w:szCs w:val="18"/>
              </w:rPr>
              <w:t>21.  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7BB994CC">
            <w:pPr>
              <w:spacing w:line="200" w:lineRule="exact"/>
              <w:jc w:val="left"/>
            </w:pPr>
            <w:r>
              <w:rPr>
                <w:rFonts w:ascii="方正黑体_GBK" w:eastAsia="方正黑体_GBK" w:cs="宋体"/>
                <w:sz w:val="18"/>
                <w:szCs w:val="18"/>
              </w:rPr>
              <w:t>22.  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0FE36C43">
            <w:pPr>
              <w:spacing w:line="200" w:lineRule="exact"/>
              <w:jc w:val="left"/>
            </w:pPr>
            <w:r>
              <w:rPr>
                <w:rFonts w:ascii="方正黑体_GBK" w:eastAsia="方正黑体_GBK" w:cs="宋体"/>
                <w:sz w:val="18"/>
                <w:szCs w:val="18"/>
              </w:rPr>
              <w:t>23.  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1AD67CBB">
            <w:pPr>
              <w:spacing w:line="200" w:lineRule="exact"/>
              <w:jc w:val="left"/>
            </w:pPr>
            <w:r>
              <w:rPr>
                <w:rFonts w:ascii="方正黑体_GBK" w:eastAsia="方正黑体_GBK" w:cs="宋体"/>
                <w:sz w:val="18"/>
                <w:szCs w:val="18"/>
              </w:rPr>
              <w:t>24.  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33483F9E">
            <w:pPr>
              <w:spacing w:line="200" w:lineRule="exact"/>
              <w:jc w:val="left"/>
            </w:pPr>
            <w:r>
              <w:rPr>
                <w:rFonts w:ascii="方正黑体_GBK" w:eastAsia="方正黑体_GBK" w:cs="宋体"/>
                <w:sz w:val="18"/>
                <w:szCs w:val="18"/>
              </w:rPr>
              <w:t>25.  信托贷款：资产类型为信托公司设立的资金信托计划，底层资产为京东及信托公司双重审核、信托公司自主风控后发放的“白条”个人消费贷款债权，资产到期日不超过理财产品最近一次开放日。</w:t>
            </w:r>
          </w:p>
          <w:p w14:paraId="16E9A806">
            <w:pPr>
              <w:spacing w:line="200" w:lineRule="exact"/>
              <w:jc w:val="left"/>
            </w:pPr>
            <w:r>
              <w:rPr>
                <w:rFonts w:ascii="方正黑体_GBK" w:eastAsia="方正黑体_GBK" w:cs="宋体"/>
                <w:sz w:val="18"/>
                <w:szCs w:val="18"/>
              </w:rPr>
              <w:t>26.  信托贷款：资产类型为信托公司设立的资金信托计划，底层资产为京东及信托公司双重审核、信托公司自主风控后发放的“金条”个人消费贷款债权，资产到期日不超过理财产品最近一次开放日。</w:t>
            </w:r>
          </w:p>
          <w:p w14:paraId="6188073D">
            <w:pPr>
              <w:spacing w:line="200" w:lineRule="exact"/>
              <w:jc w:val="left"/>
            </w:pPr>
            <w:r>
              <w:rPr>
                <w:rFonts w:ascii="方正黑体_GBK" w:eastAsia="方正黑体_GBK" w:cs="宋体"/>
                <w:sz w:val="18"/>
                <w:szCs w:val="18"/>
              </w:rPr>
              <w:t>27.  信托贷款：资产类型为信托公司设立的资金信托计划，底层资产为京东及信托公司双重审核、信托公司自主风控后发放的“白条取现”个人消费贷款债权，资产到期日不超过理财产品最近一次开放日。</w:t>
            </w:r>
          </w:p>
          <w:p w14:paraId="5D532D76">
            <w:pPr>
              <w:spacing w:line="200" w:lineRule="exact"/>
              <w:jc w:val="left"/>
            </w:pPr>
            <w:r>
              <w:rPr>
                <w:rFonts w:ascii="方正黑体_GBK" w:eastAsia="方正黑体_GBK" w:cs="宋体"/>
                <w:sz w:val="18"/>
                <w:szCs w:val="18"/>
              </w:rPr>
              <w:t>28.  信托贷款：资产类型为信托公司设立的资金信托计划，底层资产为抖音及信托公司双重审核、信托公司自主风控后发放的“月付”个人消费贷款债权，资产到期日不超过理财产品最近一次开放日。</w:t>
            </w:r>
          </w:p>
          <w:p w14:paraId="711F9A86">
            <w:pPr>
              <w:spacing w:line="200" w:lineRule="exact"/>
              <w:jc w:val="left"/>
            </w:pPr>
            <w:r>
              <w:rPr>
                <w:rFonts w:ascii="方正黑体_GBK" w:eastAsia="方正黑体_GBK" w:cs="宋体"/>
                <w:sz w:val="18"/>
                <w:szCs w:val="18"/>
              </w:rPr>
              <w:t>29.  信托贷款：资产类型为信托公司设立的资金信托计划，底层资产为抖音及信托公司双重审核、信托公司自主风控后发放的“放心借”贷款资产，资产到期日不超过理财产品最近一次开放日。</w:t>
            </w:r>
          </w:p>
          <w:p w14:paraId="72BF14BD">
            <w:pPr>
              <w:spacing w:line="200" w:lineRule="exact"/>
              <w:jc w:val="left"/>
            </w:pPr>
            <w:r>
              <w:rPr>
                <w:rFonts w:ascii="方正黑体_GBK" w:eastAsia="方正黑体_GBK" w:cs="宋体"/>
                <w:sz w:val="18"/>
                <w:szCs w:val="18"/>
              </w:rPr>
              <w:t>30.  信托贷款：资产类型为信托公司设立的资金信托计划，底层资产为蚂蚁及信托公司双重审核、信托公司自主风控后发放的“花呗”个人消费贷款债权，资产到期日不超过理财产品最近一次开放日。</w:t>
            </w:r>
          </w:p>
          <w:p w14:paraId="2D803F34">
            <w:pPr>
              <w:spacing w:line="200" w:lineRule="exact"/>
              <w:jc w:val="left"/>
            </w:pPr>
            <w:r>
              <w:rPr>
                <w:rFonts w:ascii="方正黑体_GBK" w:eastAsia="方正黑体_GBK" w:cs="宋体"/>
                <w:sz w:val="18"/>
                <w:szCs w:val="18"/>
              </w:rPr>
              <w:t>31.  信托贷款：资产类型为信托公司设立的资金信托计划，底层资产为蚂蚁及信托公司双重审核、信托公司自主风控后发放的“借呗”个人消费贷款债权，资产到期日不超过理财产品最近一次开放日。</w:t>
            </w:r>
          </w:p>
          <w:p w14:paraId="108FB438">
            <w:pPr>
              <w:spacing w:line="200" w:lineRule="exact"/>
              <w:jc w:val="left"/>
            </w:pPr>
            <w:r>
              <w:rPr>
                <w:rFonts w:ascii="方正黑体_GBK" w:eastAsia="方正黑体_GBK" w:cs="宋体"/>
                <w:sz w:val="18"/>
                <w:szCs w:val="18"/>
              </w:rPr>
              <w:t>32.  信托贷款：资产类型为信托公司设立的资金信托计划，底层资产为微信及信托公司双重审核、信托公司自主风控后发放的“分付”个人消费贷款债权，资产到期日不超过理财产品最近一次开放日。</w:t>
            </w:r>
          </w:p>
          <w:p w14:paraId="1A399788">
            <w:pPr>
              <w:spacing w:line="200" w:lineRule="exact"/>
              <w:jc w:val="left"/>
            </w:pPr>
            <w:r>
              <w:rPr>
                <w:rFonts w:ascii="方正黑体_GBK" w:eastAsia="方正黑体_GBK" w:cs="宋体"/>
                <w:sz w:val="18"/>
                <w:szCs w:val="18"/>
              </w:rPr>
              <w:t>33.  券商收益凭证：资产类型为证券公司发行的收益凭证，资产到期日不超过理财产品最近一次开放日，融资人为华宝证券股份有限公司，融资人评级为AA+（评级机构为联合资信评估股份有限公司）。</w:t>
            </w:r>
          </w:p>
          <w:p w14:paraId="031C46AC">
            <w:pPr>
              <w:spacing w:line="200" w:lineRule="exact"/>
              <w:jc w:val="left"/>
            </w:pPr>
            <w:r>
              <w:rPr>
                <w:rFonts w:ascii="方正黑体_GBK" w:eastAsia="方正黑体_GBK" w:cs="宋体"/>
                <w:sz w:val="18"/>
                <w:szCs w:val="18"/>
              </w:rPr>
              <w:t>34.  券商收益凭证：资产类型为证券公司发行的收益凭证，资产到期日不超过理财产品最近一次开放日，融资人为上海证券有限责任公司，融资人评级为AAA（评级机构为上海新世纪资信评估投资服务有限公司）。</w:t>
            </w:r>
          </w:p>
          <w:p w14:paraId="454CCE22">
            <w:pPr>
              <w:spacing w:line="200" w:lineRule="exact"/>
              <w:jc w:val="left"/>
            </w:pPr>
            <w:r>
              <w:rPr>
                <w:rFonts w:ascii="方正黑体_GBK" w:eastAsia="方正黑体_GBK" w:cs="宋体"/>
                <w:sz w:val="18"/>
                <w:szCs w:val="18"/>
              </w:rPr>
              <w:t>35.  券商收益凭证：资产类型为证券公司发行的收益凭证，资产到期日不超过理财产品最近一次开放日，融资人为山西证券股份有限公司，融资人评级为AAA（评级机构为中诚信国际信用评级有限责任公司）。</w:t>
            </w:r>
          </w:p>
          <w:p w14:paraId="0D118EE8">
            <w:pPr>
              <w:spacing w:line="200" w:lineRule="exact"/>
              <w:jc w:val="left"/>
            </w:pPr>
            <w:r>
              <w:rPr>
                <w:rFonts w:ascii="方正黑体_GBK" w:eastAsia="方正黑体_GBK" w:cs="宋体"/>
                <w:sz w:val="18"/>
                <w:szCs w:val="18"/>
              </w:rPr>
              <w:t>36.  券商收益凭证：资产类型为证券公司发行的收益凭证，资产到期日不超过理财产品最近一次开放日，融资人为中银国际证券股份有限公司，融资人评级为AAA（评级机构为中诚信国际信用评级有限责任公司）。</w:t>
            </w:r>
          </w:p>
          <w:p w14:paraId="6E40A99D">
            <w:pPr>
              <w:spacing w:line="200" w:lineRule="exact"/>
              <w:jc w:val="left"/>
            </w:pPr>
            <w:r>
              <w:rPr>
                <w:rFonts w:ascii="方正黑体_GBK" w:eastAsia="方正黑体_GBK" w:cs="宋体"/>
                <w:sz w:val="18"/>
                <w:szCs w:val="18"/>
              </w:rPr>
              <w:t>37.  券商收益凭证：资产类型为证券公司发行的收益凭证，资产到期日不超过理财产品最近一次开放日，融资人为首创证券股份有限公司，融资人评级为AAA（评级机构为中诚信国际信用评级有限责任公司）。</w:t>
            </w:r>
          </w:p>
          <w:p w14:paraId="5C056458">
            <w:pPr>
              <w:spacing w:line="200" w:lineRule="exact"/>
              <w:jc w:val="left"/>
            </w:pPr>
            <w:r>
              <w:rPr>
                <w:rFonts w:ascii="方正黑体_GBK" w:eastAsia="方正黑体_GBK" w:cs="宋体"/>
                <w:sz w:val="18"/>
                <w:szCs w:val="18"/>
              </w:rPr>
              <w:t>38.  券商收益凭证：资产类型为证券公司发行的收益凭证，资产到期日不超过理财产品最近一次开放日，融资人为平安证券股份有限公司，融资人评级为AAA（评级机构为中诚信国际信用评级有限责任公司）。</w:t>
            </w:r>
          </w:p>
          <w:p w14:paraId="775DB786">
            <w:pPr>
              <w:spacing w:line="200" w:lineRule="exact"/>
              <w:jc w:val="left"/>
            </w:pPr>
            <w:r>
              <w:rPr>
                <w:rFonts w:ascii="方正黑体_GBK" w:eastAsia="方正黑体_GBK" w:cs="宋体"/>
                <w:sz w:val="18"/>
                <w:szCs w:val="18"/>
              </w:rPr>
              <w:t>39.  同业借款：资产类型为南银理财有限责任公司向持牌金融机构发放的同业借款，资产到期日不超过理财产品最近一次开放日，融资人为中国中信金融资产管理股份有限公司。</w:t>
            </w:r>
          </w:p>
          <w:p w14:paraId="60BC9EDB">
            <w:pPr>
              <w:spacing w:line="200" w:lineRule="exact"/>
              <w:jc w:val="left"/>
            </w:pPr>
            <w:r>
              <w:rPr>
                <w:rFonts w:ascii="方正黑体_GBK" w:eastAsia="方正黑体_GBK" w:cs="宋体"/>
                <w:sz w:val="18"/>
                <w:szCs w:val="18"/>
              </w:rPr>
              <w:t>40.  同业借款：资产类型为南银理财有限责任公司向持牌金融机构发放的同业借款，资产到期日不超过理财产品最近一次开放日，融资人为中国东方资产管理股份有限公司。</w:t>
            </w:r>
          </w:p>
          <w:p w14:paraId="3237C99D">
            <w:pPr>
              <w:spacing w:line="200" w:lineRule="exact"/>
              <w:jc w:val="left"/>
            </w:pPr>
            <w:r>
              <w:rPr>
                <w:rFonts w:ascii="方正黑体_GBK" w:eastAsia="方正黑体_GBK" w:cs="宋体"/>
                <w:sz w:val="18"/>
                <w:szCs w:val="18"/>
              </w:rPr>
              <w:t>41.  同业借款：资产类型为南银理财有限责任公司向持牌金融机构发放的同业借款，资产到期日不超过理财产品最近一次开放日，融资人为中国信达资产管理股份有限公司。</w:t>
            </w:r>
          </w:p>
          <w:p w14:paraId="4069C8D9">
            <w:pPr>
              <w:spacing w:line="200" w:lineRule="exact"/>
              <w:jc w:val="left"/>
            </w:pPr>
            <w:r>
              <w:rPr>
                <w:rFonts w:ascii="方正黑体_GBK" w:eastAsia="方正黑体_GBK" w:cs="宋体"/>
                <w:sz w:val="18"/>
                <w:szCs w:val="18"/>
              </w:rPr>
              <w:t>42.  同业借款：资产类型为南银理财有限责任公司向持牌金融机构发放的同业借款，资产到期日不超过理财产品最近一次开放日，融资人为中国长城资产管理股份有限公司。</w:t>
            </w:r>
          </w:p>
          <w:p w14:paraId="46E9403A">
            <w:pPr>
              <w:spacing w:line="200" w:lineRule="exact"/>
            </w:pPr>
            <w:r>
              <w:rPr>
                <w:rFonts w:ascii="方正黑体_GBK" w:eastAsia="方正黑体_GBK" w:cs="宋体"/>
                <w:b/>
                <w:sz w:val="18"/>
                <w:szCs w:val="18"/>
              </w:rPr>
              <w:t>以上资产剩余期限均不超过产品期限。</w:t>
            </w:r>
            <w:r>
              <w:rPr>
                <w:rFonts w:ascii="方正黑体_GBK" w:eastAsia="方正黑体_GBK"/>
              </w:rPr>
              <w:br w:type="textWrapping"/>
            </w:r>
            <w:r>
              <w:rPr>
                <w:rFonts w:asci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2391D4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3634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caps w:val="0"/>
                <w:smallCaps w:val="0"/>
                <w:snapToGrid/>
                <w:vanish w:val="0"/>
                <w:color w:val="auto"/>
                <w:kern w:val="0"/>
                <w:sz w:val="18"/>
                <w:szCs w:val="18"/>
                <w:vertAlign w:val="baseline"/>
              </w:rPr>
            </w:pPr>
            <w:r>
              <w:rPr>
                <w:rFonts w:hint="eastAsia" w:asci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76E6EA8">
            <w:pPr>
              <w:spacing w:line="200" w:lineRule="exact"/>
            </w:pPr>
            <w:r>
              <w:rPr>
                <w:rFonts w:ascii="方正黑体_GBK" w:eastAsia="方正黑体_GBK" w:cs="宋体"/>
                <w:sz w:val="18"/>
                <w:szCs w:val="18"/>
              </w:rPr>
              <w:t>A份额：业绩比较基准为年化2.45%-2.7% 。</w:t>
            </w:r>
          </w:p>
          <w:p w14:paraId="3786A830">
            <w:pPr>
              <w:spacing w:line="200" w:lineRule="exact"/>
            </w:pPr>
            <w:r>
              <w:rPr>
                <w:rFonts w:ascii="方正黑体_GBK" w:eastAsia="方正黑体_GBK" w:cs="宋体"/>
                <w:sz w:val="18"/>
                <w:szCs w:val="18"/>
              </w:rPr>
              <w:t>F份额：业绩比较基准为年化2.55%-2.8% 。</w:t>
            </w:r>
          </w:p>
          <w:p w14:paraId="2E5B9146">
            <w:pPr>
              <w:spacing w:line="200" w:lineRule="exact"/>
            </w:pPr>
            <w:r>
              <w:rPr>
                <w:rFonts w:ascii="方正黑体_GBK" w:eastAsia="方正黑体_GBK" w:cs="宋体"/>
                <w:sz w:val="18"/>
                <w:szCs w:val="18"/>
              </w:rPr>
              <w:t>A2份额：业绩比较基准为年化2.45%-2.7% 。</w:t>
            </w:r>
          </w:p>
          <w:p w14:paraId="27A2057B">
            <w:pPr>
              <w:spacing w:line="200" w:lineRule="exact"/>
            </w:pPr>
            <w:r>
              <w:rPr>
                <w:rFonts w:ascii="方正黑体_GBK" w:eastAsia="方正黑体_GBK" w:cs="宋体"/>
                <w:sz w:val="18"/>
                <w:szCs w:val="18"/>
              </w:rPr>
              <w:t>A3份额：业绩比较基准为年化2.45%-2.7% 。</w:t>
            </w:r>
          </w:p>
          <w:p w14:paraId="4DA25261">
            <w:pPr>
              <w:spacing w:line="200" w:lineRule="exact"/>
            </w:pPr>
            <w:r>
              <w:rPr>
                <w:rFonts w:ascii="方正黑体_GBK" w:eastAsia="方正黑体_GBK" w:cs="宋体"/>
                <w:sz w:val="18"/>
                <w:szCs w:val="18"/>
              </w:rPr>
              <w:t>B4份额：业绩比较基准为年化2.45%-2.7% 。</w:t>
            </w:r>
          </w:p>
          <w:p w14:paraId="34E5F91D">
            <w:pPr>
              <w:spacing w:line="200" w:lineRule="exact"/>
            </w:pPr>
            <w:r>
              <w:rPr>
                <w:rFonts w:ascii="方正黑体_GBK" w:eastAsia="方正黑体_GBK" w:cs="宋体"/>
                <w:sz w:val="18"/>
                <w:szCs w:val="18"/>
              </w:rPr>
              <w:t>C4份额：业绩比较基准为年化2.5%-2.75% 。</w:t>
            </w:r>
          </w:p>
          <w:p w14:paraId="3970378B">
            <w:pPr>
              <w:spacing w:line="200" w:lineRule="exact"/>
            </w:pPr>
            <w:r>
              <w:rPr>
                <w:rFonts w:ascii="方正黑体_GBK" w:eastAsia="方正黑体_GBK" w:cs="宋体"/>
                <w:sz w:val="18"/>
                <w:szCs w:val="18"/>
              </w:rPr>
              <w:t>D4份额：业绩比较基准为年化2.55%-2.8% 。</w:t>
            </w:r>
          </w:p>
          <w:p w14:paraId="49B8E0AC">
            <w:pPr>
              <w:spacing w:line="200" w:lineRule="exact"/>
            </w:pPr>
            <w:r>
              <w:rPr>
                <w:rFonts w:ascii="方正黑体_GBK" w:eastAsia="方正黑体_GBK" w:cs="宋体"/>
                <w:sz w:val="18"/>
                <w:szCs w:val="18"/>
              </w:rPr>
              <w:t>E4份额：业绩比较基准为年化2.65%-2.9% 。</w:t>
            </w:r>
          </w:p>
          <w:p w14:paraId="330B0A53">
            <w:pPr>
              <w:spacing w:line="200" w:lineRule="exact"/>
            </w:pPr>
            <w:r>
              <w:rPr>
                <w:rFonts w:ascii="方正黑体_GBK" w:eastAsia="方正黑体_GBK" w:cs="宋体"/>
                <w:sz w:val="18"/>
                <w:szCs w:val="18"/>
              </w:rPr>
              <w:t>F2份额：业绩比较基准为年化2.55%-2.8% 。</w:t>
            </w:r>
          </w:p>
          <w:p w14:paraId="4E0C7115">
            <w:pPr>
              <w:spacing w:line="200" w:lineRule="exact"/>
            </w:pPr>
            <w:r>
              <w:rPr>
                <w:rFonts w:ascii="方正黑体_GBK" w:eastAsia="方正黑体_GBK" w:cs="宋体"/>
                <w:sz w:val="18"/>
                <w:szCs w:val="18"/>
              </w:rPr>
              <w:t>F3份额：业绩比较基准为年化2.55%-2.8% 。</w:t>
            </w:r>
          </w:p>
          <w:p w14:paraId="75871E44">
            <w:pPr>
              <w:spacing w:line="200" w:lineRule="exact"/>
            </w:pPr>
            <w:r>
              <w:rPr>
                <w:rFonts w:ascii="方正黑体_GBK" w:eastAsia="方正黑体_GBK" w:cs="宋体"/>
                <w:sz w:val="18"/>
                <w:szCs w:val="18"/>
              </w:rPr>
              <w:t>G3份额：业绩比较基准为年化2.6%-2.85% 。</w:t>
            </w:r>
          </w:p>
          <w:p w14:paraId="49DD6768">
            <w:pPr>
              <w:spacing w:line="200" w:lineRule="exact"/>
            </w:pPr>
            <w:r>
              <w:rPr>
                <w:rFonts w:ascii="方正黑体_GBK" w:eastAsia="方正黑体_GBK" w:cs="宋体"/>
                <w:sz w:val="18"/>
                <w:szCs w:val="18"/>
              </w:rPr>
              <w:t>G4份额：业绩比较基准为年化2.6%-2.85% 。</w:t>
            </w:r>
          </w:p>
          <w:p w14:paraId="2BBF94EF">
            <w:pPr>
              <w:spacing w:line="200" w:lineRule="exact"/>
            </w:pPr>
            <w:r>
              <w:rPr>
                <w:rFonts w:ascii="方正黑体_GBK" w:eastAsia="方正黑体_GBK" w:cs="宋体"/>
                <w:sz w:val="18"/>
                <w:szCs w:val="18"/>
              </w:rPr>
              <w:t>J2份额：业绩比较基准为年化2.5%-2.75% 。</w:t>
            </w:r>
          </w:p>
          <w:p w14:paraId="6D8D0418">
            <w:pPr>
              <w:spacing w:line="200" w:lineRule="exact"/>
            </w:pPr>
            <w:r>
              <w:rPr>
                <w:rFonts w:ascii="方正黑体_GBK" w:eastAsia="方正黑体_GBK" w:cs="宋体"/>
                <w:sz w:val="18"/>
                <w:szCs w:val="18"/>
              </w:rPr>
              <w:t>L2份额：业绩比较基准为年化2.6%-2.85% 。</w:t>
            </w:r>
          </w:p>
          <w:p w14:paraId="6802B64A">
            <w:pPr>
              <w:spacing w:line="200" w:lineRule="exact"/>
            </w:pPr>
            <w:r>
              <w:rPr>
                <w:rFonts w:ascii="方正黑体_GBK" w:eastAsia="方正黑体_GBK" w:cs="宋体"/>
                <w:sz w:val="18"/>
                <w:szCs w:val="18"/>
              </w:rPr>
              <w:t>J3份额：业绩比较基准为年化2.5%-2.75% 。</w:t>
            </w:r>
          </w:p>
          <w:p w14:paraId="7075DF35">
            <w:pPr>
              <w:spacing w:line="200" w:lineRule="exact"/>
            </w:pPr>
            <w:r>
              <w:rPr>
                <w:rFonts w:ascii="方正黑体_GBK" w:eastAsia="方正黑体_GBK" w:cs="宋体"/>
                <w:sz w:val="18"/>
                <w:szCs w:val="18"/>
              </w:rPr>
              <w:t>L3份额：业绩比较基准为年化2.6%-2.85% 。</w:t>
            </w:r>
          </w:p>
          <w:p w14:paraId="639DD592">
            <w:pPr>
              <w:spacing w:line="200" w:lineRule="exact"/>
            </w:pPr>
            <w:r>
              <w:rPr>
                <w:rFonts w:ascii="方正黑体_GBK" w:eastAsia="方正黑体_GBK" w:cs="宋体"/>
                <w:sz w:val="18"/>
                <w:szCs w:val="18"/>
              </w:rPr>
              <w:t>M2份额：业绩比较基准为年化2.45%-2.7% 。</w:t>
            </w:r>
          </w:p>
          <w:p w14:paraId="4BFD63B8">
            <w:pPr>
              <w:spacing w:line="200" w:lineRule="exact"/>
            </w:pPr>
            <w:r>
              <w:rPr>
                <w:rFonts w:ascii="方正黑体_GBK" w:eastAsia="方正黑体_GBK" w:cs="宋体"/>
                <w:sz w:val="18"/>
                <w:szCs w:val="18"/>
              </w:rPr>
              <w:t>M3份额：业绩比较基准为年化2.45%-2.7% 。</w:t>
            </w:r>
          </w:p>
          <w:p w14:paraId="0FA55EE4">
            <w:pPr>
              <w:spacing w:line="200" w:lineRule="exact"/>
            </w:pPr>
            <w:r>
              <w:rPr>
                <w:rFonts w:ascii="方正黑体_GBK" w:eastAsia="方正黑体_GBK" w:cs="宋体"/>
                <w:sz w:val="18"/>
                <w:szCs w:val="18"/>
              </w:rPr>
              <w:t>O2份额：业绩比较基准为年化2.55%-2.8% 。</w:t>
            </w:r>
          </w:p>
          <w:p w14:paraId="38EAF10D">
            <w:pPr>
              <w:spacing w:line="200" w:lineRule="exact"/>
            </w:pPr>
            <w:r>
              <w:rPr>
                <w:rFonts w:ascii="方正黑体_GBK" w:eastAsia="方正黑体_GBK" w:cs="宋体"/>
                <w:sz w:val="18"/>
                <w:szCs w:val="18"/>
              </w:rPr>
              <w:t>O3份额：业绩比较基准为年化2.55%-2.8% 。</w:t>
            </w:r>
          </w:p>
          <w:p w14:paraId="62B6A962">
            <w:pPr>
              <w:spacing w:line="200" w:lineRule="exact"/>
            </w:pPr>
            <w:r>
              <w:rPr>
                <w:rFonts w:ascii="方正黑体_GBK" w:eastAsia="方正黑体_GBK" w:cs="宋体"/>
                <w:sz w:val="18"/>
                <w:szCs w:val="18"/>
              </w:rPr>
              <w:t>Q1份额：业绩比较基准为年化2.45%-2.7% 。</w:t>
            </w:r>
          </w:p>
          <w:p w14:paraId="7BDBD7FC">
            <w:pPr>
              <w:spacing w:line="200" w:lineRule="exact"/>
            </w:pPr>
            <w:r>
              <w:rPr>
                <w:rFonts w:ascii="方正黑体_GBK" w:eastAsia="方正黑体_GBK" w:cs="宋体"/>
                <w:sz w:val="18"/>
                <w:szCs w:val="18"/>
              </w:rPr>
              <w:t>R1份额：业绩比较基准为年化2.65%-2.9% 。</w:t>
            </w:r>
          </w:p>
          <w:p w14:paraId="70FFB2B6">
            <w:pPr>
              <w:spacing w:line="200" w:lineRule="exact"/>
            </w:pPr>
            <w:r>
              <w:rPr>
                <w:rFonts w:ascii="方正黑体_GBK" w:eastAsia="方正黑体_GBK" w:cs="宋体"/>
                <w:sz w:val="18"/>
                <w:szCs w:val="18"/>
              </w:rPr>
              <w:t>Q2份额：业绩比较基准为年化2.45%-2.7% 。</w:t>
            </w:r>
          </w:p>
          <w:p w14:paraId="5D464086">
            <w:pPr>
              <w:spacing w:line="200" w:lineRule="exact"/>
            </w:pPr>
            <w:r>
              <w:rPr>
                <w:rFonts w:ascii="方正黑体_GBK" w:eastAsia="方正黑体_GBK" w:cs="宋体"/>
                <w:sz w:val="18"/>
                <w:szCs w:val="18"/>
              </w:rPr>
              <w:t>R2份额：业绩比较基准为年化2.65%-2.9% 。</w:t>
            </w:r>
          </w:p>
          <w:p w14:paraId="7A2465B7">
            <w:pPr>
              <w:spacing w:line="200" w:lineRule="exact"/>
            </w:pPr>
            <w:r>
              <w:rPr>
                <w:rFonts w:ascii="方正黑体_GBK" w:eastAsia="方正黑体_GBK" w:cs="宋体"/>
                <w:sz w:val="18"/>
                <w:szCs w:val="18"/>
              </w:rPr>
              <w:t>Q3份额：业绩比较基准为年化2.45%-2.7% 。</w:t>
            </w:r>
          </w:p>
          <w:p w14:paraId="20C77937">
            <w:pPr>
              <w:spacing w:line="200" w:lineRule="exact"/>
            </w:pPr>
            <w:r>
              <w:rPr>
                <w:rFonts w:ascii="方正黑体_GBK" w:eastAsia="方正黑体_GBK" w:cs="宋体"/>
                <w:sz w:val="18"/>
                <w:szCs w:val="18"/>
              </w:rPr>
              <w:t>R3份额：业绩比较基准为年化2.65%-2.9% 。</w:t>
            </w:r>
          </w:p>
          <w:p w14:paraId="38C21288">
            <w:pPr>
              <w:spacing w:line="200" w:lineRule="exact"/>
            </w:pPr>
            <w:r>
              <w:rPr>
                <w:rFonts w:ascii="方正黑体_GBK" w:eastAsia="方正黑体_GBK" w:cs="宋体"/>
                <w:sz w:val="18"/>
                <w:szCs w:val="18"/>
              </w:rPr>
              <w:t>B1份额：业绩比较基准为年化2.45%-2.7% 。</w:t>
            </w:r>
          </w:p>
          <w:p w14:paraId="533FA970">
            <w:pPr>
              <w:spacing w:line="200" w:lineRule="exact"/>
            </w:pPr>
            <w:r>
              <w:rPr>
                <w:rFonts w:ascii="方正黑体_GBK" w:eastAsia="方正黑体_GBK" w:cs="宋体"/>
                <w:sz w:val="18"/>
                <w:szCs w:val="18"/>
              </w:rPr>
              <w:t>C1份额：业绩比较基准为年化2.5%-2.75% 。</w:t>
            </w:r>
          </w:p>
          <w:p w14:paraId="09E0934D">
            <w:pPr>
              <w:spacing w:line="200" w:lineRule="exact"/>
            </w:pPr>
            <w:r>
              <w:rPr>
                <w:rFonts w:ascii="方正黑体_GBK" w:eastAsia="方正黑体_GBK" w:cs="宋体"/>
                <w:sz w:val="18"/>
                <w:szCs w:val="18"/>
              </w:rPr>
              <w:t>D1份额：业绩比较基准为年化2.55%-2.8% 。</w:t>
            </w:r>
          </w:p>
          <w:p w14:paraId="678DD007">
            <w:pPr>
              <w:spacing w:line="200" w:lineRule="exact"/>
            </w:pPr>
            <w:r>
              <w:rPr>
                <w:rFonts w:ascii="方正黑体_GBK" w:eastAsia="方正黑体_GBK" w:cs="宋体"/>
                <w:sz w:val="18"/>
                <w:szCs w:val="18"/>
              </w:rPr>
              <w:t>E1份额：业绩比较基准为年化2.65%-2.9% 。</w:t>
            </w:r>
          </w:p>
          <w:p w14:paraId="7BADFC30">
            <w:pPr>
              <w:spacing w:line="200" w:lineRule="exact"/>
            </w:pPr>
            <w:r>
              <w:rPr>
                <w:rFonts w:ascii="方正黑体_GBK" w:eastAsia="方正黑体_GBK" w:cs="宋体"/>
                <w:sz w:val="18"/>
                <w:szCs w:val="18"/>
              </w:rPr>
              <w:t>G1份额：业绩比较基准为年化2.6%-2.85% 。</w:t>
            </w:r>
          </w:p>
          <w:p w14:paraId="49E8807F">
            <w:pPr>
              <w:spacing w:line="200" w:lineRule="exact"/>
            </w:pPr>
            <w:r>
              <w:rPr>
                <w:rFonts w:ascii="方正黑体_GBK" w:eastAsia="方正黑体_GBK" w:cs="宋体"/>
                <w:sz w:val="18"/>
                <w:szCs w:val="18"/>
              </w:rPr>
              <w:t>I1份额：业绩比较基准为年化2.55%-2.8% 。</w:t>
            </w:r>
          </w:p>
          <w:p w14:paraId="587BB53C">
            <w:pPr>
              <w:spacing w:line="200" w:lineRule="exact"/>
            </w:pPr>
            <w:r>
              <w:rPr>
                <w:rFonts w:ascii="方正黑体_GBK" w:eastAsia="方正黑体_GBK" w:cs="宋体"/>
                <w:sz w:val="18"/>
                <w:szCs w:val="18"/>
              </w:rPr>
              <w:t>J1份额：业绩比较基准为年化2.5%-2.75% 。</w:t>
            </w:r>
          </w:p>
          <w:p w14:paraId="04D4EEBF">
            <w:pPr>
              <w:spacing w:line="200" w:lineRule="exact"/>
            </w:pPr>
            <w:r>
              <w:rPr>
                <w:rFonts w:ascii="方正黑体_GBK" w:eastAsia="方正黑体_GBK" w:cs="宋体"/>
                <w:sz w:val="18"/>
                <w:szCs w:val="18"/>
              </w:rPr>
              <w:t>L1份额：业绩比较基准为年化2.6%-2.85% 。</w:t>
            </w:r>
          </w:p>
          <w:p w14:paraId="6E461594">
            <w:pPr>
              <w:spacing w:line="200" w:lineRule="exact"/>
            </w:pPr>
            <w:r>
              <w:rPr>
                <w:rFonts w:ascii="方正黑体_GBK" w:eastAsia="方正黑体_GBK" w:cs="宋体"/>
                <w:sz w:val="18"/>
                <w:szCs w:val="18"/>
              </w:rPr>
              <w:t>M1份额：业绩比较基准为年化2.45%-2.7% 。</w:t>
            </w:r>
          </w:p>
          <w:p w14:paraId="7F6C0F92">
            <w:pPr>
              <w:spacing w:line="200" w:lineRule="exact"/>
            </w:pPr>
            <w:r>
              <w:rPr>
                <w:rFonts w:ascii="方正黑体_GBK" w:eastAsia="方正黑体_GBK" w:cs="宋体"/>
                <w:sz w:val="18"/>
                <w:szCs w:val="18"/>
              </w:rPr>
              <w:t>N1份额：业绩比较基准为年化2.7%-2.95% 。</w:t>
            </w:r>
          </w:p>
          <w:p w14:paraId="31090384">
            <w:pPr>
              <w:spacing w:line="200" w:lineRule="exact"/>
            </w:pPr>
            <w:r>
              <w:rPr>
                <w:rFonts w:ascii="方正黑体_GBK" w:eastAsia="方正黑体_GBK" w:cs="宋体"/>
                <w:sz w:val="18"/>
                <w:szCs w:val="18"/>
              </w:rPr>
              <w:t>O1份额：业绩比较基准为年化2.55%-2.8% 。</w:t>
            </w:r>
          </w:p>
          <w:p w14:paraId="6FBBE40E">
            <w:pPr>
              <w:spacing w:line="200" w:lineRule="exact"/>
            </w:pPr>
            <w:r>
              <w:rPr>
                <w:rFonts w:ascii="方正黑体_GBK" w:eastAsia="方正黑体_GBK" w:cs="宋体"/>
                <w:sz w:val="18"/>
                <w:szCs w:val="18"/>
              </w:rPr>
              <w:t>S1份额：业绩比较基准为年化2.6%-2.85% 。</w:t>
            </w:r>
          </w:p>
          <w:p w14:paraId="3E4D0758">
            <w:pPr>
              <w:spacing w:line="200" w:lineRule="exact"/>
            </w:pPr>
            <w:r>
              <w:rPr>
                <w:rFonts w:ascii="方正黑体_GBK" w:eastAsia="方正黑体_GBK" w:cs="宋体"/>
                <w:sz w:val="18"/>
                <w:szCs w:val="18"/>
              </w:rPr>
              <w:t>S2份额：业绩比较基准为年化2.6%-2.85% 。</w:t>
            </w:r>
          </w:p>
          <w:p w14:paraId="4D75E74B">
            <w:pPr>
              <w:spacing w:line="200" w:lineRule="exact"/>
            </w:pPr>
            <w:r>
              <w:rPr>
                <w:rFonts w:ascii="方正黑体_GBK" w:eastAsia="方正黑体_GBK" w:cs="宋体"/>
                <w:sz w:val="18"/>
                <w:szCs w:val="18"/>
              </w:rPr>
              <w:t>S3份额：业绩比较基准为年化2.6%-2.85% 。</w:t>
            </w:r>
          </w:p>
          <w:p w14:paraId="7C2112AA">
            <w:pPr>
              <w:spacing w:line="200" w:lineRule="exact"/>
            </w:pPr>
            <w:r>
              <w:rPr>
                <w:rFonts w:ascii="方正黑体_GBK" w:eastAsia="方正黑体_GBK" w:cs="宋体"/>
                <w:sz w:val="18"/>
                <w:szCs w:val="18"/>
              </w:rPr>
              <w:t>T1份额：业绩比较基准为年化2.6%-2.85% 。</w:t>
            </w:r>
          </w:p>
          <w:p w14:paraId="14057F39">
            <w:pPr>
              <w:spacing w:line="200" w:lineRule="exact"/>
            </w:pPr>
            <w:r>
              <w:rPr>
                <w:rFonts w:ascii="方正黑体_GBK" w:eastAsia="方正黑体_GBK" w:cs="宋体"/>
                <w:sz w:val="18"/>
                <w:szCs w:val="18"/>
              </w:rPr>
              <w:t>T2份额：业绩比较基准为年化2.6%-2.85% 。</w:t>
            </w:r>
          </w:p>
          <w:p w14:paraId="075C6CB9">
            <w:pPr>
              <w:spacing w:line="200" w:lineRule="exact"/>
            </w:pPr>
            <w:r>
              <w:rPr>
                <w:rFonts w:ascii="方正黑体_GBK" w:eastAsia="方正黑体_GBK" w:cs="宋体"/>
                <w:sz w:val="18"/>
                <w:szCs w:val="18"/>
              </w:rPr>
              <w:t>T3份额：业绩比较基准为年化2.6%-2.85% 。</w:t>
            </w:r>
          </w:p>
          <w:p w14:paraId="580709EB">
            <w:pPr>
              <w:spacing w:line="200" w:lineRule="exact"/>
            </w:pPr>
            <w:r>
              <w:rPr>
                <w:rFonts w:ascii="方正黑体_GBK" w:eastAsia="方正黑体_GBK" w:cs="宋体"/>
                <w:sz w:val="18"/>
                <w:szCs w:val="18"/>
              </w:rPr>
              <w:t>B5份额：业绩比较基准为年化2.45%-2.7% 。</w:t>
            </w:r>
          </w:p>
          <w:p w14:paraId="3DB1C9EB">
            <w:pPr>
              <w:spacing w:line="200" w:lineRule="exact"/>
            </w:pPr>
            <w:r>
              <w:rPr>
                <w:rFonts w:ascii="方正黑体_GBK" w:eastAsia="方正黑体_GBK" w:cs="宋体"/>
                <w:sz w:val="18"/>
                <w:szCs w:val="18"/>
              </w:rPr>
              <w:t>C5份额：业绩比较基准为年化2.5%-2.75% 。</w:t>
            </w:r>
          </w:p>
          <w:p w14:paraId="01F2A1D0">
            <w:pPr>
              <w:spacing w:line="200" w:lineRule="exact"/>
            </w:pPr>
            <w:r>
              <w:rPr>
                <w:rFonts w:ascii="方正黑体_GBK" w:eastAsia="方正黑体_GBK" w:cs="宋体"/>
                <w:sz w:val="18"/>
                <w:szCs w:val="18"/>
              </w:rPr>
              <w:t>D5份额：业绩比较基准为年化2.55%-2.8% 。</w:t>
            </w:r>
          </w:p>
          <w:p w14:paraId="131E7C2E">
            <w:pPr>
              <w:spacing w:line="200" w:lineRule="exact"/>
            </w:pPr>
            <w:r>
              <w:rPr>
                <w:rFonts w:ascii="方正黑体_GBK" w:eastAsia="方正黑体_GBK" w:cs="宋体"/>
                <w:sz w:val="18"/>
                <w:szCs w:val="18"/>
              </w:rPr>
              <w:t>E5份额：业绩比较基准为年化2.65%-2.9% 。</w:t>
            </w:r>
          </w:p>
          <w:p w14:paraId="5BD8D95C">
            <w:pPr>
              <w:spacing w:line="200" w:lineRule="exact"/>
              <w:jc w:val="left"/>
            </w:pPr>
            <w:r>
              <w:rPr>
                <w:rFonts w:asci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5CDB2877">
            <w:pPr>
              <w:spacing w:line="200" w:lineRule="exact"/>
              <w:jc w:val="left"/>
            </w:pPr>
            <w:r>
              <w:rPr>
                <w:rFonts w:ascii="方正黑体_GBK" w:eastAsia="方正黑体_GBK" w:cs="宋体"/>
                <w:sz w:val="18"/>
                <w:szCs w:val="18"/>
              </w:rPr>
              <w:t>注：管理人可根据市场情况对业绩比较基准进行适当调整，如有调整，将至少于调整前3个工作日公布调整方案。</w:t>
            </w:r>
          </w:p>
          <w:p w14:paraId="51F283F6">
            <w:pPr>
              <w:spacing w:line="200" w:lineRule="exact"/>
            </w:pPr>
            <w:r>
              <w:rPr>
                <w:rFonts w:ascii="方正黑体_GBK" w:eastAsia="方正黑体_GBK" w:cs="宋体"/>
                <w:b/>
                <w:sz w:val="18"/>
                <w:szCs w:val="18"/>
              </w:rPr>
              <w:t>本理财产品为净值型理财产品，业绩比较基准不是预期收益率，不代表产品的未来表现和实际收益，不构成对产品收益的承诺。</w:t>
            </w:r>
          </w:p>
        </w:tc>
      </w:tr>
      <w:tr w14:paraId="084381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A373A7">
            <w:pPr>
              <w:keepNext w:val="0"/>
              <w:keepLines w:val="0"/>
              <w:pageBreakBefore w:val="0"/>
              <w:widowControl/>
              <w:suppressLineNumbers w:val="0"/>
              <w:suppressAutoHyphens w:val="0"/>
              <w:spacing w:line="200" w:lineRule="exact"/>
              <w:jc w:val="left"/>
              <w:rPr>
                <w:rFonts w:ascii="方正黑体_GBK" w:eastAsia="方正黑体_GBK" w:cs="Times New Roman"/>
                <w:bCs/>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产品</w:t>
            </w:r>
            <w:r>
              <w:rPr>
                <w:rFonts w:hint="eastAsia" w:asci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ADCBFC2">
            <w:pPr>
              <w:spacing w:line="200" w:lineRule="exact"/>
            </w:pPr>
            <w:r>
              <w:rPr>
                <w:rFonts w:ascii="方正黑体_GBK" w:eastAsia="方正黑体_GBK" w:cs="宋体"/>
                <w:b/>
                <w:sz w:val="18"/>
                <w:szCs w:val="18"/>
              </w:rPr>
              <w:t>认/申购费：本理财产品暂不收取认/申购费。</w:t>
            </w:r>
          </w:p>
          <w:p w14:paraId="6ACFAB00">
            <w:pPr>
              <w:spacing w:line="200" w:lineRule="exact"/>
            </w:pPr>
            <w:r>
              <w:rPr>
                <w:rFonts w:ascii="方正黑体_GBK" w:eastAsia="方正黑体_GBK" w:cs="宋体"/>
                <w:b/>
                <w:sz w:val="18"/>
                <w:szCs w:val="18"/>
              </w:rPr>
              <w:t>赎回费：本理财产品暂不收取赎回费。</w:t>
            </w:r>
          </w:p>
          <w:p w14:paraId="5AC1B57E">
            <w:pPr>
              <w:spacing w:line="200" w:lineRule="exact"/>
            </w:pPr>
            <w:r>
              <w:rPr>
                <w:rFonts w:ascii="方正黑体_GBK" w:eastAsia="方正黑体_GBK" w:cs="宋体"/>
                <w:b/>
                <w:sz w:val="18"/>
                <w:szCs w:val="18"/>
              </w:rPr>
              <w:t>销售费：本理财产品按前一日理财产品资产净值收取销售费，按日计提。</w:t>
            </w:r>
          </w:p>
          <w:p w14:paraId="661B681B">
            <w:pPr>
              <w:spacing w:line="200" w:lineRule="exact"/>
            </w:pPr>
            <w:r>
              <w:rPr>
                <w:rFonts w:ascii="方正黑体_GBK" w:eastAsia="方正黑体_GBK" w:cs="宋体"/>
                <w:b/>
                <w:sz w:val="18"/>
                <w:szCs w:val="18"/>
              </w:rPr>
              <w:t>A份额：销售费年化0.2%</w:t>
            </w:r>
          </w:p>
          <w:p w14:paraId="54C44CDC">
            <w:pPr>
              <w:spacing w:line="200" w:lineRule="exact"/>
            </w:pPr>
            <w:r>
              <w:rPr>
                <w:rFonts w:ascii="方正黑体_GBK" w:eastAsia="方正黑体_GBK" w:cs="宋体"/>
                <w:b/>
                <w:sz w:val="18"/>
                <w:szCs w:val="18"/>
              </w:rPr>
              <w:t>F份额：销售费年化0.15%</w:t>
            </w:r>
          </w:p>
          <w:p w14:paraId="580C606B">
            <w:pPr>
              <w:spacing w:line="200" w:lineRule="exact"/>
            </w:pPr>
            <w:r>
              <w:rPr>
                <w:rFonts w:ascii="方正黑体_GBK" w:eastAsia="方正黑体_GBK" w:cs="宋体"/>
                <w:b/>
                <w:sz w:val="18"/>
                <w:szCs w:val="18"/>
              </w:rPr>
              <w:t>A2份额：销售费年化0.2%</w:t>
            </w:r>
          </w:p>
          <w:p w14:paraId="3DDC0D61">
            <w:pPr>
              <w:spacing w:line="200" w:lineRule="exact"/>
            </w:pPr>
            <w:r>
              <w:rPr>
                <w:rFonts w:ascii="方正黑体_GBK" w:eastAsia="方正黑体_GBK" w:cs="宋体"/>
                <w:b/>
                <w:sz w:val="18"/>
                <w:szCs w:val="18"/>
              </w:rPr>
              <w:t>A3份额：销售费年化0.2%</w:t>
            </w:r>
          </w:p>
          <w:p w14:paraId="37C4292C">
            <w:pPr>
              <w:spacing w:line="200" w:lineRule="exact"/>
            </w:pPr>
            <w:r>
              <w:rPr>
                <w:rFonts w:ascii="方正黑体_GBK" w:eastAsia="方正黑体_GBK" w:cs="宋体"/>
                <w:b/>
                <w:sz w:val="18"/>
                <w:szCs w:val="18"/>
              </w:rPr>
              <w:t>B4份额：销售费年化0.2%</w:t>
            </w:r>
          </w:p>
          <w:p w14:paraId="0777A814">
            <w:pPr>
              <w:spacing w:line="200" w:lineRule="exact"/>
            </w:pPr>
            <w:r>
              <w:rPr>
                <w:rFonts w:ascii="方正黑体_GBK" w:eastAsia="方正黑体_GBK" w:cs="宋体"/>
                <w:b/>
                <w:sz w:val="18"/>
                <w:szCs w:val="18"/>
              </w:rPr>
              <w:t>C4份额：销售费年化0.15%</w:t>
            </w:r>
          </w:p>
          <w:p w14:paraId="7365BD54">
            <w:pPr>
              <w:spacing w:line="200" w:lineRule="exact"/>
            </w:pPr>
            <w:r>
              <w:rPr>
                <w:rFonts w:ascii="方正黑体_GBK" w:eastAsia="方正黑体_GBK" w:cs="宋体"/>
                <w:b/>
                <w:sz w:val="18"/>
                <w:szCs w:val="18"/>
              </w:rPr>
              <w:t>D4份额：销售费年化0.15%</w:t>
            </w:r>
          </w:p>
          <w:p w14:paraId="0628F629">
            <w:pPr>
              <w:spacing w:line="200" w:lineRule="exact"/>
            </w:pPr>
            <w:r>
              <w:rPr>
                <w:rFonts w:ascii="方正黑体_GBK" w:eastAsia="方正黑体_GBK" w:cs="宋体"/>
                <w:b/>
                <w:sz w:val="18"/>
                <w:szCs w:val="18"/>
              </w:rPr>
              <w:t>E4份额：销售费年化0.05%</w:t>
            </w:r>
          </w:p>
          <w:p w14:paraId="397D4105">
            <w:pPr>
              <w:spacing w:line="200" w:lineRule="exact"/>
            </w:pPr>
            <w:r>
              <w:rPr>
                <w:rFonts w:ascii="方正黑体_GBK" w:eastAsia="方正黑体_GBK" w:cs="宋体"/>
                <w:b/>
                <w:sz w:val="18"/>
                <w:szCs w:val="18"/>
              </w:rPr>
              <w:t>F2份额：销售费年化0.15%</w:t>
            </w:r>
          </w:p>
          <w:p w14:paraId="71ABFD3F">
            <w:pPr>
              <w:spacing w:line="200" w:lineRule="exact"/>
            </w:pPr>
            <w:r>
              <w:rPr>
                <w:rFonts w:ascii="方正黑体_GBK" w:eastAsia="方正黑体_GBK" w:cs="宋体"/>
                <w:b/>
                <w:sz w:val="18"/>
                <w:szCs w:val="18"/>
              </w:rPr>
              <w:t>F3份额：销售费年化0.15%</w:t>
            </w:r>
          </w:p>
          <w:p w14:paraId="62553672">
            <w:pPr>
              <w:spacing w:line="200" w:lineRule="exact"/>
            </w:pPr>
            <w:r>
              <w:rPr>
                <w:rFonts w:ascii="方正黑体_GBK" w:eastAsia="方正黑体_GBK" w:cs="宋体"/>
                <w:b/>
                <w:sz w:val="18"/>
                <w:szCs w:val="18"/>
              </w:rPr>
              <w:t>G3份额：销售费年化0.1%</w:t>
            </w:r>
          </w:p>
          <w:p w14:paraId="08978450">
            <w:pPr>
              <w:spacing w:line="200" w:lineRule="exact"/>
            </w:pPr>
            <w:r>
              <w:rPr>
                <w:rFonts w:ascii="方正黑体_GBK" w:eastAsia="方正黑体_GBK" w:cs="宋体"/>
                <w:b/>
                <w:sz w:val="18"/>
                <w:szCs w:val="18"/>
              </w:rPr>
              <w:t>G4份额：销售费年化0.1%</w:t>
            </w:r>
          </w:p>
          <w:p w14:paraId="72B2183E">
            <w:pPr>
              <w:spacing w:line="200" w:lineRule="exact"/>
            </w:pPr>
            <w:r>
              <w:rPr>
                <w:rFonts w:ascii="方正黑体_GBK" w:eastAsia="方正黑体_GBK" w:cs="宋体"/>
                <w:b/>
                <w:sz w:val="18"/>
                <w:szCs w:val="18"/>
              </w:rPr>
              <w:t>J2份额：销售费年化0.25%</w:t>
            </w:r>
          </w:p>
          <w:p w14:paraId="6D281D2B">
            <w:pPr>
              <w:spacing w:line="200" w:lineRule="exact"/>
            </w:pPr>
            <w:r>
              <w:rPr>
                <w:rFonts w:ascii="方正黑体_GBK" w:eastAsia="方正黑体_GBK" w:cs="宋体"/>
                <w:b/>
                <w:sz w:val="18"/>
                <w:szCs w:val="18"/>
              </w:rPr>
              <w:t>L2份额：销售费年化0.15%</w:t>
            </w:r>
          </w:p>
          <w:p w14:paraId="48CC8950">
            <w:pPr>
              <w:spacing w:line="200" w:lineRule="exact"/>
            </w:pPr>
            <w:r>
              <w:rPr>
                <w:rFonts w:ascii="方正黑体_GBK" w:eastAsia="方正黑体_GBK" w:cs="宋体"/>
                <w:b/>
                <w:sz w:val="18"/>
                <w:szCs w:val="18"/>
              </w:rPr>
              <w:t>J3份额：销售费年化0.25%</w:t>
            </w:r>
          </w:p>
          <w:p w14:paraId="3AA71F4D">
            <w:pPr>
              <w:spacing w:line="200" w:lineRule="exact"/>
            </w:pPr>
            <w:r>
              <w:rPr>
                <w:rFonts w:ascii="方正黑体_GBK" w:eastAsia="方正黑体_GBK" w:cs="宋体"/>
                <w:b/>
                <w:sz w:val="18"/>
                <w:szCs w:val="18"/>
              </w:rPr>
              <w:t>L3份额：销售费年化0.15%</w:t>
            </w:r>
          </w:p>
          <w:p w14:paraId="4B0202A1">
            <w:pPr>
              <w:spacing w:line="200" w:lineRule="exact"/>
            </w:pPr>
            <w:r>
              <w:rPr>
                <w:rFonts w:ascii="方正黑体_GBK" w:eastAsia="方正黑体_GBK" w:cs="宋体"/>
                <w:b/>
                <w:sz w:val="18"/>
                <w:szCs w:val="18"/>
              </w:rPr>
              <w:t>M2份额：销售费年化0.2%</w:t>
            </w:r>
          </w:p>
          <w:p w14:paraId="12C0CB78">
            <w:pPr>
              <w:spacing w:line="200" w:lineRule="exact"/>
            </w:pPr>
            <w:r>
              <w:rPr>
                <w:rFonts w:ascii="方正黑体_GBK" w:eastAsia="方正黑体_GBK" w:cs="宋体"/>
                <w:b/>
                <w:sz w:val="18"/>
                <w:szCs w:val="18"/>
              </w:rPr>
              <w:t>M3份额：销售费年化0.2%</w:t>
            </w:r>
          </w:p>
          <w:p w14:paraId="6D34C7F1">
            <w:pPr>
              <w:spacing w:line="200" w:lineRule="exact"/>
            </w:pPr>
            <w:r>
              <w:rPr>
                <w:rFonts w:ascii="方正黑体_GBK" w:eastAsia="方正黑体_GBK" w:cs="宋体"/>
                <w:b/>
                <w:sz w:val="18"/>
                <w:szCs w:val="18"/>
              </w:rPr>
              <w:t>O2份额：销售费年化0.2%</w:t>
            </w:r>
          </w:p>
          <w:p w14:paraId="05D2A96B">
            <w:pPr>
              <w:spacing w:line="200" w:lineRule="exact"/>
            </w:pPr>
            <w:r>
              <w:rPr>
                <w:rFonts w:ascii="方正黑体_GBK" w:eastAsia="方正黑体_GBK" w:cs="宋体"/>
                <w:b/>
                <w:sz w:val="18"/>
                <w:szCs w:val="18"/>
              </w:rPr>
              <w:t>O3份额：销售费年化0.2%</w:t>
            </w:r>
          </w:p>
          <w:p w14:paraId="382B9199">
            <w:pPr>
              <w:spacing w:line="200" w:lineRule="exact"/>
            </w:pPr>
            <w:r>
              <w:rPr>
                <w:rFonts w:ascii="方正黑体_GBK" w:eastAsia="方正黑体_GBK" w:cs="宋体"/>
                <w:b/>
                <w:sz w:val="18"/>
                <w:szCs w:val="18"/>
              </w:rPr>
              <w:t>Q1份额：销售费年化0.2%</w:t>
            </w:r>
          </w:p>
          <w:p w14:paraId="112DD57C">
            <w:pPr>
              <w:spacing w:line="200" w:lineRule="exact"/>
            </w:pPr>
            <w:r>
              <w:rPr>
                <w:rFonts w:ascii="方正黑体_GBK" w:eastAsia="方正黑体_GBK" w:cs="宋体"/>
                <w:b/>
                <w:sz w:val="18"/>
                <w:szCs w:val="18"/>
              </w:rPr>
              <w:t>R1份额：销售费年化0.05%</w:t>
            </w:r>
          </w:p>
          <w:p w14:paraId="7FDCE553">
            <w:pPr>
              <w:spacing w:line="200" w:lineRule="exact"/>
            </w:pPr>
            <w:r>
              <w:rPr>
                <w:rFonts w:ascii="方正黑体_GBK" w:eastAsia="方正黑体_GBK" w:cs="宋体"/>
                <w:b/>
                <w:sz w:val="18"/>
                <w:szCs w:val="18"/>
              </w:rPr>
              <w:t>Q2份额：销售费年化0.2%</w:t>
            </w:r>
          </w:p>
          <w:p w14:paraId="45442681">
            <w:pPr>
              <w:spacing w:line="200" w:lineRule="exact"/>
            </w:pPr>
            <w:r>
              <w:rPr>
                <w:rFonts w:ascii="方正黑体_GBK" w:eastAsia="方正黑体_GBK" w:cs="宋体"/>
                <w:b/>
                <w:sz w:val="18"/>
                <w:szCs w:val="18"/>
              </w:rPr>
              <w:t>R2份额：销售费年化0.05%</w:t>
            </w:r>
          </w:p>
          <w:p w14:paraId="51C90017">
            <w:pPr>
              <w:spacing w:line="200" w:lineRule="exact"/>
            </w:pPr>
            <w:r>
              <w:rPr>
                <w:rFonts w:ascii="方正黑体_GBK" w:eastAsia="方正黑体_GBK" w:cs="宋体"/>
                <w:b/>
                <w:sz w:val="18"/>
                <w:szCs w:val="18"/>
              </w:rPr>
              <w:t>Q3份额：销售费年化0.2%</w:t>
            </w:r>
          </w:p>
          <w:p w14:paraId="691977EE">
            <w:pPr>
              <w:spacing w:line="200" w:lineRule="exact"/>
            </w:pPr>
            <w:r>
              <w:rPr>
                <w:rFonts w:ascii="方正黑体_GBK" w:eastAsia="方正黑体_GBK" w:cs="宋体"/>
                <w:b/>
                <w:sz w:val="18"/>
                <w:szCs w:val="18"/>
              </w:rPr>
              <w:t>R3份额：销售费年化0.05%</w:t>
            </w:r>
          </w:p>
          <w:p w14:paraId="3EC6EC8F">
            <w:pPr>
              <w:spacing w:line="200" w:lineRule="exact"/>
            </w:pPr>
            <w:r>
              <w:rPr>
                <w:rFonts w:ascii="方正黑体_GBK" w:eastAsia="方正黑体_GBK" w:cs="宋体"/>
                <w:b/>
                <w:sz w:val="18"/>
                <w:szCs w:val="18"/>
              </w:rPr>
              <w:t>B1份额：销售费年化0.2%</w:t>
            </w:r>
          </w:p>
          <w:p w14:paraId="04D3E2D6">
            <w:pPr>
              <w:spacing w:line="200" w:lineRule="exact"/>
            </w:pPr>
            <w:r>
              <w:rPr>
                <w:rFonts w:ascii="方正黑体_GBK" w:eastAsia="方正黑体_GBK" w:cs="宋体"/>
                <w:b/>
                <w:sz w:val="18"/>
                <w:szCs w:val="18"/>
              </w:rPr>
              <w:t>C1份额：销售费年化0.15%</w:t>
            </w:r>
          </w:p>
          <w:p w14:paraId="19CEBFDC">
            <w:pPr>
              <w:spacing w:line="200" w:lineRule="exact"/>
            </w:pPr>
            <w:r>
              <w:rPr>
                <w:rFonts w:ascii="方正黑体_GBK" w:eastAsia="方正黑体_GBK" w:cs="宋体"/>
                <w:b/>
                <w:sz w:val="18"/>
                <w:szCs w:val="18"/>
              </w:rPr>
              <w:t>D1份额：销售费年化0.15%</w:t>
            </w:r>
          </w:p>
          <w:p w14:paraId="688A918A">
            <w:pPr>
              <w:spacing w:line="200" w:lineRule="exact"/>
            </w:pPr>
            <w:r>
              <w:rPr>
                <w:rFonts w:ascii="方正黑体_GBK" w:eastAsia="方正黑体_GBK" w:cs="宋体"/>
                <w:b/>
                <w:sz w:val="18"/>
                <w:szCs w:val="18"/>
              </w:rPr>
              <w:t>E1份额：销售费年化0.05%</w:t>
            </w:r>
          </w:p>
          <w:p w14:paraId="7F59E40E">
            <w:pPr>
              <w:spacing w:line="200" w:lineRule="exact"/>
            </w:pPr>
            <w:r>
              <w:rPr>
                <w:rFonts w:ascii="方正黑体_GBK" w:eastAsia="方正黑体_GBK" w:cs="宋体"/>
                <w:b/>
                <w:sz w:val="18"/>
                <w:szCs w:val="18"/>
              </w:rPr>
              <w:t>G1份额：销售费年化0.1%</w:t>
            </w:r>
          </w:p>
          <w:p w14:paraId="1F8053CF">
            <w:pPr>
              <w:spacing w:line="200" w:lineRule="exact"/>
            </w:pPr>
            <w:r>
              <w:rPr>
                <w:rFonts w:ascii="方正黑体_GBK" w:eastAsia="方正黑体_GBK" w:cs="宋体"/>
                <w:b/>
                <w:sz w:val="18"/>
                <w:szCs w:val="18"/>
              </w:rPr>
              <w:t>I1份额：销售费年化0.15%</w:t>
            </w:r>
          </w:p>
          <w:p w14:paraId="788EAF3B">
            <w:pPr>
              <w:spacing w:line="200" w:lineRule="exact"/>
            </w:pPr>
            <w:r>
              <w:rPr>
                <w:rFonts w:ascii="方正黑体_GBK" w:eastAsia="方正黑体_GBK" w:cs="宋体"/>
                <w:b/>
                <w:sz w:val="18"/>
                <w:szCs w:val="18"/>
              </w:rPr>
              <w:t>J1份额：销售费年化0.25%</w:t>
            </w:r>
          </w:p>
          <w:p w14:paraId="0BF6923F">
            <w:pPr>
              <w:spacing w:line="200" w:lineRule="exact"/>
            </w:pPr>
            <w:r>
              <w:rPr>
                <w:rFonts w:ascii="方正黑体_GBK" w:eastAsia="方正黑体_GBK" w:cs="宋体"/>
                <w:b/>
                <w:sz w:val="18"/>
                <w:szCs w:val="18"/>
              </w:rPr>
              <w:t>L1份额：销售费年化0.15%</w:t>
            </w:r>
          </w:p>
          <w:p w14:paraId="22053261">
            <w:pPr>
              <w:spacing w:line="200" w:lineRule="exact"/>
            </w:pPr>
            <w:r>
              <w:rPr>
                <w:rFonts w:ascii="方正黑体_GBK" w:eastAsia="方正黑体_GBK" w:cs="宋体"/>
                <w:b/>
                <w:sz w:val="18"/>
                <w:szCs w:val="18"/>
              </w:rPr>
              <w:t>M1份额：销售费年化0.2%</w:t>
            </w:r>
          </w:p>
          <w:p w14:paraId="0783B6FA">
            <w:pPr>
              <w:spacing w:line="200" w:lineRule="exact"/>
            </w:pPr>
            <w:r>
              <w:rPr>
                <w:rFonts w:ascii="方正黑体_GBK" w:eastAsia="方正黑体_GBK" w:cs="宋体"/>
                <w:b/>
                <w:sz w:val="18"/>
                <w:szCs w:val="18"/>
              </w:rPr>
              <w:t>N1份额：销售费年化0.05%</w:t>
            </w:r>
          </w:p>
          <w:p w14:paraId="04B766E4">
            <w:pPr>
              <w:spacing w:line="200" w:lineRule="exact"/>
            </w:pPr>
            <w:r>
              <w:rPr>
                <w:rFonts w:ascii="方正黑体_GBK" w:eastAsia="方正黑体_GBK" w:cs="宋体"/>
                <w:b/>
                <w:sz w:val="18"/>
                <w:szCs w:val="18"/>
              </w:rPr>
              <w:t>O1份额：销售费年化0.2%</w:t>
            </w:r>
          </w:p>
          <w:p w14:paraId="691C6B17">
            <w:pPr>
              <w:spacing w:line="200" w:lineRule="exact"/>
            </w:pPr>
            <w:r>
              <w:rPr>
                <w:rFonts w:ascii="方正黑体_GBK" w:eastAsia="方正黑体_GBK" w:cs="宋体"/>
                <w:b/>
                <w:sz w:val="18"/>
                <w:szCs w:val="18"/>
              </w:rPr>
              <w:t>S1份额：销售费年化0.1%</w:t>
            </w:r>
          </w:p>
          <w:p w14:paraId="61F407B6">
            <w:pPr>
              <w:spacing w:line="200" w:lineRule="exact"/>
            </w:pPr>
            <w:r>
              <w:rPr>
                <w:rFonts w:ascii="方正黑体_GBK" w:eastAsia="方正黑体_GBK" w:cs="宋体"/>
                <w:b/>
                <w:sz w:val="18"/>
                <w:szCs w:val="18"/>
              </w:rPr>
              <w:t>S2份额：销售费年化0.1%</w:t>
            </w:r>
          </w:p>
          <w:p w14:paraId="1CBE1ED3">
            <w:pPr>
              <w:spacing w:line="200" w:lineRule="exact"/>
            </w:pPr>
            <w:r>
              <w:rPr>
                <w:rFonts w:ascii="方正黑体_GBK" w:eastAsia="方正黑体_GBK" w:cs="宋体"/>
                <w:b/>
                <w:sz w:val="18"/>
                <w:szCs w:val="18"/>
              </w:rPr>
              <w:t>S3份额：销售费年化0.1%</w:t>
            </w:r>
          </w:p>
          <w:p w14:paraId="1D340C75">
            <w:pPr>
              <w:spacing w:line="200" w:lineRule="exact"/>
            </w:pPr>
            <w:r>
              <w:rPr>
                <w:rFonts w:ascii="方正黑体_GBK" w:eastAsia="方正黑体_GBK" w:cs="宋体"/>
                <w:b/>
                <w:sz w:val="18"/>
                <w:szCs w:val="18"/>
              </w:rPr>
              <w:t>T1份额：销售费年化0.1%</w:t>
            </w:r>
          </w:p>
          <w:p w14:paraId="55374921">
            <w:pPr>
              <w:spacing w:line="200" w:lineRule="exact"/>
            </w:pPr>
            <w:r>
              <w:rPr>
                <w:rFonts w:ascii="方正黑体_GBK" w:eastAsia="方正黑体_GBK" w:cs="宋体"/>
                <w:b/>
                <w:sz w:val="18"/>
                <w:szCs w:val="18"/>
              </w:rPr>
              <w:t>T2份额：销售费年化0.1%</w:t>
            </w:r>
          </w:p>
          <w:p w14:paraId="29AA488D">
            <w:pPr>
              <w:spacing w:line="200" w:lineRule="exact"/>
            </w:pPr>
            <w:r>
              <w:rPr>
                <w:rFonts w:ascii="方正黑体_GBK" w:eastAsia="方正黑体_GBK" w:cs="宋体"/>
                <w:b/>
                <w:sz w:val="18"/>
                <w:szCs w:val="18"/>
              </w:rPr>
              <w:t>T3份额：销售费年化0.1%</w:t>
            </w:r>
          </w:p>
          <w:p w14:paraId="30305DF2">
            <w:pPr>
              <w:spacing w:line="200" w:lineRule="exact"/>
            </w:pPr>
            <w:r>
              <w:rPr>
                <w:rFonts w:ascii="方正黑体_GBK" w:eastAsia="方正黑体_GBK" w:cs="宋体"/>
                <w:b/>
                <w:sz w:val="18"/>
                <w:szCs w:val="18"/>
              </w:rPr>
              <w:t>B5份额：销售费年化0.2%</w:t>
            </w:r>
          </w:p>
          <w:p w14:paraId="285F0D1F">
            <w:pPr>
              <w:spacing w:line="200" w:lineRule="exact"/>
            </w:pPr>
            <w:r>
              <w:rPr>
                <w:rFonts w:ascii="方正黑体_GBK" w:eastAsia="方正黑体_GBK" w:cs="宋体"/>
                <w:b/>
                <w:sz w:val="18"/>
                <w:szCs w:val="18"/>
              </w:rPr>
              <w:t>C5份额：销售费年化0.15%</w:t>
            </w:r>
          </w:p>
          <w:p w14:paraId="00D89953">
            <w:pPr>
              <w:spacing w:line="200" w:lineRule="exact"/>
            </w:pPr>
            <w:r>
              <w:rPr>
                <w:rFonts w:ascii="方正黑体_GBK" w:eastAsia="方正黑体_GBK" w:cs="宋体"/>
                <w:b/>
                <w:sz w:val="18"/>
                <w:szCs w:val="18"/>
              </w:rPr>
              <w:t>D5份额：销售费年化0.15%</w:t>
            </w:r>
          </w:p>
          <w:p w14:paraId="5F1ADE61">
            <w:pPr>
              <w:spacing w:line="200" w:lineRule="exact"/>
            </w:pPr>
            <w:r>
              <w:rPr>
                <w:rFonts w:ascii="方正黑体_GBK" w:eastAsia="方正黑体_GBK" w:cs="宋体"/>
                <w:b/>
                <w:sz w:val="18"/>
                <w:szCs w:val="18"/>
              </w:rPr>
              <w:t>E5份额：销售费年化0.05%</w:t>
            </w:r>
          </w:p>
          <w:p w14:paraId="03CBB6C8">
            <w:pPr>
              <w:spacing w:line="200" w:lineRule="exact"/>
            </w:pPr>
            <w:r>
              <w:rPr>
                <w:rFonts w:ascii="方正黑体_GBK" w:eastAsia="方正黑体_GBK" w:cs="宋体"/>
                <w:b/>
                <w:sz w:val="18"/>
                <w:szCs w:val="18"/>
              </w:rPr>
              <w:t>每日计提的销售费=前一日理财产品资产净值×年化销售费率÷365</w:t>
            </w:r>
          </w:p>
          <w:p w14:paraId="0C876CD2">
            <w:pPr>
              <w:spacing w:line="200" w:lineRule="exact"/>
            </w:pPr>
            <w:r>
              <w:rPr>
                <w:rFonts w:ascii="方正黑体_GBK" w:eastAsia="方正黑体_GBK" w:cs="宋体"/>
                <w:b/>
                <w:sz w:val="18"/>
                <w:szCs w:val="18"/>
              </w:rPr>
              <w:t>固定管理费：本理财产品按前一日理财产品资产净值收取固定管理费，按日计提。</w:t>
            </w:r>
          </w:p>
          <w:p w14:paraId="58D659AD">
            <w:pPr>
              <w:spacing w:line="200" w:lineRule="exact"/>
            </w:pPr>
            <w:r>
              <w:rPr>
                <w:rFonts w:ascii="方正黑体_GBK" w:eastAsia="方正黑体_GBK" w:cs="宋体"/>
                <w:b/>
                <w:sz w:val="18"/>
                <w:szCs w:val="18"/>
              </w:rPr>
              <w:t>A份额：固定管理费年化0.2%</w:t>
            </w:r>
          </w:p>
          <w:p w14:paraId="63651A0C">
            <w:pPr>
              <w:spacing w:line="200" w:lineRule="exact"/>
            </w:pPr>
            <w:r>
              <w:rPr>
                <w:rFonts w:ascii="方正黑体_GBK" w:eastAsia="方正黑体_GBK" w:cs="宋体"/>
                <w:b/>
                <w:sz w:val="18"/>
                <w:szCs w:val="18"/>
              </w:rPr>
              <w:t>F份额：固定管理费年化0.15%</w:t>
            </w:r>
          </w:p>
          <w:p w14:paraId="0C8A2D61">
            <w:pPr>
              <w:spacing w:line="200" w:lineRule="exact"/>
            </w:pPr>
            <w:r>
              <w:rPr>
                <w:rFonts w:ascii="方正黑体_GBK" w:eastAsia="方正黑体_GBK" w:cs="宋体"/>
                <w:b/>
                <w:sz w:val="18"/>
                <w:szCs w:val="18"/>
              </w:rPr>
              <w:t>A2份额：固定管理费年化0.2%</w:t>
            </w:r>
          </w:p>
          <w:p w14:paraId="1037E01B">
            <w:pPr>
              <w:spacing w:line="200" w:lineRule="exact"/>
            </w:pPr>
            <w:r>
              <w:rPr>
                <w:rFonts w:ascii="方正黑体_GBK" w:eastAsia="方正黑体_GBK" w:cs="宋体"/>
                <w:b/>
                <w:sz w:val="18"/>
                <w:szCs w:val="18"/>
              </w:rPr>
              <w:t>A3份额：固定管理费年化0.2%</w:t>
            </w:r>
          </w:p>
          <w:p w14:paraId="749EE9C9">
            <w:pPr>
              <w:spacing w:line="200" w:lineRule="exact"/>
            </w:pPr>
            <w:r>
              <w:rPr>
                <w:rFonts w:ascii="方正黑体_GBK" w:eastAsia="方正黑体_GBK" w:cs="宋体"/>
                <w:b/>
                <w:sz w:val="18"/>
                <w:szCs w:val="18"/>
              </w:rPr>
              <w:t>B4份额：固定管理费年化0.2%</w:t>
            </w:r>
          </w:p>
          <w:p w14:paraId="206D09B9">
            <w:pPr>
              <w:spacing w:line="200" w:lineRule="exact"/>
            </w:pPr>
            <w:r>
              <w:rPr>
                <w:rFonts w:ascii="方正黑体_GBK" w:eastAsia="方正黑体_GBK" w:cs="宋体"/>
                <w:b/>
                <w:sz w:val="18"/>
                <w:szCs w:val="18"/>
              </w:rPr>
              <w:t>C4份额：固定管理费年化0.2%</w:t>
            </w:r>
          </w:p>
          <w:p w14:paraId="0B5A94E5">
            <w:pPr>
              <w:spacing w:line="200" w:lineRule="exact"/>
            </w:pPr>
            <w:r>
              <w:rPr>
                <w:rFonts w:ascii="方正黑体_GBK" w:eastAsia="方正黑体_GBK" w:cs="宋体"/>
                <w:b/>
                <w:sz w:val="18"/>
                <w:szCs w:val="18"/>
              </w:rPr>
              <w:t>D4份额：固定管理费年化0.15%</w:t>
            </w:r>
          </w:p>
          <w:p w14:paraId="6C025030">
            <w:pPr>
              <w:spacing w:line="200" w:lineRule="exact"/>
            </w:pPr>
            <w:r>
              <w:rPr>
                <w:rFonts w:ascii="方正黑体_GBK" w:eastAsia="方正黑体_GBK" w:cs="宋体"/>
                <w:b/>
                <w:sz w:val="18"/>
                <w:szCs w:val="18"/>
              </w:rPr>
              <w:t>E4份额：固定管理费年化0.15%</w:t>
            </w:r>
          </w:p>
          <w:p w14:paraId="2D882032">
            <w:pPr>
              <w:spacing w:line="200" w:lineRule="exact"/>
            </w:pPr>
            <w:r>
              <w:rPr>
                <w:rFonts w:ascii="方正黑体_GBK" w:eastAsia="方正黑体_GBK" w:cs="宋体"/>
                <w:b/>
                <w:sz w:val="18"/>
                <w:szCs w:val="18"/>
              </w:rPr>
              <w:t>F2份额：固定管理费年化0.15%</w:t>
            </w:r>
          </w:p>
          <w:p w14:paraId="069D234D">
            <w:pPr>
              <w:spacing w:line="200" w:lineRule="exact"/>
            </w:pPr>
            <w:r>
              <w:rPr>
                <w:rFonts w:ascii="方正黑体_GBK" w:eastAsia="方正黑体_GBK" w:cs="宋体"/>
                <w:b/>
                <w:sz w:val="18"/>
                <w:szCs w:val="18"/>
              </w:rPr>
              <w:t>F3份额：固定管理费年化0.15%</w:t>
            </w:r>
          </w:p>
          <w:p w14:paraId="4D68B568">
            <w:pPr>
              <w:spacing w:line="200" w:lineRule="exact"/>
            </w:pPr>
            <w:r>
              <w:rPr>
                <w:rFonts w:ascii="方正黑体_GBK" w:eastAsia="方正黑体_GBK" w:cs="宋体"/>
                <w:b/>
                <w:sz w:val="18"/>
                <w:szCs w:val="18"/>
              </w:rPr>
              <w:t>G3份额：固定管理费年化0.15%</w:t>
            </w:r>
          </w:p>
          <w:p w14:paraId="3D53E711">
            <w:pPr>
              <w:spacing w:line="200" w:lineRule="exact"/>
            </w:pPr>
            <w:r>
              <w:rPr>
                <w:rFonts w:ascii="方正黑体_GBK" w:eastAsia="方正黑体_GBK" w:cs="宋体"/>
                <w:b/>
                <w:sz w:val="18"/>
                <w:szCs w:val="18"/>
              </w:rPr>
              <w:t>G4份额：固定管理费年化0.15%</w:t>
            </w:r>
          </w:p>
          <w:p w14:paraId="394305F4">
            <w:pPr>
              <w:spacing w:line="200" w:lineRule="exact"/>
            </w:pPr>
            <w:r>
              <w:rPr>
                <w:rFonts w:ascii="方正黑体_GBK" w:eastAsia="方正黑体_GBK" w:cs="宋体"/>
                <w:b/>
                <w:sz w:val="18"/>
                <w:szCs w:val="18"/>
              </w:rPr>
              <w:t>J2份额：固定管理费年化0.1%</w:t>
            </w:r>
          </w:p>
          <w:p w14:paraId="11227AC9">
            <w:pPr>
              <w:spacing w:line="200" w:lineRule="exact"/>
            </w:pPr>
            <w:r>
              <w:rPr>
                <w:rFonts w:ascii="方正黑体_GBK" w:eastAsia="方正黑体_GBK" w:cs="宋体"/>
                <w:b/>
                <w:sz w:val="18"/>
                <w:szCs w:val="18"/>
              </w:rPr>
              <w:t>L2份额：固定管理费年化0.1%</w:t>
            </w:r>
          </w:p>
          <w:p w14:paraId="01CB3A3A">
            <w:pPr>
              <w:spacing w:line="200" w:lineRule="exact"/>
            </w:pPr>
            <w:r>
              <w:rPr>
                <w:rFonts w:ascii="方正黑体_GBK" w:eastAsia="方正黑体_GBK" w:cs="宋体"/>
                <w:b/>
                <w:sz w:val="18"/>
                <w:szCs w:val="18"/>
              </w:rPr>
              <w:t>J3份额：固定管理费年化0.1%</w:t>
            </w:r>
          </w:p>
          <w:p w14:paraId="189C7492">
            <w:pPr>
              <w:spacing w:line="200" w:lineRule="exact"/>
            </w:pPr>
            <w:r>
              <w:rPr>
                <w:rFonts w:ascii="方正黑体_GBK" w:eastAsia="方正黑体_GBK" w:cs="宋体"/>
                <w:b/>
                <w:sz w:val="18"/>
                <w:szCs w:val="18"/>
              </w:rPr>
              <w:t>L3份额：固定管理费年化0.1%</w:t>
            </w:r>
          </w:p>
          <w:p w14:paraId="6704ACC6">
            <w:pPr>
              <w:spacing w:line="200" w:lineRule="exact"/>
            </w:pPr>
            <w:r>
              <w:rPr>
                <w:rFonts w:ascii="方正黑体_GBK" w:eastAsia="方正黑体_GBK" w:cs="宋体"/>
                <w:b/>
                <w:sz w:val="18"/>
                <w:szCs w:val="18"/>
              </w:rPr>
              <w:t>M2份额：固定管理费年化0.2%</w:t>
            </w:r>
          </w:p>
          <w:p w14:paraId="451673BB">
            <w:pPr>
              <w:spacing w:line="200" w:lineRule="exact"/>
            </w:pPr>
            <w:r>
              <w:rPr>
                <w:rFonts w:ascii="方正黑体_GBK" w:eastAsia="方正黑体_GBK" w:cs="宋体"/>
                <w:b/>
                <w:sz w:val="18"/>
                <w:szCs w:val="18"/>
              </w:rPr>
              <w:t>M3份额：固定管理费年化0.2%</w:t>
            </w:r>
          </w:p>
          <w:p w14:paraId="7EED22E2">
            <w:pPr>
              <w:spacing w:line="200" w:lineRule="exact"/>
            </w:pPr>
            <w:r>
              <w:rPr>
                <w:rFonts w:ascii="方正黑体_GBK" w:eastAsia="方正黑体_GBK" w:cs="宋体"/>
                <w:b/>
                <w:sz w:val="18"/>
                <w:szCs w:val="18"/>
              </w:rPr>
              <w:t>O2份额：固定管理费年化0.1%</w:t>
            </w:r>
          </w:p>
          <w:p w14:paraId="3DB8486E">
            <w:pPr>
              <w:spacing w:line="200" w:lineRule="exact"/>
            </w:pPr>
            <w:r>
              <w:rPr>
                <w:rFonts w:ascii="方正黑体_GBK" w:eastAsia="方正黑体_GBK" w:cs="宋体"/>
                <w:b/>
                <w:sz w:val="18"/>
                <w:szCs w:val="18"/>
              </w:rPr>
              <w:t>O3份额：固定管理费年化0.1%</w:t>
            </w:r>
          </w:p>
          <w:p w14:paraId="58E9F0EE">
            <w:pPr>
              <w:spacing w:line="200" w:lineRule="exact"/>
            </w:pPr>
            <w:r>
              <w:rPr>
                <w:rFonts w:ascii="方正黑体_GBK" w:eastAsia="方正黑体_GBK" w:cs="宋体"/>
                <w:b/>
                <w:sz w:val="18"/>
                <w:szCs w:val="18"/>
              </w:rPr>
              <w:t>Q1份额：固定管理费年化0.2%</w:t>
            </w:r>
          </w:p>
          <w:p w14:paraId="3725BBB4">
            <w:pPr>
              <w:spacing w:line="200" w:lineRule="exact"/>
            </w:pPr>
            <w:r>
              <w:rPr>
                <w:rFonts w:ascii="方正黑体_GBK" w:eastAsia="方正黑体_GBK" w:cs="宋体"/>
                <w:b/>
                <w:sz w:val="18"/>
                <w:szCs w:val="18"/>
              </w:rPr>
              <w:t>R1份额：固定管理费年化0.15%</w:t>
            </w:r>
          </w:p>
          <w:p w14:paraId="6D10BDB8">
            <w:pPr>
              <w:spacing w:line="200" w:lineRule="exact"/>
            </w:pPr>
            <w:r>
              <w:rPr>
                <w:rFonts w:ascii="方正黑体_GBK" w:eastAsia="方正黑体_GBK" w:cs="宋体"/>
                <w:b/>
                <w:sz w:val="18"/>
                <w:szCs w:val="18"/>
              </w:rPr>
              <w:t>Q2份额：固定管理费年化0.2%</w:t>
            </w:r>
          </w:p>
          <w:p w14:paraId="6EE60F04">
            <w:pPr>
              <w:spacing w:line="200" w:lineRule="exact"/>
            </w:pPr>
            <w:r>
              <w:rPr>
                <w:rFonts w:ascii="方正黑体_GBK" w:eastAsia="方正黑体_GBK" w:cs="宋体"/>
                <w:b/>
                <w:sz w:val="18"/>
                <w:szCs w:val="18"/>
              </w:rPr>
              <w:t>R2份额：固定管理费年化0.15%</w:t>
            </w:r>
          </w:p>
          <w:p w14:paraId="1197C26A">
            <w:pPr>
              <w:spacing w:line="200" w:lineRule="exact"/>
            </w:pPr>
            <w:r>
              <w:rPr>
                <w:rFonts w:ascii="方正黑体_GBK" w:eastAsia="方正黑体_GBK" w:cs="宋体"/>
                <w:b/>
                <w:sz w:val="18"/>
                <w:szCs w:val="18"/>
              </w:rPr>
              <w:t>Q3份额：固定管理费年化0.2%</w:t>
            </w:r>
          </w:p>
          <w:p w14:paraId="6E2537AC">
            <w:pPr>
              <w:spacing w:line="200" w:lineRule="exact"/>
            </w:pPr>
            <w:r>
              <w:rPr>
                <w:rFonts w:ascii="方正黑体_GBK" w:eastAsia="方正黑体_GBK" w:cs="宋体"/>
                <w:b/>
                <w:sz w:val="18"/>
                <w:szCs w:val="18"/>
              </w:rPr>
              <w:t>R3份额：固定管理费年化0.15%</w:t>
            </w:r>
          </w:p>
          <w:p w14:paraId="534E15C3">
            <w:pPr>
              <w:spacing w:line="200" w:lineRule="exact"/>
            </w:pPr>
            <w:r>
              <w:rPr>
                <w:rFonts w:ascii="方正黑体_GBK" w:eastAsia="方正黑体_GBK" w:cs="宋体"/>
                <w:b/>
                <w:sz w:val="18"/>
                <w:szCs w:val="18"/>
              </w:rPr>
              <w:t>B1份额：固定管理费年化0.2%</w:t>
            </w:r>
          </w:p>
          <w:p w14:paraId="3E8BB20B">
            <w:pPr>
              <w:spacing w:line="200" w:lineRule="exact"/>
            </w:pPr>
            <w:r>
              <w:rPr>
                <w:rFonts w:ascii="方正黑体_GBK" w:eastAsia="方正黑体_GBK" w:cs="宋体"/>
                <w:b/>
                <w:sz w:val="18"/>
                <w:szCs w:val="18"/>
              </w:rPr>
              <w:t>C1份额：固定管理费年化0.2%</w:t>
            </w:r>
          </w:p>
          <w:p w14:paraId="10BAFFD7">
            <w:pPr>
              <w:spacing w:line="200" w:lineRule="exact"/>
            </w:pPr>
            <w:r>
              <w:rPr>
                <w:rFonts w:ascii="方正黑体_GBK" w:eastAsia="方正黑体_GBK" w:cs="宋体"/>
                <w:b/>
                <w:sz w:val="18"/>
                <w:szCs w:val="18"/>
              </w:rPr>
              <w:t>D1份额：固定管理费年化0.15%</w:t>
            </w:r>
          </w:p>
          <w:p w14:paraId="2BEC66C0">
            <w:pPr>
              <w:spacing w:line="200" w:lineRule="exact"/>
            </w:pPr>
            <w:r>
              <w:rPr>
                <w:rFonts w:ascii="方正黑体_GBK" w:eastAsia="方正黑体_GBK" w:cs="宋体"/>
                <w:b/>
                <w:sz w:val="18"/>
                <w:szCs w:val="18"/>
              </w:rPr>
              <w:t>E1份额：固定管理费年化0.15%</w:t>
            </w:r>
          </w:p>
          <w:p w14:paraId="68A7E0B8">
            <w:pPr>
              <w:spacing w:line="200" w:lineRule="exact"/>
            </w:pPr>
            <w:r>
              <w:rPr>
                <w:rFonts w:ascii="方正黑体_GBK" w:eastAsia="方正黑体_GBK" w:cs="宋体"/>
                <w:b/>
                <w:sz w:val="18"/>
                <w:szCs w:val="18"/>
              </w:rPr>
              <w:t>G1份额：固定管理费年化0.15%</w:t>
            </w:r>
          </w:p>
          <w:p w14:paraId="75F460C5">
            <w:pPr>
              <w:spacing w:line="200" w:lineRule="exact"/>
            </w:pPr>
            <w:r>
              <w:rPr>
                <w:rFonts w:ascii="方正黑体_GBK" w:eastAsia="方正黑体_GBK" w:cs="宋体"/>
                <w:b/>
                <w:sz w:val="18"/>
                <w:szCs w:val="18"/>
              </w:rPr>
              <w:t>I1份额：固定管理费年化0.15%</w:t>
            </w:r>
          </w:p>
          <w:p w14:paraId="1956D60A">
            <w:pPr>
              <w:spacing w:line="200" w:lineRule="exact"/>
            </w:pPr>
            <w:r>
              <w:rPr>
                <w:rFonts w:ascii="方正黑体_GBK" w:eastAsia="方正黑体_GBK" w:cs="宋体"/>
                <w:b/>
                <w:sz w:val="18"/>
                <w:szCs w:val="18"/>
              </w:rPr>
              <w:t>J1份额：固定管理费年化0.1%</w:t>
            </w:r>
          </w:p>
          <w:p w14:paraId="7FD149E6">
            <w:pPr>
              <w:spacing w:line="200" w:lineRule="exact"/>
            </w:pPr>
            <w:r>
              <w:rPr>
                <w:rFonts w:ascii="方正黑体_GBK" w:eastAsia="方正黑体_GBK" w:cs="宋体"/>
                <w:b/>
                <w:sz w:val="18"/>
                <w:szCs w:val="18"/>
              </w:rPr>
              <w:t>L1份额：固定管理费年化0.1%</w:t>
            </w:r>
          </w:p>
          <w:p w14:paraId="1D3884AF">
            <w:pPr>
              <w:spacing w:line="200" w:lineRule="exact"/>
            </w:pPr>
            <w:r>
              <w:rPr>
                <w:rFonts w:ascii="方正黑体_GBK" w:eastAsia="方正黑体_GBK" w:cs="宋体"/>
                <w:b/>
                <w:sz w:val="18"/>
                <w:szCs w:val="18"/>
              </w:rPr>
              <w:t>M1份额：固定管理费年化0.2%</w:t>
            </w:r>
          </w:p>
          <w:p w14:paraId="36192497">
            <w:pPr>
              <w:spacing w:line="200" w:lineRule="exact"/>
            </w:pPr>
            <w:r>
              <w:rPr>
                <w:rFonts w:ascii="方正黑体_GBK" w:eastAsia="方正黑体_GBK" w:cs="宋体"/>
                <w:b/>
                <w:sz w:val="18"/>
                <w:szCs w:val="18"/>
              </w:rPr>
              <w:t>N1份额：固定管理费年化0.1%</w:t>
            </w:r>
          </w:p>
          <w:p w14:paraId="7D72BD70">
            <w:pPr>
              <w:spacing w:line="200" w:lineRule="exact"/>
            </w:pPr>
            <w:r>
              <w:rPr>
                <w:rFonts w:ascii="方正黑体_GBK" w:eastAsia="方正黑体_GBK" w:cs="宋体"/>
                <w:b/>
                <w:sz w:val="18"/>
                <w:szCs w:val="18"/>
              </w:rPr>
              <w:t>O1份额：固定管理费年化0.1%</w:t>
            </w:r>
          </w:p>
          <w:p w14:paraId="454D8652">
            <w:pPr>
              <w:spacing w:line="200" w:lineRule="exact"/>
            </w:pPr>
            <w:r>
              <w:rPr>
                <w:rFonts w:ascii="方正黑体_GBK" w:eastAsia="方正黑体_GBK" w:cs="宋体"/>
                <w:b/>
                <w:sz w:val="18"/>
                <w:szCs w:val="18"/>
              </w:rPr>
              <w:t>S1份额：固定管理费年化0.15%</w:t>
            </w:r>
          </w:p>
          <w:p w14:paraId="2F57465F">
            <w:pPr>
              <w:spacing w:line="200" w:lineRule="exact"/>
            </w:pPr>
            <w:r>
              <w:rPr>
                <w:rFonts w:ascii="方正黑体_GBK" w:eastAsia="方正黑体_GBK" w:cs="宋体"/>
                <w:b/>
                <w:sz w:val="18"/>
                <w:szCs w:val="18"/>
              </w:rPr>
              <w:t>S2份额：固定管理费年化0.15%</w:t>
            </w:r>
          </w:p>
          <w:p w14:paraId="2C0AB1F0">
            <w:pPr>
              <w:spacing w:line="200" w:lineRule="exact"/>
            </w:pPr>
            <w:r>
              <w:rPr>
                <w:rFonts w:ascii="方正黑体_GBK" w:eastAsia="方正黑体_GBK" w:cs="宋体"/>
                <w:b/>
                <w:sz w:val="18"/>
                <w:szCs w:val="18"/>
              </w:rPr>
              <w:t>S3份额：固定管理费年化0.15%</w:t>
            </w:r>
          </w:p>
          <w:p w14:paraId="4A16D65E">
            <w:pPr>
              <w:spacing w:line="200" w:lineRule="exact"/>
            </w:pPr>
            <w:r>
              <w:rPr>
                <w:rFonts w:ascii="方正黑体_GBK" w:eastAsia="方正黑体_GBK" w:cs="宋体"/>
                <w:b/>
                <w:sz w:val="18"/>
                <w:szCs w:val="18"/>
              </w:rPr>
              <w:t>T1份额：固定管理费年化0.15%</w:t>
            </w:r>
          </w:p>
          <w:p w14:paraId="196AA45C">
            <w:pPr>
              <w:spacing w:line="200" w:lineRule="exact"/>
            </w:pPr>
            <w:r>
              <w:rPr>
                <w:rFonts w:ascii="方正黑体_GBK" w:eastAsia="方正黑体_GBK" w:cs="宋体"/>
                <w:b/>
                <w:sz w:val="18"/>
                <w:szCs w:val="18"/>
              </w:rPr>
              <w:t>T2份额：固定管理费年化0.15%</w:t>
            </w:r>
          </w:p>
          <w:p w14:paraId="19D412E6">
            <w:pPr>
              <w:spacing w:line="200" w:lineRule="exact"/>
            </w:pPr>
            <w:r>
              <w:rPr>
                <w:rFonts w:ascii="方正黑体_GBK" w:eastAsia="方正黑体_GBK" w:cs="宋体"/>
                <w:b/>
                <w:sz w:val="18"/>
                <w:szCs w:val="18"/>
              </w:rPr>
              <w:t>T3份额：固定管理费年化0.15%</w:t>
            </w:r>
          </w:p>
          <w:p w14:paraId="3CEE3998">
            <w:pPr>
              <w:spacing w:line="200" w:lineRule="exact"/>
            </w:pPr>
            <w:r>
              <w:rPr>
                <w:rFonts w:ascii="方正黑体_GBK" w:eastAsia="方正黑体_GBK" w:cs="宋体"/>
                <w:b/>
                <w:sz w:val="18"/>
                <w:szCs w:val="18"/>
              </w:rPr>
              <w:t>B5份额：固定管理费年化0.2%</w:t>
            </w:r>
          </w:p>
          <w:p w14:paraId="79895E8A">
            <w:pPr>
              <w:spacing w:line="200" w:lineRule="exact"/>
            </w:pPr>
            <w:r>
              <w:rPr>
                <w:rFonts w:ascii="方正黑体_GBK" w:eastAsia="方正黑体_GBK" w:cs="宋体"/>
                <w:b/>
                <w:sz w:val="18"/>
                <w:szCs w:val="18"/>
              </w:rPr>
              <w:t>C5份额：固定管理费年化0.2%</w:t>
            </w:r>
          </w:p>
          <w:p w14:paraId="48F63879">
            <w:pPr>
              <w:spacing w:line="200" w:lineRule="exact"/>
            </w:pPr>
            <w:r>
              <w:rPr>
                <w:rFonts w:ascii="方正黑体_GBK" w:eastAsia="方正黑体_GBK" w:cs="宋体"/>
                <w:b/>
                <w:sz w:val="18"/>
                <w:szCs w:val="18"/>
              </w:rPr>
              <w:t>D5份额：固定管理费年化0.15%</w:t>
            </w:r>
          </w:p>
          <w:p w14:paraId="0EE4ED94">
            <w:pPr>
              <w:spacing w:line="200" w:lineRule="exact"/>
            </w:pPr>
            <w:r>
              <w:rPr>
                <w:rFonts w:ascii="方正黑体_GBK" w:eastAsia="方正黑体_GBK" w:cs="宋体"/>
                <w:b/>
                <w:sz w:val="18"/>
                <w:szCs w:val="18"/>
              </w:rPr>
              <w:t>E5份额：固定管理费年化0.15%</w:t>
            </w:r>
          </w:p>
          <w:p w14:paraId="4B8C9548">
            <w:pPr>
              <w:spacing w:line="200" w:lineRule="exact"/>
            </w:pPr>
            <w:r>
              <w:rPr>
                <w:rFonts w:ascii="方正黑体_GBK" w:eastAsia="方正黑体_GBK" w:cs="宋体"/>
                <w:b/>
                <w:sz w:val="18"/>
                <w:szCs w:val="18"/>
              </w:rPr>
              <w:t>每日计提的固定管理费=前一日理财产品资产净值×年化固定管理费率÷365</w:t>
            </w:r>
          </w:p>
          <w:p w14:paraId="79EC863E">
            <w:pPr>
              <w:spacing w:line="200" w:lineRule="exact"/>
            </w:pPr>
            <w:r>
              <w:rPr>
                <w:rFonts w:ascii="方正黑体_GBK" w:eastAsia="方正黑体_GBK" w:cs="宋体"/>
                <w:b/>
                <w:sz w:val="18"/>
                <w:szCs w:val="18"/>
              </w:rPr>
              <w:t>托管费：</w:t>
            </w:r>
          </w:p>
          <w:p w14:paraId="14048FD5">
            <w:pPr>
              <w:spacing w:line="200" w:lineRule="exact"/>
            </w:pPr>
            <w:r>
              <w:rPr>
                <w:rFonts w:ascii="方正黑体_GBK" w:eastAsia="方正黑体_GBK" w:cs="宋体"/>
                <w:b/>
                <w:sz w:val="18"/>
                <w:szCs w:val="18"/>
              </w:rPr>
              <w:t>本理财产品按前一日理财产品资产净值收取年化0.02%的托管费，按日计提。</w:t>
            </w:r>
          </w:p>
          <w:p w14:paraId="754F4F1C">
            <w:pPr>
              <w:spacing w:line="200" w:lineRule="exact"/>
            </w:pPr>
            <w:r>
              <w:rPr>
                <w:rFonts w:ascii="方正黑体_GBK" w:eastAsia="方正黑体_GBK" w:cs="宋体"/>
                <w:b/>
                <w:sz w:val="18"/>
                <w:szCs w:val="18"/>
              </w:rPr>
              <w:t>每日计提的托管费=前一日理财产品资产净值×年化托管费率÷365</w:t>
            </w:r>
          </w:p>
          <w:p w14:paraId="765E8EB7">
            <w:pPr>
              <w:spacing w:line="200" w:lineRule="exact"/>
            </w:pPr>
            <w:r>
              <w:rPr>
                <w:rFonts w:ascii="方正黑体_GBK" w:eastAsia="方正黑体_GBK" w:cs="宋体"/>
                <w:b/>
                <w:sz w:val="18"/>
                <w:szCs w:val="18"/>
              </w:rPr>
              <w:t>业绩报酬：</w:t>
            </w:r>
          </w:p>
          <w:p w14:paraId="6BF71C0F">
            <w:pPr>
              <w:spacing w:line="200" w:lineRule="exact"/>
            </w:pPr>
            <w:r>
              <w:rPr>
                <w:rFonts w:ascii="方正黑体_GBK" w:eastAsia="方正黑体_GBK"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07701FB9">
            <w:pPr>
              <w:spacing w:line="200" w:lineRule="exact"/>
            </w:pPr>
            <w:r>
              <w:rPr>
                <w:rFonts w:ascii="方正黑体_GBK" w:eastAsia="方正黑体_GBK"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0B8A4D21">
            <w:pPr>
              <w:spacing w:line="200" w:lineRule="exact"/>
            </w:pPr>
            <w:r>
              <w:rPr>
                <w:rFonts w:ascii="方正黑体_GBK" w:eastAsia="方正黑体_GBK" w:cs="宋体"/>
                <w:b/>
                <w:sz w:val="18"/>
                <w:szCs w:val="18"/>
              </w:rPr>
              <w:t>A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3C9B360E">
            <w:pPr>
              <w:spacing w:line="200" w:lineRule="exact"/>
            </w:pPr>
            <w:r>
              <w:rPr>
                <w:rFonts w:ascii="方正黑体_GBK" w:eastAsia="方正黑体_GBK" w:cs="宋体"/>
                <w:b/>
                <w:sz w:val="18"/>
                <w:szCs w:val="18"/>
              </w:rPr>
              <w:t>A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65A0597">
            <w:pPr>
              <w:spacing w:line="200" w:lineRule="exact"/>
            </w:pPr>
            <w:r>
              <w:rPr>
                <w:rFonts w:ascii="方正黑体_GBK" w:eastAsia="方正黑体_GBK" w:cs="宋体"/>
                <w:b/>
                <w:sz w:val="18"/>
                <w:szCs w:val="18"/>
              </w:rPr>
              <w:t>B4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1518604">
            <w:pPr>
              <w:spacing w:line="200" w:lineRule="exact"/>
            </w:pPr>
            <w:r>
              <w:rPr>
                <w:rFonts w:ascii="方正黑体_GBK" w:eastAsia="方正黑体_GBK" w:cs="宋体"/>
                <w:b/>
                <w:sz w:val="18"/>
                <w:szCs w:val="18"/>
              </w:rPr>
              <w:t>C4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38B1FB68">
            <w:pPr>
              <w:spacing w:line="200" w:lineRule="exact"/>
            </w:pPr>
            <w:r>
              <w:rPr>
                <w:rFonts w:ascii="方正黑体_GBK" w:eastAsia="方正黑体_GBK" w:cs="宋体"/>
                <w:b/>
                <w:sz w:val="18"/>
                <w:szCs w:val="18"/>
              </w:rPr>
              <w:t>D4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3F5D2E2A">
            <w:pPr>
              <w:spacing w:line="200" w:lineRule="exact"/>
            </w:pPr>
            <w:r>
              <w:rPr>
                <w:rFonts w:ascii="方正黑体_GBK" w:eastAsia="方正黑体_GBK" w:cs="宋体"/>
                <w:b/>
                <w:sz w:val="18"/>
                <w:szCs w:val="18"/>
              </w:rPr>
              <w:t>E4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6B56869F">
            <w:pPr>
              <w:spacing w:line="200" w:lineRule="exact"/>
            </w:pPr>
            <w:r>
              <w:rPr>
                <w:rFonts w:ascii="方正黑体_GBK" w:eastAsia="方正黑体_GBK" w:cs="宋体"/>
                <w:b/>
                <w:sz w:val="18"/>
                <w:szCs w:val="18"/>
              </w:rPr>
              <w:t>F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56D787EF">
            <w:pPr>
              <w:spacing w:line="200" w:lineRule="exact"/>
            </w:pPr>
            <w:r>
              <w:rPr>
                <w:rFonts w:ascii="方正黑体_GBK" w:eastAsia="方正黑体_GBK" w:cs="宋体"/>
                <w:b/>
                <w:sz w:val="18"/>
                <w:szCs w:val="18"/>
              </w:rPr>
              <w:t>F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F74AFE2">
            <w:pPr>
              <w:spacing w:line="200" w:lineRule="exact"/>
            </w:pPr>
            <w:r>
              <w:rPr>
                <w:rFonts w:ascii="方正黑体_GBK" w:eastAsia="方正黑体_GBK" w:cs="宋体"/>
                <w:b/>
                <w:sz w:val="18"/>
                <w:szCs w:val="18"/>
              </w:rPr>
              <w:t>G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F1A4D16">
            <w:pPr>
              <w:spacing w:line="200" w:lineRule="exact"/>
            </w:pPr>
            <w:r>
              <w:rPr>
                <w:rFonts w:ascii="方正黑体_GBK" w:eastAsia="方正黑体_GBK" w:cs="宋体"/>
                <w:b/>
                <w:sz w:val="18"/>
                <w:szCs w:val="18"/>
              </w:rPr>
              <w:t>G4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62836EA8">
            <w:pPr>
              <w:spacing w:line="200" w:lineRule="exact"/>
            </w:pPr>
            <w:r>
              <w:rPr>
                <w:rFonts w:ascii="方正黑体_GBK" w:eastAsia="方正黑体_GBK" w:cs="宋体"/>
                <w:b/>
                <w:sz w:val="18"/>
                <w:szCs w:val="18"/>
              </w:rPr>
              <w:t>J2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0767618C">
            <w:pPr>
              <w:spacing w:line="200" w:lineRule="exact"/>
            </w:pPr>
            <w:r>
              <w:rPr>
                <w:rFonts w:ascii="方正黑体_GBK" w:eastAsia="方正黑体_GBK" w:cs="宋体"/>
                <w:b/>
                <w:sz w:val="18"/>
                <w:szCs w:val="18"/>
              </w:rPr>
              <w:t>L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305320F2">
            <w:pPr>
              <w:spacing w:line="200" w:lineRule="exact"/>
            </w:pPr>
            <w:r>
              <w:rPr>
                <w:rFonts w:ascii="方正黑体_GBK" w:eastAsia="方正黑体_GBK" w:cs="宋体"/>
                <w:b/>
                <w:sz w:val="18"/>
                <w:szCs w:val="18"/>
              </w:rPr>
              <w:t>J3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16695B4C">
            <w:pPr>
              <w:spacing w:line="200" w:lineRule="exact"/>
            </w:pPr>
            <w:r>
              <w:rPr>
                <w:rFonts w:ascii="方正黑体_GBK" w:eastAsia="方正黑体_GBK" w:cs="宋体"/>
                <w:b/>
                <w:sz w:val="18"/>
                <w:szCs w:val="18"/>
              </w:rPr>
              <w:t>L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CC2FA51">
            <w:pPr>
              <w:spacing w:line="200" w:lineRule="exact"/>
            </w:pPr>
            <w:r>
              <w:rPr>
                <w:rFonts w:ascii="方正黑体_GBK" w:eastAsia="方正黑体_GBK" w:cs="宋体"/>
                <w:b/>
                <w:sz w:val="18"/>
                <w:szCs w:val="18"/>
              </w:rPr>
              <w:t>M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A53F0B3">
            <w:pPr>
              <w:spacing w:line="200" w:lineRule="exact"/>
            </w:pPr>
            <w:r>
              <w:rPr>
                <w:rFonts w:ascii="方正黑体_GBK" w:eastAsia="方正黑体_GBK" w:cs="宋体"/>
                <w:b/>
                <w:sz w:val="18"/>
                <w:szCs w:val="18"/>
              </w:rPr>
              <w:t>M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639D5308">
            <w:pPr>
              <w:spacing w:line="200" w:lineRule="exact"/>
            </w:pPr>
            <w:r>
              <w:rPr>
                <w:rFonts w:ascii="方正黑体_GBK" w:eastAsia="方正黑体_GBK" w:cs="宋体"/>
                <w:b/>
                <w:sz w:val="18"/>
                <w:szCs w:val="18"/>
              </w:rPr>
              <w:t>O2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02C150D">
            <w:pPr>
              <w:spacing w:line="200" w:lineRule="exact"/>
            </w:pPr>
            <w:r>
              <w:rPr>
                <w:rFonts w:ascii="方正黑体_GBK" w:eastAsia="方正黑体_GBK" w:cs="宋体"/>
                <w:b/>
                <w:sz w:val="18"/>
                <w:szCs w:val="18"/>
              </w:rPr>
              <w:t>O3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7041A32">
            <w:pPr>
              <w:spacing w:line="200" w:lineRule="exact"/>
            </w:pPr>
            <w:r>
              <w:rPr>
                <w:rFonts w:ascii="方正黑体_GBK" w:eastAsia="方正黑体_GBK" w:cs="宋体"/>
                <w:b/>
                <w:sz w:val="18"/>
                <w:szCs w:val="18"/>
              </w:rPr>
              <w:t>Q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3335D64">
            <w:pPr>
              <w:spacing w:line="200" w:lineRule="exact"/>
            </w:pPr>
            <w:r>
              <w:rPr>
                <w:rFonts w:ascii="方正黑体_GBK" w:eastAsia="方正黑体_GBK" w:cs="宋体"/>
                <w:b/>
                <w:sz w:val="18"/>
                <w:szCs w:val="18"/>
              </w:rPr>
              <w:t>R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B86CC82">
            <w:pPr>
              <w:spacing w:line="200" w:lineRule="exact"/>
            </w:pPr>
            <w:r>
              <w:rPr>
                <w:rFonts w:ascii="方正黑体_GBK" w:eastAsia="方正黑体_GBK" w:cs="宋体"/>
                <w:b/>
                <w:sz w:val="18"/>
                <w:szCs w:val="18"/>
              </w:rPr>
              <w:t>Q2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4D00C032">
            <w:pPr>
              <w:spacing w:line="200" w:lineRule="exact"/>
            </w:pPr>
            <w:r>
              <w:rPr>
                <w:rFonts w:ascii="方正黑体_GBK" w:eastAsia="方正黑体_GBK" w:cs="宋体"/>
                <w:b/>
                <w:sz w:val="18"/>
                <w:szCs w:val="18"/>
              </w:rPr>
              <w:t>R2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73A918BE">
            <w:pPr>
              <w:spacing w:line="200" w:lineRule="exact"/>
            </w:pPr>
            <w:r>
              <w:rPr>
                <w:rFonts w:ascii="方正黑体_GBK" w:eastAsia="方正黑体_GBK" w:cs="宋体"/>
                <w:b/>
                <w:sz w:val="18"/>
                <w:szCs w:val="18"/>
              </w:rPr>
              <w:t>Q3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101FA9A4">
            <w:pPr>
              <w:spacing w:line="200" w:lineRule="exact"/>
            </w:pPr>
            <w:r>
              <w:rPr>
                <w:rFonts w:ascii="方正黑体_GBK" w:eastAsia="方正黑体_GBK" w:cs="宋体"/>
                <w:b/>
                <w:sz w:val="18"/>
                <w:szCs w:val="18"/>
              </w:rPr>
              <w:t>R3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0BDA922D">
            <w:pPr>
              <w:spacing w:line="200" w:lineRule="exact"/>
            </w:pPr>
            <w:r>
              <w:rPr>
                <w:rFonts w:ascii="方正黑体_GBK" w:eastAsia="方正黑体_GBK" w:cs="宋体"/>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539B0638">
            <w:pPr>
              <w:spacing w:line="200" w:lineRule="exact"/>
            </w:pPr>
            <w:r>
              <w:rPr>
                <w:rFonts w:ascii="方正黑体_GBK" w:eastAsia="方正黑体_GBK" w:cs="宋体"/>
                <w:b/>
                <w:sz w:val="18"/>
                <w:szCs w:val="18"/>
              </w:rPr>
              <w:t>C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45EF9A80">
            <w:pPr>
              <w:spacing w:line="200" w:lineRule="exact"/>
            </w:pPr>
            <w:r>
              <w:rPr>
                <w:rFonts w:ascii="方正黑体_GBK" w:eastAsia="方正黑体_GBK" w:cs="宋体"/>
                <w:b/>
                <w:sz w:val="18"/>
                <w:szCs w:val="18"/>
              </w:rPr>
              <w:t>D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26018721">
            <w:pPr>
              <w:spacing w:line="200" w:lineRule="exact"/>
            </w:pPr>
            <w:r>
              <w:rPr>
                <w:rFonts w:ascii="方正黑体_GBK" w:eastAsia="方正黑体_GBK" w:cs="宋体"/>
                <w:b/>
                <w:sz w:val="18"/>
                <w:szCs w:val="18"/>
              </w:rPr>
              <w:t>E1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29766927">
            <w:pPr>
              <w:spacing w:line="200" w:lineRule="exact"/>
            </w:pPr>
            <w:r>
              <w:rPr>
                <w:rFonts w:ascii="方正黑体_GBK" w:eastAsia="方正黑体_GBK" w:cs="宋体"/>
                <w:b/>
                <w:sz w:val="18"/>
                <w:szCs w:val="18"/>
              </w:rPr>
              <w:t>G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1DD7828">
            <w:pPr>
              <w:spacing w:line="200" w:lineRule="exact"/>
            </w:pPr>
            <w:r>
              <w:rPr>
                <w:rFonts w:ascii="方正黑体_GBK" w:eastAsia="方正黑体_GBK" w:cs="宋体"/>
                <w:b/>
                <w:sz w:val="18"/>
                <w:szCs w:val="18"/>
              </w:rPr>
              <w:t>I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D3F0A6A">
            <w:pPr>
              <w:spacing w:line="200" w:lineRule="exact"/>
            </w:pPr>
            <w:r>
              <w:rPr>
                <w:rFonts w:ascii="方正黑体_GBK" w:eastAsia="方正黑体_GBK" w:cs="宋体"/>
                <w:b/>
                <w:sz w:val="18"/>
                <w:szCs w:val="18"/>
              </w:rPr>
              <w:t>J1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6D34BCB1">
            <w:pPr>
              <w:spacing w:line="200" w:lineRule="exact"/>
            </w:pPr>
            <w:r>
              <w:rPr>
                <w:rFonts w:ascii="方正黑体_GBK" w:eastAsia="方正黑体_GBK" w:cs="宋体"/>
                <w:b/>
                <w:sz w:val="18"/>
                <w:szCs w:val="18"/>
              </w:rPr>
              <w:t>L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58230C23">
            <w:pPr>
              <w:spacing w:line="200" w:lineRule="exact"/>
            </w:pPr>
            <w:r>
              <w:rPr>
                <w:rFonts w:ascii="方正黑体_GBK" w:eastAsia="方正黑体_GBK" w:cs="宋体"/>
                <w:b/>
                <w:sz w:val="18"/>
                <w:szCs w:val="18"/>
              </w:rPr>
              <w:t>M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21545472">
            <w:pPr>
              <w:spacing w:line="200" w:lineRule="exact"/>
            </w:pPr>
            <w:r>
              <w:rPr>
                <w:rFonts w:ascii="方正黑体_GBK" w:eastAsia="方正黑体_GBK" w:cs="宋体"/>
                <w:b/>
                <w:sz w:val="18"/>
                <w:szCs w:val="18"/>
              </w:rPr>
              <w:t>N1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14:paraId="4688E137">
            <w:pPr>
              <w:spacing w:line="200" w:lineRule="exact"/>
            </w:pPr>
            <w:r>
              <w:rPr>
                <w:rFonts w:ascii="方正黑体_GBK" w:eastAsia="方正黑体_GBK" w:cs="宋体"/>
                <w:b/>
                <w:sz w:val="18"/>
                <w:szCs w:val="18"/>
              </w:rPr>
              <w:t>O1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75FF9588">
            <w:pPr>
              <w:spacing w:line="200" w:lineRule="exact"/>
            </w:pPr>
            <w:r>
              <w:rPr>
                <w:rFonts w:ascii="方正黑体_GBK" w:eastAsia="方正黑体_GBK" w:cs="宋体"/>
                <w:b/>
                <w:sz w:val="18"/>
                <w:szCs w:val="18"/>
              </w:rPr>
              <w:t>S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AA1EFCF">
            <w:pPr>
              <w:spacing w:line="200" w:lineRule="exact"/>
            </w:pPr>
            <w:r>
              <w:rPr>
                <w:rFonts w:ascii="方正黑体_GBK" w:eastAsia="方正黑体_GBK" w:cs="宋体"/>
                <w:b/>
                <w:sz w:val="18"/>
                <w:szCs w:val="18"/>
              </w:rPr>
              <w:t>S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237B9EC4">
            <w:pPr>
              <w:spacing w:line="200" w:lineRule="exact"/>
            </w:pPr>
            <w:r>
              <w:rPr>
                <w:rFonts w:ascii="方正黑体_GBK" w:eastAsia="方正黑体_GBK" w:cs="宋体"/>
                <w:b/>
                <w:sz w:val="18"/>
                <w:szCs w:val="18"/>
              </w:rPr>
              <w:t>S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E9B471C">
            <w:pPr>
              <w:spacing w:line="200" w:lineRule="exact"/>
            </w:pPr>
            <w:r>
              <w:rPr>
                <w:rFonts w:ascii="方正黑体_GBK" w:eastAsia="方正黑体_GBK" w:cs="宋体"/>
                <w:b/>
                <w:sz w:val="18"/>
                <w:szCs w:val="18"/>
              </w:rPr>
              <w:t>T1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AB6C6A7">
            <w:pPr>
              <w:spacing w:line="200" w:lineRule="exact"/>
            </w:pPr>
            <w:r>
              <w:rPr>
                <w:rFonts w:ascii="方正黑体_GBK" w:eastAsia="方正黑体_GBK" w:cs="宋体"/>
                <w:b/>
                <w:sz w:val="18"/>
                <w:szCs w:val="18"/>
              </w:rPr>
              <w:t>T2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1FDB8DA2">
            <w:pPr>
              <w:spacing w:line="200" w:lineRule="exact"/>
            </w:pPr>
            <w:r>
              <w:rPr>
                <w:rFonts w:ascii="方正黑体_GBK" w:eastAsia="方正黑体_GBK" w:cs="宋体"/>
                <w:b/>
                <w:sz w:val="18"/>
                <w:szCs w:val="18"/>
              </w:rPr>
              <w:t>T3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14:paraId="767618BF">
            <w:pPr>
              <w:spacing w:line="200" w:lineRule="exact"/>
            </w:pPr>
            <w:r>
              <w:rPr>
                <w:rFonts w:ascii="方正黑体_GBK" w:eastAsia="方正黑体_GBK" w:cs="宋体"/>
                <w:b/>
                <w:sz w:val="18"/>
                <w:szCs w:val="18"/>
              </w:rPr>
              <w:t>B5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14:paraId="7B8D680F">
            <w:pPr>
              <w:spacing w:line="200" w:lineRule="exact"/>
            </w:pPr>
            <w:r>
              <w:rPr>
                <w:rFonts w:ascii="方正黑体_GBK" w:eastAsia="方正黑体_GBK" w:cs="宋体"/>
                <w:b/>
                <w:sz w:val="18"/>
                <w:szCs w:val="18"/>
              </w:rPr>
              <w:t>C5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14:paraId="76F18845">
            <w:pPr>
              <w:spacing w:line="200" w:lineRule="exact"/>
            </w:pPr>
            <w:r>
              <w:rPr>
                <w:rFonts w:ascii="方正黑体_GBK" w:eastAsia="方正黑体_GBK" w:cs="宋体"/>
                <w:b/>
                <w:sz w:val="18"/>
                <w:szCs w:val="18"/>
              </w:rPr>
              <w:t>D5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14:paraId="6F9A52CD">
            <w:pPr>
              <w:spacing w:line="200" w:lineRule="exact"/>
            </w:pPr>
            <w:r>
              <w:rPr>
                <w:rFonts w:ascii="方正黑体_GBK" w:eastAsia="方正黑体_GBK" w:cs="宋体"/>
                <w:b/>
                <w:sz w:val="18"/>
                <w:szCs w:val="18"/>
              </w:rPr>
              <w:t>E5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14:paraId="6661CD70">
            <w:pPr>
              <w:spacing w:line="200" w:lineRule="exact"/>
            </w:pPr>
            <w:r>
              <w:rPr>
                <w:rFonts w:asci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7EEE5D3">
            <w:pPr>
              <w:spacing w:line="200" w:lineRule="exact"/>
            </w:pPr>
            <w:r>
              <w:rPr>
                <w:rFonts w:asci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83DE89F">
            <w:pPr>
              <w:spacing w:line="200" w:lineRule="exact"/>
            </w:pPr>
            <w:r>
              <w:rPr>
                <w:rFonts w:asci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ED75201">
            <w:pPr>
              <w:spacing w:line="200" w:lineRule="exact"/>
            </w:pPr>
            <w:r>
              <w:rPr>
                <w:rFonts w:asci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9FC4111">
            <w:pPr>
              <w:spacing w:line="200" w:lineRule="exact"/>
            </w:pPr>
            <w:r>
              <w:rPr>
                <w:rFonts w:ascii="方正黑体_GBK" w:eastAsia="方正黑体_GBK" w:cs="宋体"/>
                <w:b/>
                <w:sz w:val="18"/>
                <w:szCs w:val="18"/>
              </w:rPr>
              <w:t>计算本区间业绩报酬的公式如下：</w:t>
            </w:r>
          </w:p>
          <w:p w14:paraId="2E554D5E">
            <w:pPr>
              <w:spacing w:line="200" w:lineRule="exact"/>
            </w:pPr>
            <w:r>
              <w:rPr>
                <w:rFonts w:ascii="方正黑体_GBK" w:eastAsia="方正黑体_GBK" w:cs="宋体"/>
                <w:b/>
                <w:sz w:val="18"/>
                <w:szCs w:val="18"/>
              </w:rPr>
              <w:t>A={B-C*D*(1+E*F/365)}*G。</w:t>
            </w:r>
          </w:p>
          <w:p w14:paraId="13357FFD">
            <w:pPr>
              <w:spacing w:line="200" w:lineRule="exact"/>
            </w:pPr>
            <w:r>
              <w:rPr>
                <w:rFonts w:asci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FA433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5079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AC7BA66">
            <w:pPr>
              <w:spacing w:line="200" w:lineRule="exact"/>
              <w:jc w:val="left"/>
            </w:pPr>
            <w:r>
              <w:rPr>
                <w:rFonts w:ascii="方正黑体_GBK" w:eastAsia="方正黑体_GBK" w:cs="宋体"/>
                <w:color w:val="000000"/>
                <w:sz w:val="18"/>
                <w:szCs w:val="18"/>
              </w:rPr>
              <w:t>具体参见本理财产品风险揭示书。</w:t>
            </w:r>
          </w:p>
          <w:p w14:paraId="6F5A1AB9">
            <w:pPr>
              <w:spacing w:line="200" w:lineRule="exact"/>
              <w:jc w:val="left"/>
            </w:pPr>
            <w:r>
              <w:rPr>
                <w:rFonts w:asci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140BCB48">
            <w:pPr>
              <w:spacing w:line="200" w:lineRule="exact"/>
              <w:jc w:val="left"/>
            </w:pPr>
            <w:r>
              <w:rPr>
                <w:rFonts w:asci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35D4AF0B">
            <w:pPr>
              <w:spacing w:line="200" w:lineRule="exact"/>
              <w:jc w:val="left"/>
            </w:pPr>
            <w:r>
              <w:rPr>
                <w:rFonts w:ascii="方正黑体_GBK" w:eastAsia="方正黑体_GBK" w:cs="宋体"/>
                <w:color w:val="000000"/>
                <w:sz w:val="18"/>
                <w:szCs w:val="18"/>
              </w:rPr>
              <w:t>二是为应对投资者的赎回，被迫以不适当的价格卖出债券或赎回基金；</w:t>
            </w:r>
          </w:p>
          <w:p w14:paraId="39EC5438">
            <w:pPr>
              <w:spacing w:line="200" w:lineRule="exact"/>
              <w:jc w:val="left"/>
            </w:pPr>
            <w:r>
              <w:rPr>
                <w:rFonts w:ascii="方正黑体_GBK" w:eastAsia="方正黑体_GBK" w:cs="宋体"/>
                <w:color w:val="000000"/>
                <w:sz w:val="18"/>
                <w:szCs w:val="18"/>
              </w:rPr>
              <w:t>三是若投资资产包括非标准化债权类资产，可能由于资产缺少流动性而难以变现。</w:t>
            </w:r>
          </w:p>
          <w:p w14:paraId="3D5283F0">
            <w:pPr>
              <w:spacing w:line="200" w:lineRule="exact"/>
              <w:jc w:val="left"/>
            </w:pPr>
            <w:r>
              <w:rPr>
                <w:rFonts w:ascii="方正黑体_GBK" w:eastAsia="方正黑体_GBK" w:cs="宋体"/>
                <w:color w:val="000000"/>
                <w:sz w:val="18"/>
                <w:szCs w:val="18"/>
              </w:rPr>
              <w:t>以上情形均可能使产品净值受到不利影响。</w:t>
            </w:r>
          </w:p>
        </w:tc>
      </w:tr>
      <w:tr w14:paraId="32EE17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E3C4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D27044">
            <w:pPr>
              <w:spacing w:line="200" w:lineRule="exact"/>
              <w:jc w:val="left"/>
            </w:pPr>
            <w:r>
              <w:rPr>
                <w:rFonts w:asci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5A153C4">
            <w:pPr>
              <w:spacing w:line="200" w:lineRule="exact"/>
              <w:jc w:val="left"/>
            </w:pPr>
            <w:r>
              <w:rPr>
                <w:rFonts w:ascii="方正黑体_GBK" w:eastAsia="方正黑体_GBK" w:cs="宋体"/>
                <w:color w:val="000000"/>
                <w:sz w:val="18"/>
                <w:szCs w:val="18"/>
              </w:rPr>
              <w:t>1.按照法律法规、监管规定及理财产品销售文件的约定，发行并管理理财产品；</w:t>
            </w:r>
          </w:p>
          <w:p w14:paraId="061C0445">
            <w:pPr>
              <w:spacing w:line="200" w:lineRule="exact"/>
              <w:jc w:val="left"/>
            </w:pPr>
            <w:r>
              <w:rPr>
                <w:rFonts w:ascii="方正黑体_GBK" w:eastAsia="方正黑体_GBK" w:cs="宋体"/>
                <w:color w:val="000000"/>
                <w:sz w:val="18"/>
                <w:szCs w:val="18"/>
              </w:rPr>
              <w:t>2.根据理财产品的投资组合、同类产品过往业绩和风险状况等因素，对理财产品进行评级；</w:t>
            </w:r>
          </w:p>
          <w:p w14:paraId="792EEA1C">
            <w:pPr>
              <w:spacing w:line="200" w:lineRule="exact"/>
              <w:jc w:val="left"/>
            </w:pPr>
            <w:r>
              <w:rPr>
                <w:rFonts w:ascii="方正黑体_GBK" w:eastAsia="方正黑体_GBK" w:cs="宋体"/>
                <w:color w:val="000000"/>
                <w:sz w:val="18"/>
                <w:szCs w:val="18"/>
              </w:rPr>
              <w:t>3.按照法律法规、监管规定及与投资者约定的信息披露渠道及时披露理财产品相关信息；</w:t>
            </w:r>
          </w:p>
          <w:p w14:paraId="2C6DF2FC">
            <w:pPr>
              <w:spacing w:line="200" w:lineRule="exact"/>
              <w:jc w:val="left"/>
            </w:pPr>
            <w:r>
              <w:rPr>
                <w:rFonts w:ascii="方正黑体_GBK" w:eastAsia="方正黑体_GBK" w:cs="宋体"/>
                <w:color w:val="000000"/>
                <w:sz w:val="18"/>
                <w:szCs w:val="18"/>
              </w:rPr>
              <w:t>4.按照理财产品销售文件约定的投资范围和权限，负责理财产品资金的运用和管理，向投资者进行收益分配；</w:t>
            </w:r>
          </w:p>
          <w:p w14:paraId="4A7DA8CE">
            <w:pPr>
              <w:spacing w:line="200" w:lineRule="exact"/>
              <w:jc w:val="left"/>
            </w:pPr>
            <w:r>
              <w:rPr>
                <w:rFonts w:ascii="方正黑体_GBK" w:eastAsia="方正黑体_GBK" w:cs="宋体"/>
                <w:color w:val="000000"/>
                <w:sz w:val="18"/>
                <w:szCs w:val="18"/>
              </w:rPr>
              <w:t>5.审慎选择理财产品销售机构，切实履行对销售机构的管理责任；</w:t>
            </w:r>
          </w:p>
          <w:p w14:paraId="36491235">
            <w:pPr>
              <w:spacing w:line="200" w:lineRule="exact"/>
              <w:jc w:val="left"/>
            </w:pPr>
            <w:r>
              <w:rPr>
                <w:rFonts w:ascii="方正黑体_GBK" w:eastAsia="方正黑体_GBK" w:cs="宋体"/>
                <w:color w:val="000000"/>
                <w:sz w:val="18"/>
                <w:szCs w:val="18"/>
              </w:rPr>
              <w:t>6.根据法律法规、监管规定建立健全投资者权益保护管理体系；</w:t>
            </w:r>
          </w:p>
          <w:p w14:paraId="16C1E1E3">
            <w:pPr>
              <w:spacing w:line="200" w:lineRule="exact"/>
              <w:jc w:val="left"/>
            </w:pPr>
            <w:r>
              <w:rPr>
                <w:rFonts w:ascii="方正黑体_GBK" w:eastAsia="方正黑体_GBK" w:cs="宋体"/>
                <w:color w:val="000000"/>
                <w:sz w:val="18"/>
                <w:szCs w:val="18"/>
              </w:rPr>
              <w:t>7.国务院银行业监督管理机构规定及本理财产品销售文件中约定的其他职责。</w:t>
            </w:r>
          </w:p>
        </w:tc>
      </w:tr>
      <w:tr w14:paraId="26BFC4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3C26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F5F0927">
            <w:pPr>
              <w:spacing w:line="200" w:lineRule="exact"/>
              <w:jc w:val="left"/>
            </w:pPr>
            <w:r>
              <w:rPr>
                <w:rFonts w:ascii="方正黑体_GBK" w:eastAsia="方正黑体_GBK" w:cs="宋体"/>
                <w:sz w:val="18"/>
                <w:szCs w:val="18"/>
              </w:rPr>
              <w:t>本理财产品销售机构为南银理财有限责任公司、南京银行股份有限公司、兴业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九江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北京中关村银行股份有限公司、廊坊银行股份有限公司、乌鲁木齐银行股份有限公司、河北银行股份有限公司、郑州银行股份有限公司、江苏盱眙农村商业银行股份有限公司、兰州银行股份有限公司、江苏沛县农村商业银行股份有限公司、交通银行股份有限公司、甘肃银行股份有限公司、台州银行股份有限公司、浙江民泰商业银行股份有限公司、江苏仪征农村商业银行股份有限公司、昆山鹿城村镇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14:paraId="7648AE19">
            <w:pPr>
              <w:spacing w:line="200" w:lineRule="exact"/>
              <w:jc w:val="left"/>
            </w:pPr>
            <w:r>
              <w:rPr>
                <w:rFonts w:ascii="方正黑体_GBK" w:eastAsia="方正黑体_GBK" w:cs="宋体"/>
                <w:sz w:val="18"/>
                <w:szCs w:val="18"/>
              </w:rPr>
              <w:t>销售机构主要职责如下：</w:t>
            </w:r>
          </w:p>
          <w:p w14:paraId="534BB434">
            <w:pPr>
              <w:spacing w:line="200" w:lineRule="exact"/>
              <w:jc w:val="left"/>
            </w:pPr>
            <w:r>
              <w:rPr>
                <w:rFonts w:ascii="方正黑体_GBK" w:eastAsia="方正黑体_GBK" w:cs="宋体"/>
                <w:sz w:val="18"/>
                <w:szCs w:val="18"/>
              </w:rPr>
              <w:t>1.按照法律法规、监管规定及理财产品销售文件的约定，开展理财产品销售活动，向投资者充分披露信息和揭示风险；</w:t>
            </w:r>
          </w:p>
          <w:p w14:paraId="1159A072">
            <w:pPr>
              <w:spacing w:line="200" w:lineRule="exact"/>
              <w:jc w:val="left"/>
            </w:pPr>
            <w:r>
              <w:rPr>
                <w:rFonts w:ascii="方正黑体_GBK" w:eastAsia="方正黑体_GBK" w:cs="宋体"/>
                <w:sz w:val="18"/>
                <w:szCs w:val="18"/>
              </w:rPr>
              <w:t>2.对非机构投资者的风险承受能力进行评估，确保投资者风险承受能力评估的客观性、及时性和有效性；</w:t>
            </w:r>
          </w:p>
          <w:p w14:paraId="0593C798">
            <w:pPr>
              <w:spacing w:line="200" w:lineRule="exact"/>
              <w:jc w:val="left"/>
            </w:pPr>
            <w:r>
              <w:rPr>
                <w:rFonts w:ascii="方正黑体_GBK" w:eastAsia="方正黑体_GBK" w:cs="宋体"/>
                <w:sz w:val="18"/>
                <w:szCs w:val="18"/>
              </w:rPr>
              <w:t>3.妥善保管投资者理财产品销售相关资料，保管年限不低于20年；</w:t>
            </w:r>
          </w:p>
          <w:p w14:paraId="45F2342F">
            <w:pPr>
              <w:spacing w:line="200" w:lineRule="exact"/>
              <w:jc w:val="left"/>
            </w:pPr>
            <w:r>
              <w:rPr>
                <w:rFonts w:ascii="方正黑体_GBK" w:eastAsia="方正黑体_GBK" w:cs="宋体"/>
                <w:sz w:val="18"/>
                <w:szCs w:val="18"/>
              </w:rPr>
              <w:t>4.根据反洗钱、反恐怖融资及非居民金融账户涉税信息尽职调查等相关法律法规要求识别客户身份；</w:t>
            </w:r>
          </w:p>
          <w:p w14:paraId="73568F65">
            <w:pPr>
              <w:spacing w:line="200" w:lineRule="exact"/>
              <w:jc w:val="left"/>
            </w:pPr>
            <w:r>
              <w:rPr>
                <w:rFonts w:ascii="方正黑体_GBK" w:eastAsia="方正黑体_GBK" w:cs="宋体"/>
                <w:sz w:val="18"/>
                <w:szCs w:val="18"/>
              </w:rPr>
              <w:t>5.建立健全投资者权益保护管理体系，加强投资者适当性管理；</w:t>
            </w:r>
          </w:p>
          <w:p w14:paraId="718B47A4">
            <w:pPr>
              <w:spacing w:line="200" w:lineRule="exact"/>
            </w:pPr>
            <w:r>
              <w:rPr>
                <w:rFonts w:ascii="方正黑体_GBK" w:eastAsia="方正黑体_GBK" w:cs="宋体"/>
                <w:sz w:val="18"/>
                <w:szCs w:val="18"/>
              </w:rPr>
              <w:t>6.国务院银行业监督管理机构规定及本理财产品管理人与销售机构约定的其他职责。</w:t>
            </w:r>
          </w:p>
        </w:tc>
      </w:tr>
      <w:tr w14:paraId="3EED32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F477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7794497">
            <w:pPr>
              <w:spacing w:line="200" w:lineRule="exact"/>
            </w:pPr>
            <w:r>
              <w:rPr>
                <w:rFonts w:ascii="方正黑体_GBK" w:eastAsia="方正黑体_GBK" w:cs="宋体"/>
                <w:sz w:val="18"/>
                <w:szCs w:val="18"/>
              </w:rPr>
              <w:t>本理财产品托管人为南京银行股份有限公司，主要职责如下：</w:t>
            </w:r>
          </w:p>
          <w:p w14:paraId="29A4F74C">
            <w:pPr>
              <w:spacing w:line="200" w:lineRule="exact"/>
            </w:pPr>
            <w:r>
              <w:rPr>
                <w:rFonts w:ascii="方正黑体_GBK" w:eastAsia="方正黑体_GBK" w:cs="宋体"/>
                <w:sz w:val="18"/>
                <w:szCs w:val="18"/>
              </w:rPr>
              <w:t>1.安全保管理财产品财产；</w:t>
            </w:r>
          </w:p>
          <w:p w14:paraId="06A38A3C">
            <w:pPr>
              <w:spacing w:line="200" w:lineRule="exact"/>
            </w:pPr>
            <w:r>
              <w:rPr>
                <w:rFonts w:ascii="方正黑体_GBK" w:eastAsia="方正黑体_GBK" w:cs="宋体"/>
                <w:sz w:val="18"/>
                <w:szCs w:val="18"/>
              </w:rPr>
              <w:t>2.为每只理财产品开设独立的托管账户，不同托管账户中的资产应当相互独立；</w:t>
            </w:r>
          </w:p>
          <w:p w14:paraId="46718DD1">
            <w:pPr>
              <w:spacing w:line="200" w:lineRule="exact"/>
            </w:pPr>
            <w:r>
              <w:rPr>
                <w:rFonts w:ascii="方正黑体_GBK" w:eastAsia="方正黑体_GBK" w:cs="宋体"/>
                <w:sz w:val="18"/>
                <w:szCs w:val="18"/>
              </w:rPr>
              <w:t>3.按照托管协议约定和管理人的投资指令，及时办理清算、交割事宜；</w:t>
            </w:r>
          </w:p>
          <w:p w14:paraId="393C1BBE">
            <w:pPr>
              <w:spacing w:line="200" w:lineRule="exact"/>
            </w:pPr>
            <w:r>
              <w:rPr>
                <w:rFonts w:asci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108D6E89">
            <w:pPr>
              <w:spacing w:line="200" w:lineRule="exact"/>
            </w:pPr>
            <w:r>
              <w:rPr>
                <w:rFonts w:asci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05B662E">
            <w:pPr>
              <w:spacing w:line="200" w:lineRule="exact"/>
            </w:pPr>
            <w:r>
              <w:rPr>
                <w:rFonts w:asci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2B2BD9C">
            <w:pPr>
              <w:spacing w:line="200" w:lineRule="exact"/>
            </w:pPr>
            <w:r>
              <w:rPr>
                <w:rFonts w:ascii="方正黑体_GBK" w:eastAsia="方正黑体_GBK" w:cs="宋体"/>
                <w:sz w:val="18"/>
                <w:szCs w:val="18"/>
              </w:rPr>
              <w:t>7.理财托管业务活动的记录、账册、报表和其他相关资料保存20年以上；</w:t>
            </w:r>
          </w:p>
          <w:p w14:paraId="664D0D55">
            <w:pPr>
              <w:spacing w:line="200" w:lineRule="exact"/>
            </w:pPr>
            <w:r>
              <w:rPr>
                <w:rFonts w:asci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C8FC02C">
            <w:pPr>
              <w:spacing w:line="200" w:lineRule="exact"/>
            </w:pPr>
            <w:r>
              <w:rPr>
                <w:rFonts w:ascii="方正黑体_GBK" w:eastAsia="方正黑体_GBK" w:cs="宋体"/>
                <w:sz w:val="18"/>
                <w:szCs w:val="18"/>
              </w:rPr>
              <w:t>9.国务院银行业监督管理机构规定及本理财产品相关托管协议中约定的其他职责。</w:t>
            </w:r>
          </w:p>
        </w:tc>
      </w:tr>
      <w:tr w14:paraId="2BF38A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C339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7B1274F">
            <w:pPr>
              <w:spacing w:line="200" w:lineRule="exact"/>
            </w:pPr>
            <w:r>
              <w:rPr>
                <w:rFonts w:ascii="方正黑体_GBK" w:eastAsia="方正黑体_GBK"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5558DB47">
            <w:pPr>
              <w:spacing w:line="200" w:lineRule="exact"/>
            </w:pPr>
            <w:r>
              <w:rPr>
                <w:rFonts w:asci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4959FA18">
            <w:pPr>
              <w:spacing w:line="200" w:lineRule="exact"/>
            </w:pPr>
            <w:r>
              <w:rPr>
                <w:rFonts w:ascii="方正黑体_GBK" w:eastAsia="方正黑体_GBK" w:cs="宋体"/>
                <w:sz w:val="18"/>
                <w:szCs w:val="18"/>
              </w:rPr>
              <w:t>若上述合作机构及其职责发生调整，管理人将在本理财产品的定期报告中进行信息披露。</w:t>
            </w:r>
          </w:p>
          <w:p w14:paraId="0BEE68B2">
            <w:pPr>
              <w:spacing w:line="200" w:lineRule="exact"/>
            </w:pPr>
            <w:r>
              <w:rPr>
                <w:rFonts w:ascii="方正黑体_GBK" w:eastAsia="方正黑体_GBK" w:cs="宋体"/>
                <w:sz w:val="18"/>
                <w:szCs w:val="18"/>
              </w:rPr>
              <w:t>上述投资合作机构简介：</w:t>
            </w:r>
          </w:p>
          <w:p w14:paraId="405AF410">
            <w:pPr>
              <w:spacing w:line="200" w:lineRule="exact"/>
            </w:pPr>
            <w:r>
              <w:rPr>
                <w:rFonts w:ascii="方正黑体_GBK" w:eastAsia="方正黑体_GBK" w:cs="宋体"/>
                <w:sz w:val="18"/>
                <w:szCs w:val="18"/>
              </w:rPr>
              <w:t>大家资产管理有限责任公司成立于2011年05月20日，注册资本金6亿元人民币。</w:t>
            </w:r>
          </w:p>
          <w:p w14:paraId="3A0C7B17">
            <w:pPr>
              <w:spacing w:line="200" w:lineRule="exact"/>
            </w:pPr>
            <w:r>
              <w:rPr>
                <w:rFonts w:ascii="方正黑体_GBK" w:eastAsia="方正黑体_GBK" w:cs="宋体"/>
                <w:sz w:val="18"/>
                <w:szCs w:val="18"/>
              </w:rPr>
              <w:t>光大永明资产管理股份有限公司成立于2012年03月02日，注册资本金5亿元。</w:t>
            </w:r>
          </w:p>
          <w:p w14:paraId="5FAC26EF">
            <w:pPr>
              <w:spacing w:line="200" w:lineRule="exact"/>
            </w:pPr>
            <w:r>
              <w:rPr>
                <w:rFonts w:ascii="方正黑体_GBK" w:eastAsia="方正黑体_GBK" w:cs="宋体"/>
                <w:sz w:val="18"/>
                <w:szCs w:val="18"/>
              </w:rPr>
              <w:t>广东粤财信托有限公司成立于1985年03月07日，注册资本金380000万元。</w:t>
            </w:r>
          </w:p>
          <w:p w14:paraId="255910AE">
            <w:pPr>
              <w:spacing w:line="200" w:lineRule="exact"/>
            </w:pPr>
            <w:r>
              <w:rPr>
                <w:rFonts w:ascii="方正黑体_GBK" w:eastAsia="方正黑体_GBK" w:cs="宋体"/>
                <w:sz w:val="18"/>
                <w:szCs w:val="18"/>
              </w:rPr>
              <w:t>国投泰康信托有限公司成立于1986年06月26日，注册资本金267,054.5454万人民币。</w:t>
            </w:r>
          </w:p>
          <w:p w14:paraId="47946AB7">
            <w:pPr>
              <w:spacing w:line="200" w:lineRule="exact"/>
            </w:pPr>
            <w:r>
              <w:rPr>
                <w:rFonts w:ascii="方正黑体_GBK" w:eastAsia="方正黑体_GBK" w:cs="宋体"/>
                <w:sz w:val="18"/>
                <w:szCs w:val="18"/>
              </w:rPr>
              <w:t>华能贵诚信托有限公司成立于2002年09月29日，注册资本金619,455.7406万元人民币。</w:t>
            </w:r>
          </w:p>
          <w:p w14:paraId="330505A8">
            <w:pPr>
              <w:spacing w:line="200" w:lineRule="exact"/>
            </w:pPr>
            <w:r>
              <w:rPr>
                <w:rFonts w:ascii="方正黑体_GBK" w:eastAsia="方正黑体_GBK" w:cs="宋体"/>
                <w:sz w:val="18"/>
                <w:szCs w:val="18"/>
              </w:rPr>
              <w:t>华泰资产管理有限公司成立于2005年01月18日，注册资本金60060万元人民币。</w:t>
            </w:r>
          </w:p>
          <w:p w14:paraId="5F813ED3">
            <w:pPr>
              <w:spacing w:line="200" w:lineRule="exact"/>
            </w:pPr>
            <w:r>
              <w:rPr>
                <w:rFonts w:ascii="方正黑体_GBK" w:eastAsia="方正黑体_GBK" w:cs="宋体"/>
                <w:sz w:val="18"/>
                <w:szCs w:val="18"/>
              </w:rPr>
              <w:t>华鑫国际信托有限公司成立于1984年06月01日，注册资本金73.95亿元。</w:t>
            </w:r>
          </w:p>
          <w:p w14:paraId="37D3BA70">
            <w:pPr>
              <w:spacing w:line="200" w:lineRule="exact"/>
            </w:pPr>
            <w:r>
              <w:rPr>
                <w:rFonts w:ascii="方正黑体_GBK" w:eastAsia="方正黑体_GBK" w:cs="宋体"/>
                <w:sz w:val="18"/>
                <w:szCs w:val="18"/>
              </w:rPr>
              <w:t>建信保险资产管理有限公司成立于2016年04月27日，注册资本金3亿元。</w:t>
            </w:r>
          </w:p>
          <w:p w14:paraId="34A88820">
            <w:pPr>
              <w:spacing w:line="200" w:lineRule="exact"/>
            </w:pPr>
            <w:r>
              <w:rPr>
                <w:rFonts w:ascii="方正黑体_GBK" w:eastAsia="方正黑体_GBK" w:cs="宋体"/>
                <w:sz w:val="18"/>
                <w:szCs w:val="18"/>
              </w:rPr>
              <w:t>上海国际信托有限公司成立于1981年05月06日，注册资本金50亿元。</w:t>
            </w:r>
          </w:p>
          <w:p w14:paraId="0A2FAB08">
            <w:pPr>
              <w:spacing w:line="200" w:lineRule="exact"/>
            </w:pPr>
            <w:r>
              <w:rPr>
                <w:rFonts w:ascii="方正黑体_GBK" w:eastAsia="方正黑体_GBK" w:cs="宋体"/>
                <w:sz w:val="18"/>
                <w:szCs w:val="18"/>
              </w:rPr>
              <w:t>泰康资产管理有限责任公司成立于2006年02月21日，注册资本金10亿元。</w:t>
            </w:r>
          </w:p>
          <w:p w14:paraId="68ADE508">
            <w:pPr>
              <w:spacing w:line="200" w:lineRule="exact"/>
            </w:pPr>
            <w:r>
              <w:rPr>
                <w:rFonts w:ascii="方正黑体_GBK" w:eastAsia="方正黑体_GBK" w:cs="宋体"/>
                <w:sz w:val="18"/>
                <w:szCs w:val="18"/>
              </w:rPr>
              <w:t>天津信托有限责任公司成立于1986年09月23日，注册资本金170000万元人民币。</w:t>
            </w:r>
          </w:p>
          <w:p w14:paraId="083FACDF">
            <w:pPr>
              <w:spacing w:line="200" w:lineRule="exact"/>
            </w:pPr>
            <w:r>
              <w:rPr>
                <w:rFonts w:ascii="方正黑体_GBK" w:eastAsia="方正黑体_GBK" w:cs="宋体"/>
                <w:sz w:val="18"/>
                <w:szCs w:val="18"/>
              </w:rPr>
              <w:t>云南国际信托有限公司成立于1997年09月03日，注册资本金120000万元人民币。</w:t>
            </w:r>
          </w:p>
          <w:p w14:paraId="4C3ACE04">
            <w:pPr>
              <w:spacing w:line="200" w:lineRule="exact"/>
            </w:pPr>
            <w:r>
              <w:rPr>
                <w:rFonts w:ascii="方正黑体_GBK" w:eastAsia="方正黑体_GBK" w:cs="宋体"/>
                <w:sz w:val="18"/>
                <w:szCs w:val="18"/>
              </w:rPr>
              <w:t>中国对外经济贸易信托有限公司成立于1987年09月30日，注册资本金800000万元人民币。</w:t>
            </w:r>
          </w:p>
          <w:p w14:paraId="7C5A4CBA">
            <w:pPr>
              <w:spacing w:line="200" w:lineRule="exact"/>
            </w:pPr>
            <w:r>
              <w:rPr>
                <w:rFonts w:ascii="方正黑体_GBK" w:eastAsia="方正黑体_GBK" w:cs="宋体"/>
                <w:sz w:val="18"/>
                <w:szCs w:val="18"/>
              </w:rPr>
              <w:t>中粮信托有限责任公司成立于2009年07月27日，注册资本金28.3亿元。</w:t>
            </w:r>
          </w:p>
          <w:p w14:paraId="0A3DA6D1">
            <w:pPr>
              <w:spacing w:line="200" w:lineRule="exact"/>
            </w:pPr>
            <w:r>
              <w:rPr>
                <w:rFonts w:ascii="方正黑体_GBK" w:eastAsia="方正黑体_GBK" w:cs="宋体"/>
                <w:sz w:val="18"/>
                <w:szCs w:val="18"/>
              </w:rPr>
              <w:t>中信信托有限责任公司成立于1988年03月01日，注册资本金1127600万元人民币。</w:t>
            </w:r>
          </w:p>
          <w:p w14:paraId="5A05B875">
            <w:pPr>
              <w:spacing w:line="200" w:lineRule="exact"/>
            </w:pPr>
            <w:r>
              <w:rPr>
                <w:rFonts w:ascii="方正黑体_GBK" w:eastAsia="方正黑体_GBK" w:cs="宋体"/>
                <w:sz w:val="18"/>
                <w:szCs w:val="18"/>
              </w:rPr>
              <w:t>重庆国际信托股份有限公司成立于1984年10月22日，注册资本金150亿元。</w:t>
            </w:r>
          </w:p>
        </w:tc>
      </w:tr>
      <w:tr w14:paraId="43C22A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9DCD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0635E0B0">
            <w:pPr>
              <w:spacing w:line="200" w:lineRule="exact"/>
              <w:jc w:val="left"/>
            </w:pPr>
            <w:r>
              <w:rPr>
                <w:rFonts w:asci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FEFF37A">
            <w:pPr>
              <w:spacing w:line="200" w:lineRule="exact"/>
              <w:jc w:val="left"/>
            </w:pPr>
            <w:r>
              <w:rPr>
                <w:rFonts w:ascii="方正黑体_GBK" w:eastAsia="方正黑体_GBK" w:cs="宋体"/>
                <w:color w:val="000000"/>
                <w:sz w:val="18"/>
                <w:szCs w:val="18"/>
              </w:rPr>
              <w:t>1.接受全额赎回：当管理人认为有能力兑付投资者的全部赎回申请时，将在赎回确认日按正常赎回程序执行；</w:t>
            </w:r>
          </w:p>
          <w:p w14:paraId="2FA106C9">
            <w:pPr>
              <w:spacing w:line="200" w:lineRule="exact"/>
              <w:jc w:val="left"/>
            </w:pPr>
            <w:r>
              <w:rPr>
                <w:rFonts w:asci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53A199CE">
            <w:pPr>
              <w:spacing w:line="200" w:lineRule="exact"/>
              <w:jc w:val="left"/>
            </w:pPr>
            <w:r>
              <w:rPr>
                <w:rFonts w:asci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2F2BE37A">
            <w:pPr>
              <w:spacing w:line="200" w:lineRule="exact"/>
              <w:jc w:val="left"/>
            </w:pPr>
            <w:r>
              <w:rPr>
                <w:rFonts w:ascii="方正黑体_GBK" w:eastAsia="方正黑体_GBK" w:cs="宋体"/>
                <w:color w:val="000000"/>
                <w:sz w:val="18"/>
                <w:szCs w:val="18"/>
              </w:rPr>
              <w:t>（2）对于暂停接受的部分，管理人将拒绝该部分赎回申请，投资者可在下一个产品开放日再次发起赎回申请。</w:t>
            </w:r>
          </w:p>
          <w:p w14:paraId="40FFFEB7">
            <w:pPr>
              <w:spacing w:line="200" w:lineRule="exact"/>
              <w:jc w:val="left"/>
            </w:pPr>
            <w:r>
              <w:rPr>
                <w:rFonts w:asci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0B5849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7F67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61C60FE1">
            <w:pPr>
              <w:spacing w:line="200" w:lineRule="exact"/>
            </w:pPr>
            <w:r>
              <w:rPr>
                <w:rFonts w:asci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621E0B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2699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00A0A75D">
            <w:pPr>
              <w:spacing w:line="200" w:lineRule="exact"/>
            </w:pPr>
            <w:r>
              <w:rPr>
                <w:rFonts w:ascii="方正黑体_GBK" w:eastAsia="方正黑体_GBK" w:cs="宋体"/>
                <w:sz w:val="18"/>
                <w:szCs w:val="18"/>
              </w:rPr>
              <w:t>发生下列情形时，管理人可暂停接受投资者认申购申请：</w:t>
            </w:r>
          </w:p>
          <w:p w14:paraId="7EC5B704">
            <w:pPr>
              <w:spacing w:line="200" w:lineRule="exact"/>
            </w:pPr>
            <w:r>
              <w:rPr>
                <w:rFonts w:ascii="方正黑体_GBK" w:eastAsia="方正黑体_GBK" w:cs="宋体"/>
                <w:sz w:val="18"/>
                <w:szCs w:val="18"/>
              </w:rPr>
              <w:t>1.因不可抗力导致理财产品无法正常运作；</w:t>
            </w:r>
          </w:p>
          <w:p w14:paraId="5A8B3B5F">
            <w:pPr>
              <w:spacing w:line="200" w:lineRule="exact"/>
            </w:pPr>
            <w:r>
              <w:rPr>
                <w:rFonts w:ascii="方正黑体_GBK" w:eastAsia="方正黑体_GBK" w:cs="宋体"/>
                <w:sz w:val="18"/>
                <w:szCs w:val="18"/>
              </w:rPr>
              <w:t>2.因监管政策、市场发生重大变化，导致理财产品无法正常运作；</w:t>
            </w:r>
          </w:p>
          <w:p w14:paraId="40B23062">
            <w:pPr>
              <w:spacing w:line="200" w:lineRule="exact"/>
            </w:pPr>
            <w:r>
              <w:rPr>
                <w:rFonts w:ascii="方正黑体_GBK" w:eastAsia="方正黑体_GBK" w:cs="宋体"/>
                <w:sz w:val="18"/>
                <w:szCs w:val="18"/>
              </w:rPr>
              <w:t>3.管理人认为需要暂停认申购的其他情形。</w:t>
            </w:r>
          </w:p>
          <w:p w14:paraId="290EFDF3">
            <w:pPr>
              <w:spacing w:line="200" w:lineRule="exact"/>
            </w:pPr>
            <w:r>
              <w:rPr>
                <w:rFonts w:asci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10D023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4366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63AA0493">
            <w:pPr>
              <w:spacing w:line="200" w:lineRule="exact"/>
            </w:pPr>
            <w:r>
              <w:rPr>
                <w:rFonts w:asci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213A5213">
            <w:pPr>
              <w:spacing w:line="200" w:lineRule="exact"/>
            </w:pPr>
            <w:r>
              <w:rPr>
                <w:rFonts w:asci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08B430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E1CE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0E4A22A">
            <w:pPr>
              <w:spacing w:line="200" w:lineRule="exact"/>
              <w:jc w:val="left"/>
            </w:pPr>
            <w:r>
              <w:rPr>
                <w:rFonts w:ascii="方正黑体_GBK" w:eastAsia="方正黑体_GBK" w:cs="宋体"/>
                <w:sz w:val="18"/>
                <w:szCs w:val="18"/>
              </w:rPr>
              <w:t>1.本理财产品开放日内非操作时间不能进行申购/赎回申请，封闭期内不开放申购/赎回申请。</w:t>
            </w:r>
          </w:p>
          <w:p w14:paraId="1A5E2C76">
            <w:pPr>
              <w:spacing w:line="200" w:lineRule="exact"/>
              <w:jc w:val="left"/>
            </w:pPr>
            <w:r>
              <w:rPr>
                <w:rFonts w:ascii="方正黑体_GBK" w:eastAsia="方正黑体_GBK" w:cs="宋体"/>
                <w:sz w:val="18"/>
                <w:szCs w:val="18"/>
              </w:rPr>
              <w:t>2.管理人在本理财产品存续期间按照监管规定进行信息披露，详见本理财产品说明书第五条信息披露。</w:t>
            </w:r>
          </w:p>
          <w:p w14:paraId="299F4023">
            <w:pPr>
              <w:spacing w:line="200" w:lineRule="exact"/>
              <w:jc w:val="left"/>
            </w:pPr>
            <w:r>
              <w:rPr>
                <w:rFonts w:ascii="方正黑体_GBK" w:eastAsia="方正黑体_GBK" w:cs="宋体"/>
                <w:b/>
                <w:sz w:val="18"/>
                <w:szCs w:val="18"/>
              </w:rPr>
              <w:t>3.本理财产品投资的资产管理产品的业绩报酬、赎回费等的提取（如有）可能造成本理财产品净值的下降。</w:t>
            </w:r>
          </w:p>
          <w:p w14:paraId="2B10E76A">
            <w:pPr>
              <w:spacing w:line="200" w:lineRule="exact"/>
            </w:pPr>
            <w:r>
              <w:rPr>
                <w:rFonts w:asci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29DA2F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2B79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aps w:val="0"/>
                <w:smallCaps w:val="0"/>
                <w:snapToGrid/>
                <w:vanish w:val="0"/>
                <w:color w:val="auto"/>
                <w:kern w:val="0"/>
                <w:sz w:val="18"/>
                <w:szCs w:val="18"/>
                <w:vertAlign w:val="baseline"/>
              </w:rPr>
            </w:pPr>
            <w:r>
              <w:rPr>
                <w:rFonts w:hint="eastAsia" w:asci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A13372B">
            <w:pPr>
              <w:spacing w:line="200" w:lineRule="exact"/>
            </w:pPr>
            <w:r>
              <w:rPr>
                <w:rFonts w:asci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C818DA0">
      <w:pPr>
        <w:pStyle w:val="29"/>
        <w:rPr>
          <w:rFonts w:hint="eastAsia" w:ascii="方正黑体_GBK" w:eastAsia="方正黑体_GBK"/>
          <w:b/>
          <w:sz w:val="15"/>
          <w:szCs w:val="15"/>
        </w:rPr>
      </w:pPr>
      <w:r>
        <w:rPr>
          <w:rFonts w:ascii="方正黑体_GBK" w:eastAsia="方正黑体_GBK"/>
          <w:b/>
          <w:caps w:val="0"/>
          <w:smallCaps w:val="0"/>
          <w:snapToGrid/>
          <w:vanish w:val="0"/>
          <w:color w:val="auto"/>
          <w:sz w:val="15"/>
          <w:szCs w:val="15"/>
          <w:vertAlign w:val="baseline"/>
        </w:rPr>
        <w:t>特别说明：本理财产品无预期收益率，</w:t>
      </w:r>
      <w:r>
        <w:rPr>
          <w:rFonts w:asci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b/>
          <w:caps w:val="0"/>
          <w:smallCaps w:val="0"/>
          <w:snapToGrid/>
          <w:vanish w:val="0"/>
          <w:color w:val="auto"/>
          <w:sz w:val="15"/>
          <w:szCs w:val="15"/>
          <w:vertAlign w:val="baseline"/>
        </w:rPr>
        <w:t>投资须谨慎。</w:t>
      </w:r>
    </w:p>
    <w:p w14:paraId="07FB54B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eastAsia="方正黑体_GBK"/>
          <w:b/>
          <w:bCs/>
          <w:vanish w:val="0"/>
          <w:color w:val="3D3D3D"/>
          <w:kern w:val="0"/>
          <w:sz w:val="15"/>
          <w:szCs w:val="15"/>
        </w:rPr>
      </w:pPr>
      <w:r>
        <w:rPr>
          <w:rFonts w:hint="eastAsia" w:ascii="方正黑体_GBK" w:eastAsia="方正黑体_GBK"/>
          <w:b/>
          <w:bCs/>
          <w:vanish w:val="0"/>
          <w:color w:val="3D3D3D"/>
          <w:kern w:val="0"/>
          <w:sz w:val="15"/>
          <w:szCs w:val="15"/>
        </w:rPr>
        <w:t>第二条</w:t>
      </w:r>
      <w:r>
        <w:rPr>
          <w:rFonts w:hint="eastAsia" w:ascii="方正黑体_GBK" w:eastAsia="方正黑体_GBK" w:cs="Times New Roman"/>
          <w:b/>
          <w:bCs/>
          <w:vanish w:val="0"/>
          <w:color w:val="3D3D3D"/>
          <w:kern w:val="0"/>
          <w:sz w:val="15"/>
          <w:szCs w:val="15"/>
        </w:rPr>
        <w:t xml:space="preserve">  </w:t>
      </w:r>
      <w:r>
        <w:rPr>
          <w:rFonts w:hint="eastAsia" w:ascii="方正黑体_GBK" w:eastAsia="方正黑体_GBK"/>
          <w:b/>
          <w:bCs/>
          <w:vanish w:val="0"/>
          <w:color w:val="3D3D3D"/>
          <w:kern w:val="0"/>
          <w:sz w:val="15"/>
          <w:szCs w:val="15"/>
        </w:rPr>
        <w:t>名词释义</w:t>
      </w:r>
    </w:p>
    <w:p w14:paraId="435668C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在本理财产品说明书中，除非上下文另有明确约定，下列用词将具有如下含义：</w:t>
      </w:r>
    </w:p>
    <w:p w14:paraId="2140485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参与主体用语</w:t>
      </w:r>
    </w:p>
    <w:p w14:paraId="2218C1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1.南银理财/管理人/</w:t>
      </w:r>
      <w:r>
        <w:rPr>
          <w:rFonts w:hint="eastAsia" w:ascii="方正黑体_GBK" w:eastAsia="方正黑体_GBK"/>
          <w:color w:val="3D3D3D"/>
          <w:kern w:val="0"/>
          <w:sz w:val="15"/>
          <w:szCs w:val="15"/>
          <w:highlight w:val="none"/>
          <w:lang w:val="en-US" w:eastAsia="zh-CN"/>
        </w:rPr>
        <w:t>产品管理人/</w:t>
      </w:r>
      <w:r>
        <w:rPr>
          <w:rFonts w:ascii="方正黑体_GBK" w:eastAsia="方正黑体_GBK"/>
          <w:color w:val="3D3D3D"/>
          <w:kern w:val="0"/>
          <w:sz w:val="15"/>
          <w:szCs w:val="15"/>
          <w:highlight w:val="none"/>
        </w:rPr>
        <w:t>理财产品管理人：指南银理财有限责任公司。</w:t>
      </w:r>
    </w:p>
    <w:p w14:paraId="52404672">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eastAsia="方正黑体_GBK"/>
          <w:color w:val="3D3D3D"/>
          <w:kern w:val="0"/>
          <w:sz w:val="15"/>
          <w:szCs w:val="15"/>
          <w:highlight w:val="none"/>
          <w:lang w:eastAsia="zh-CN"/>
        </w:rPr>
        <w:t xml:space="preserve">     2.销售</w:t>
      </w:r>
      <w:r>
        <w:rPr>
          <w:rFonts w:hint="eastAsia" w:ascii="方正黑体_GBK" w:eastAsia="方正黑体_GBK"/>
          <w:color w:val="3D3D3D"/>
          <w:kern w:val="0"/>
          <w:sz w:val="15"/>
          <w:szCs w:val="15"/>
          <w:highlight w:val="none"/>
        </w:rPr>
        <w:t>机构：指</w:t>
      </w:r>
      <w:r>
        <w:rPr>
          <w:rFonts w:hint="eastAsia" w:ascii="方正黑体_GBK" w:eastAsia="方正黑体_GBK"/>
          <w:color w:val="3D3D3D"/>
          <w:kern w:val="0"/>
          <w:sz w:val="15"/>
          <w:szCs w:val="15"/>
          <w:highlight w:val="none"/>
          <w:lang w:eastAsia="zh-CN"/>
        </w:rPr>
        <w:t>本</w:t>
      </w:r>
      <w:r>
        <w:rPr>
          <w:rFonts w:hint="eastAsia" w:ascii="方正黑体_GBK" w:eastAsia="方正黑体_GBK"/>
          <w:color w:val="3D3D3D"/>
          <w:kern w:val="0"/>
          <w:sz w:val="15"/>
          <w:szCs w:val="15"/>
          <w:highlight w:val="none"/>
        </w:rPr>
        <w:t>理财产品的销售机构</w:t>
      </w:r>
      <w:r>
        <w:rPr>
          <w:rFonts w:hint="eastAsia" w:ascii="方正黑体_GBK" w:eastAsia="方正黑体_GBK"/>
          <w:color w:val="3D3D3D"/>
          <w:kern w:val="0"/>
          <w:sz w:val="15"/>
          <w:szCs w:val="15"/>
          <w:highlight w:val="none"/>
          <w:lang w:eastAsia="zh-CN"/>
        </w:rPr>
        <w:t>，</w:t>
      </w:r>
      <w:r>
        <w:rPr>
          <w:rFonts w:hint="eastAsia" w:ascii="方正黑体_GBK" w:eastAsia="方正黑体_GBK"/>
          <w:color w:val="3D3D3D"/>
          <w:kern w:val="0"/>
          <w:sz w:val="15"/>
          <w:szCs w:val="15"/>
          <w:highlight w:val="none"/>
          <w:lang w:val="en-US" w:eastAsia="zh-CN"/>
        </w:rPr>
        <w:t>包括</w:t>
      </w:r>
      <w:r>
        <w:rPr>
          <w:rFonts w:hint="eastAsia" w:ascii="方正黑体_GBK" w:eastAsia="方正黑体_GBK"/>
          <w:color w:val="3D3D3D"/>
          <w:kern w:val="0"/>
          <w:sz w:val="15"/>
          <w:szCs w:val="15"/>
          <w:highlight w:val="none"/>
        </w:rPr>
        <w:t>销售本公司发行理财产品的理财公司</w:t>
      </w:r>
      <w:r>
        <w:rPr>
          <w:rFonts w:hint="eastAsia" w:ascii="方正黑体_GBK" w:eastAsia="方正黑体_GBK"/>
          <w:color w:val="3D3D3D"/>
          <w:kern w:val="0"/>
          <w:sz w:val="15"/>
          <w:szCs w:val="15"/>
          <w:highlight w:val="none"/>
          <w:lang w:val="en-US" w:eastAsia="zh-CN"/>
        </w:rPr>
        <w:t>即南银理财，以及</w:t>
      </w:r>
      <w:r>
        <w:rPr>
          <w:rFonts w:hint="eastAsia" w:ascii="方正黑体_GBK" w:eastAsia="方正黑体_GBK"/>
          <w:color w:val="3D3D3D"/>
          <w:kern w:val="0"/>
          <w:sz w:val="15"/>
          <w:szCs w:val="15"/>
          <w:highlight w:val="none"/>
        </w:rPr>
        <w:t>接受</w:t>
      </w:r>
      <w:r>
        <w:rPr>
          <w:rFonts w:hint="eastAsia" w:ascii="方正黑体_GBK" w:eastAsia="方正黑体_GBK"/>
          <w:color w:val="3D3D3D"/>
          <w:kern w:val="0"/>
          <w:sz w:val="15"/>
          <w:szCs w:val="15"/>
          <w:highlight w:val="none"/>
          <w:lang w:val="en-US" w:eastAsia="zh-CN"/>
        </w:rPr>
        <w:t>南银理财</w:t>
      </w:r>
      <w:r>
        <w:rPr>
          <w:rFonts w:hint="eastAsia" w:ascii="方正黑体_GBK" w:eastAsia="方正黑体_GBK"/>
          <w:color w:val="3D3D3D"/>
          <w:kern w:val="0"/>
          <w:sz w:val="15"/>
          <w:szCs w:val="15"/>
          <w:highlight w:val="none"/>
        </w:rPr>
        <w:t>委托销售其发行理财产品的代理销售机构</w:t>
      </w:r>
      <w:r>
        <w:rPr>
          <w:rFonts w:hint="eastAsia" w:ascii="方正黑体_GBK" w:eastAsia="方正黑体_GBK"/>
          <w:color w:val="3D3D3D"/>
          <w:kern w:val="0"/>
          <w:sz w:val="15"/>
          <w:szCs w:val="15"/>
          <w:highlight w:val="none"/>
          <w:lang w:eastAsia="zh-CN"/>
        </w:rPr>
        <w:t>（</w:t>
      </w:r>
      <w:r>
        <w:rPr>
          <w:rFonts w:hint="eastAsia" w:ascii="方正黑体_GBK" w:eastAsia="方正黑体_GBK"/>
          <w:color w:val="3D3D3D"/>
          <w:kern w:val="0"/>
          <w:sz w:val="15"/>
          <w:szCs w:val="15"/>
          <w:highlight w:val="none"/>
          <w:lang w:val="en-US" w:eastAsia="zh-CN"/>
        </w:rPr>
        <w:t>代销机构</w:t>
      </w:r>
      <w:r>
        <w:rPr>
          <w:rFonts w:hint="eastAsia" w:ascii="方正黑体_GBK" w:eastAsia="方正黑体_GBK"/>
          <w:color w:val="3D3D3D"/>
          <w:kern w:val="0"/>
          <w:sz w:val="15"/>
          <w:szCs w:val="15"/>
          <w:highlight w:val="none"/>
          <w:lang w:eastAsia="zh-CN"/>
        </w:rPr>
        <w:t>）</w:t>
      </w:r>
      <w:r>
        <w:rPr>
          <w:rFonts w:hint="eastAsia" w:ascii="方正黑体_GBK" w:eastAsia="方正黑体_GBK"/>
          <w:color w:val="3D3D3D"/>
          <w:kern w:val="0"/>
          <w:sz w:val="15"/>
          <w:szCs w:val="15"/>
          <w:highlight w:val="none"/>
        </w:rPr>
        <w:t>。</w:t>
      </w:r>
    </w:p>
    <w:p w14:paraId="440708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3.托管人：</w:t>
      </w:r>
      <w:r>
        <w:rPr>
          <w:rFonts w:hint="eastAsia" w:ascii="方正黑体_GBK" w:eastAsia="方正黑体_GBK"/>
          <w:color w:val="3D3D3D"/>
          <w:kern w:val="0"/>
          <w:sz w:val="15"/>
          <w:szCs w:val="15"/>
          <w:highlight w:val="none"/>
        </w:rPr>
        <w:t>指根据管理人委托，对理财产品财产进行托管的机构</w:t>
      </w:r>
      <w:r>
        <w:rPr>
          <w:rFonts w:ascii="方正黑体_GBK" w:eastAsia="方正黑体_GBK"/>
          <w:color w:val="3D3D3D"/>
          <w:kern w:val="0"/>
          <w:sz w:val="15"/>
          <w:szCs w:val="15"/>
          <w:highlight w:val="none"/>
        </w:rPr>
        <w:t>。</w:t>
      </w:r>
    </w:p>
    <w:p w14:paraId="27A912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4.认购</w:t>
      </w:r>
      <w:r>
        <w:rPr>
          <w:rFonts w:hint="eastAsia" w:ascii="方正黑体_GBK" w:eastAsia="方正黑体_GBK"/>
          <w:color w:val="3D3D3D"/>
          <w:kern w:val="0"/>
          <w:sz w:val="15"/>
          <w:szCs w:val="15"/>
          <w:highlight w:val="none"/>
        </w:rPr>
        <w:t>/申购</w:t>
      </w:r>
      <w:r>
        <w:rPr>
          <w:rFonts w:ascii="方正黑体_GBK" w:eastAsia="方正黑体_GBK"/>
          <w:color w:val="3D3D3D"/>
          <w:kern w:val="0"/>
          <w:sz w:val="15"/>
          <w:szCs w:val="15"/>
          <w:highlight w:val="none"/>
        </w:rPr>
        <w:t>人：指在募集期</w:t>
      </w:r>
      <w:r>
        <w:rPr>
          <w:rFonts w:hint="eastAsia" w:ascii="方正黑体_GBK" w:eastAsia="方正黑体_GBK"/>
          <w:color w:val="3D3D3D"/>
          <w:kern w:val="0"/>
          <w:sz w:val="15"/>
          <w:szCs w:val="15"/>
          <w:highlight w:val="none"/>
        </w:rPr>
        <w:t>/开放期</w:t>
      </w:r>
      <w:r>
        <w:rPr>
          <w:rFonts w:ascii="方正黑体_GBK" w:eastAsia="方正黑体_GBK"/>
          <w:color w:val="3D3D3D"/>
          <w:kern w:val="0"/>
          <w:sz w:val="15"/>
          <w:szCs w:val="15"/>
          <w:highlight w:val="none"/>
        </w:rPr>
        <w:t>期间签署本理财产品销售文件并向理财产品管理人交付认购</w:t>
      </w:r>
      <w:r>
        <w:rPr>
          <w:rFonts w:hint="eastAsia" w:ascii="方正黑体_GBK" w:eastAsia="方正黑体_GBK"/>
          <w:color w:val="3D3D3D"/>
          <w:kern w:val="0"/>
          <w:sz w:val="15"/>
          <w:szCs w:val="15"/>
          <w:highlight w:val="none"/>
        </w:rPr>
        <w:t>/申购</w:t>
      </w:r>
      <w:r>
        <w:rPr>
          <w:rFonts w:ascii="方正黑体_GBK" w:eastAsia="方正黑体_GBK"/>
          <w:color w:val="3D3D3D"/>
          <w:kern w:val="0"/>
          <w:sz w:val="15"/>
          <w:szCs w:val="15"/>
          <w:highlight w:val="none"/>
        </w:rPr>
        <w:t>资金的投资者。</w:t>
      </w:r>
    </w:p>
    <w:p w14:paraId="4B9272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FA042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29ABD83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法律文件用语</w:t>
      </w:r>
    </w:p>
    <w:p w14:paraId="6CFFB6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1.销售协议书：指本理财产品对应的《理财产品销售协议书》以及对该文件的有效修改或补充。</w:t>
      </w:r>
    </w:p>
    <w:p w14:paraId="7D3CC5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2.产品说明书/本理财产品说明书：指本《理财产品说明书》以及对</w:t>
      </w:r>
      <w:r>
        <w:rPr>
          <w:rFonts w:hint="eastAsia" w:ascii="方正黑体_GBK" w:eastAsia="方正黑体_GBK"/>
          <w:color w:val="3D3D3D"/>
          <w:kern w:val="0"/>
          <w:sz w:val="15"/>
          <w:szCs w:val="15"/>
          <w:highlight w:val="none"/>
          <w:lang w:eastAsia="zh-CN"/>
        </w:rPr>
        <w:t>该文件</w:t>
      </w:r>
      <w:r>
        <w:rPr>
          <w:rFonts w:ascii="方正黑体_GBK" w:eastAsia="方正黑体_GBK"/>
          <w:color w:val="3D3D3D"/>
          <w:kern w:val="0"/>
          <w:sz w:val="15"/>
          <w:szCs w:val="15"/>
          <w:highlight w:val="none"/>
        </w:rPr>
        <w:t>的有效修改或补充。</w:t>
      </w:r>
    </w:p>
    <w:p w14:paraId="57DF48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3.风险揭示书：指本理财产品对应的《理财产品风险揭示书》以及对该文件的有效修改或补充。</w:t>
      </w:r>
    </w:p>
    <w:p w14:paraId="2B4404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4.投资者权益须知：指本理财产品对应的《投资者权益须知》以及对该文件的有效修改或补充。</w:t>
      </w:r>
    </w:p>
    <w:p w14:paraId="4A101A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5.投资协议书</w:t>
      </w:r>
      <w:r>
        <w:rPr>
          <w:rFonts w:hint="eastAsia" w:ascii="方正黑体_GBK" w:eastAsia="方正黑体_GBK"/>
          <w:color w:val="3D3D3D"/>
          <w:kern w:val="0"/>
          <w:sz w:val="15"/>
          <w:szCs w:val="15"/>
          <w:highlight w:val="none"/>
        </w:rPr>
        <w:t>：</w:t>
      </w:r>
      <w:r>
        <w:rPr>
          <w:rFonts w:ascii="方正黑体_GBK" w:eastAsia="方正黑体_GBK"/>
          <w:color w:val="3D3D3D"/>
          <w:kern w:val="0"/>
          <w:sz w:val="15"/>
          <w:szCs w:val="15"/>
          <w:highlight w:val="none"/>
        </w:rPr>
        <w:t>指本理财产品对应的《理财产品投资协议书》以及对该文件的有效修改或补充。</w:t>
      </w:r>
    </w:p>
    <w:p w14:paraId="182BF4C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eastAsia="方正黑体_GBK"/>
          <w:color w:val="3D3D3D"/>
          <w:kern w:val="0"/>
          <w:sz w:val="15"/>
          <w:szCs w:val="15"/>
          <w:highlight w:val="none"/>
        </w:rPr>
        <w:t>、</w:t>
      </w:r>
      <w:r>
        <w:rPr>
          <w:rFonts w:ascii="方正黑体_GBK" w:eastAsia="方正黑体_GBK"/>
          <w:color w:val="3D3D3D"/>
          <w:kern w:val="0"/>
          <w:sz w:val="15"/>
          <w:szCs w:val="15"/>
          <w:highlight w:val="none"/>
        </w:rPr>
        <w:t>销售协议书</w:t>
      </w:r>
      <w:r>
        <w:rPr>
          <w:rFonts w:hint="eastAsia" w:ascii="方正黑体_GBK" w:eastAsia="方正黑体_GBK"/>
          <w:color w:val="3D3D3D"/>
          <w:kern w:val="0"/>
          <w:sz w:val="15"/>
          <w:szCs w:val="15"/>
          <w:highlight w:val="none"/>
        </w:rPr>
        <w:t>、</w:t>
      </w:r>
      <w:r>
        <w:rPr>
          <w:rFonts w:ascii="方正黑体_GBK" w:eastAsia="方正黑体_GBK"/>
          <w:color w:val="3D3D3D"/>
          <w:kern w:val="0"/>
          <w:sz w:val="15"/>
          <w:szCs w:val="15"/>
          <w:highlight w:val="none"/>
        </w:rPr>
        <w:t>投资协议书等。</w:t>
      </w:r>
      <w:r>
        <w:rPr>
          <w:rFonts w:ascii="方正黑体_GBK" w:eastAsia="方正黑体_GBK"/>
          <w:bCs/>
          <w:color w:val="3D3D3D"/>
          <w:kern w:val="0"/>
          <w:sz w:val="15"/>
          <w:szCs w:val="15"/>
          <w:highlight w:val="none"/>
        </w:rPr>
        <w:t>上述文件共同构成本理财产品完整且不可分割的销售文件。</w:t>
      </w:r>
    </w:p>
    <w:p w14:paraId="1D840B3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期间与日期</w:t>
      </w:r>
    </w:p>
    <w:p w14:paraId="725559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1.募集期：指管理人确定的接受投资者认购本理财产品的起止期限。</w:t>
      </w:r>
    </w:p>
    <w:p w14:paraId="38A989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2.开放期：指管理人确定的除募集期外接受投资者申购、赎回本理财产品的起止期限。</w:t>
      </w:r>
    </w:p>
    <w:p w14:paraId="785750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3926C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0214E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5.认购、申购、赎回确认日：指投资者认购、申购、赎回理财产品最终确认日期。</w:t>
      </w:r>
    </w:p>
    <w:p w14:paraId="66CA66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7D7DFA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7.产品存续期：指理财产品成立至终止的期间。</w:t>
      </w:r>
    </w:p>
    <w:p w14:paraId="2C05C1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C738C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85D18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10.工作日：指除国家法定节假日和休息日（包括周六、周日）外的日期。</w:t>
      </w:r>
    </w:p>
    <w:p w14:paraId="5BF12F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11.交易日：指上海证券交易所和深圳证券交易所的正常开盘交易日。</w:t>
      </w:r>
    </w:p>
    <w:p w14:paraId="44678F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12.支付日：指根据本理财产品说明书约定向销售文件约定的投资者授权指定账户划付理财产品资金之日。</w:t>
      </w:r>
    </w:p>
    <w:p w14:paraId="0B7DD9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0D7EFB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理财产品用语</w:t>
      </w:r>
    </w:p>
    <w:p w14:paraId="6F986B85">
      <w:pPr>
        <w:pStyle w:val="4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vanish w:val="0"/>
          <w:color w:val="3D3D3D"/>
          <w:kern w:val="0"/>
          <w:sz w:val="15"/>
          <w:szCs w:val="15"/>
        </w:rPr>
      </w:pPr>
      <w:r>
        <w:rPr>
          <w:rFonts w:ascii="方正黑体_GBK" w:eastAsia="方正黑体_GBK"/>
          <w:color w:val="3D3D3D"/>
          <w:kern w:val="0"/>
          <w:sz w:val="15"/>
          <w:szCs w:val="15"/>
          <w:highlight w:val="none"/>
        </w:rPr>
        <w:t xml:space="preserve"> 1.本理财产品/理财产品：</w:t>
      </w:r>
      <w:r>
        <w:rPr>
          <w:rFonts w:hint="eastAsia" w:ascii="方正黑体_GBK" w:eastAsia="方正黑体_GBK" w:cs="Times New Roman"/>
          <w:vanish w:val="0"/>
          <w:color w:val="3D3D3D"/>
          <w:kern w:val="0"/>
          <w:sz w:val="15"/>
          <w:szCs w:val="15"/>
        </w:rPr>
        <w:t xml:space="preserve"> </w:t>
      </w:r>
      <w:r>
        <w:rPr>
          <w:rFonts w:ascii="方正黑体_GBK" w:eastAsia="方正黑体_GBK"/>
          <w:b/>
          <w:bCs/>
          <w:caps w:val="0"/>
          <w:smallCaps w:val="0"/>
          <w:snapToGrid/>
          <w:vanish w:val="0"/>
          <w:color w:val="3D3D3D"/>
          <w:kern w:val="0"/>
          <w:sz w:val="15"/>
          <w:szCs w:val="15"/>
          <w:vertAlign w:val="baseline"/>
          <w:lang w:val="en-US" w:eastAsia="zh-CN"/>
        </w:rPr>
        <w:t>南银理财珠联璧合安稳1903一年定开公募人民币理财产品</w:t>
      </w:r>
      <w:r>
        <w:rPr>
          <w:rFonts w:hint="eastAsia" w:ascii="方正黑体_GBK" w:eastAsia="方正黑体_GBK"/>
          <w:vanish w:val="0"/>
          <w:color w:val="3D3D3D"/>
          <w:kern w:val="0"/>
          <w:sz w:val="15"/>
          <w:szCs w:val="15"/>
        </w:rPr>
        <w:t>。</w:t>
      </w:r>
    </w:p>
    <w:p w14:paraId="30829B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B5FF2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0E167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AFC7E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D81EB2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eastAsia="方正黑体_GBK"/>
          <w:color w:val="3D3D3D"/>
          <w:kern w:val="0"/>
          <w:sz w:val="15"/>
          <w:szCs w:val="15"/>
        </w:rPr>
        <w:t>产品份额净值按去尾法保留4位小数。</w:t>
      </w:r>
    </w:p>
    <w:p w14:paraId="3EE09F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7.理财产品估值/估值：指计算评估理财产品资产以确定理财产品份额单位净值的过程。</w:t>
      </w:r>
    </w:p>
    <w:p w14:paraId="33CB89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8.业绩比较基准：指管理人基于</w:t>
      </w:r>
      <w:r>
        <w:rPr>
          <w:rFonts w:hint="eastAsia" w:ascii="方正黑体_GBK" w:eastAsia="方正黑体_GBK"/>
          <w:color w:val="3D3D3D"/>
          <w:kern w:val="0"/>
          <w:sz w:val="15"/>
          <w:szCs w:val="15"/>
          <w:highlight w:val="none"/>
          <w:lang w:val="en-US" w:eastAsia="zh-CN"/>
        </w:rPr>
        <w:t>产品性质、投资策略、</w:t>
      </w:r>
      <w:r>
        <w:rPr>
          <w:rFonts w:asci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eastAsia="方正黑体_GBK"/>
          <w:color w:val="3D3D3D"/>
          <w:kern w:val="0"/>
          <w:sz w:val="15"/>
          <w:szCs w:val="15"/>
          <w:highlight w:val="none"/>
          <w:lang w:val="en-US" w:eastAsia="zh-CN"/>
        </w:rPr>
        <w:t>不构成</w:t>
      </w:r>
      <w:r>
        <w:rPr>
          <w:rFonts w:ascii="方正黑体_GBK" w:eastAsia="方正黑体_GBK"/>
          <w:color w:val="3D3D3D"/>
          <w:kern w:val="0"/>
          <w:sz w:val="15"/>
          <w:szCs w:val="15"/>
          <w:highlight w:val="none"/>
        </w:rPr>
        <w:t>管理人对本理财产品收益</w:t>
      </w:r>
      <w:r>
        <w:rPr>
          <w:rFonts w:hint="eastAsia" w:ascii="方正黑体_GBK" w:eastAsia="方正黑体_GBK"/>
          <w:color w:val="3D3D3D"/>
          <w:kern w:val="0"/>
          <w:sz w:val="15"/>
          <w:szCs w:val="15"/>
          <w:highlight w:val="none"/>
          <w:lang w:val="en-US" w:eastAsia="zh-CN"/>
        </w:rPr>
        <w:t>的</w:t>
      </w:r>
      <w:r>
        <w:rPr>
          <w:rFonts w:ascii="方正黑体_GBK" w:eastAsia="方正黑体_GBK"/>
          <w:color w:val="3D3D3D"/>
          <w:kern w:val="0"/>
          <w:sz w:val="15"/>
          <w:szCs w:val="15"/>
          <w:highlight w:val="none"/>
        </w:rPr>
        <w:t>承诺。</w:t>
      </w:r>
    </w:p>
    <w:p w14:paraId="19F47A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63D1E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EE665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359C05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3E27B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13.固定收益类理财产品：指投资于存款、债券等债权类资产的比例不低于80%的理财产品。</w:t>
      </w:r>
    </w:p>
    <w:p w14:paraId="01DC6A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14.权益类理财产品：指投资于权益类资产的比例不低于80%的理财产品。</w:t>
      </w:r>
    </w:p>
    <w:p w14:paraId="59E97E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15.商品及金融衍生品类理财产品：指投资于商品及金融衍生品的比例不低于80%的理财产品。</w:t>
      </w:r>
    </w:p>
    <w:p w14:paraId="43E6A1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eastAsia="方正黑体_GBK"/>
          <w:color w:val="3D3D3D"/>
          <w:kern w:val="0"/>
          <w:sz w:val="15"/>
          <w:szCs w:val="15"/>
        </w:rPr>
        <w:t>均</w:t>
      </w:r>
      <w:r>
        <w:rPr>
          <w:rFonts w:ascii="方正黑体_GBK" w:eastAsia="方正黑体_GBK"/>
          <w:color w:val="3D3D3D"/>
          <w:kern w:val="0"/>
          <w:sz w:val="15"/>
          <w:szCs w:val="15"/>
        </w:rPr>
        <w:t>未达到80%的理财产品。</w:t>
      </w:r>
    </w:p>
    <w:p w14:paraId="7D396E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17.公募理财产品：指面向不特定社会公众公开发行的理财产品。</w:t>
      </w:r>
    </w:p>
    <w:p w14:paraId="63315E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eastAsia="方正黑体_GBK"/>
          <w:color w:val="3D3D3D"/>
          <w:kern w:val="0"/>
          <w:sz w:val="15"/>
          <w:szCs w:val="15"/>
        </w:rPr>
        <w:t xml:space="preserve"> 18.私募理财产品：指面向合格投资者非公开发行的理财产品。</w:t>
      </w:r>
    </w:p>
    <w:p w14:paraId="127F461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其他</w:t>
      </w:r>
    </w:p>
    <w:p w14:paraId="55693CD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5C5582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eastAsia="方正黑体_GBK"/>
          <w:color w:val="3D3D3D"/>
          <w:kern w:val="0"/>
          <w:sz w:val="15"/>
          <w:szCs w:val="15"/>
          <w:highlight w:val="none"/>
        </w:rPr>
        <w:t>自然灾害、地震、台风、海啸、洪水、火灾、停电、突发性公共卫生事件；</w:t>
      </w:r>
    </w:p>
    <w:p w14:paraId="693EA9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eastAsia="方正黑体_GBK"/>
          <w:color w:val="3D3D3D"/>
          <w:kern w:val="0"/>
          <w:sz w:val="15"/>
          <w:szCs w:val="15"/>
          <w:highlight w:val="none"/>
        </w:rPr>
        <w:t>罢工、内战、战争、军事行动、任何种类的恐怖活动、暴动、公众示威或抗议；</w:t>
      </w:r>
    </w:p>
    <w:p w14:paraId="5EC58C1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eastAsia="方正黑体_GBK"/>
          <w:color w:val="3D3D3D"/>
          <w:kern w:val="0"/>
          <w:sz w:val="15"/>
          <w:szCs w:val="15"/>
          <w:highlight w:val="none"/>
        </w:rPr>
        <w:t>新的适用法律或国家政策的颁布或实施、对原适用法律或国家政策的修改；</w:t>
      </w:r>
    </w:p>
    <w:p w14:paraId="32807CD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eastAsia="方正黑体_GBK"/>
          <w:color w:val="3D3D3D"/>
          <w:kern w:val="0"/>
          <w:sz w:val="15"/>
          <w:szCs w:val="15"/>
          <w:highlight w:val="none"/>
        </w:rPr>
        <w:t>任何政府机关或其他机关的行为</w:t>
      </w:r>
      <w:r>
        <w:rPr>
          <w:rFonts w:hint="eastAsia" w:ascii="方正黑体_GBK" w:eastAsia="方正黑体_GBK"/>
          <w:color w:val="3D3D3D"/>
          <w:kern w:val="0"/>
          <w:sz w:val="15"/>
          <w:szCs w:val="15"/>
          <w:highlight w:val="none"/>
        </w:rPr>
        <w:t>（</w:t>
      </w:r>
      <w:r>
        <w:rPr>
          <w:rFonts w:ascii="方正黑体_GBK" w:eastAsia="方正黑体_GBK"/>
          <w:color w:val="3D3D3D"/>
          <w:kern w:val="0"/>
          <w:sz w:val="15"/>
          <w:szCs w:val="15"/>
          <w:highlight w:val="none"/>
        </w:rPr>
        <w:t>不论是在法律上或是在事实上</w:t>
      </w:r>
      <w:r>
        <w:rPr>
          <w:rFonts w:hint="eastAsia" w:ascii="方正黑体_GBK" w:eastAsia="方正黑体_GBK"/>
          <w:color w:val="3D3D3D"/>
          <w:kern w:val="0"/>
          <w:sz w:val="15"/>
          <w:szCs w:val="15"/>
          <w:highlight w:val="none"/>
        </w:rPr>
        <w:t>）</w:t>
      </w:r>
      <w:r>
        <w:rPr>
          <w:rFonts w:ascii="方正黑体_GBK" w:eastAsia="方正黑体_GBK"/>
          <w:color w:val="3D3D3D"/>
          <w:kern w:val="0"/>
          <w:sz w:val="15"/>
          <w:szCs w:val="15"/>
          <w:highlight w:val="none"/>
        </w:rPr>
        <w:t>、法律、法规、条例、规则、规定、裁决、命令或指令（包括国有化或对外限制、外汇管制）、诉讼或威胁；</w:t>
      </w:r>
    </w:p>
    <w:p w14:paraId="16E48F4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eastAsia="方正黑体_GBK"/>
          <w:color w:val="3D3D3D"/>
          <w:kern w:val="0"/>
          <w:sz w:val="15"/>
          <w:szCs w:val="15"/>
          <w:highlight w:val="none"/>
        </w:rPr>
        <w:t>中国</w:t>
      </w:r>
      <w:r>
        <w:rPr>
          <w:rFonts w:hint="eastAsia" w:ascii="方正黑体_GBK" w:eastAsia="方正黑体_GBK"/>
          <w:color w:val="3D3D3D"/>
          <w:kern w:val="0"/>
          <w:sz w:val="15"/>
          <w:szCs w:val="15"/>
          <w:highlight w:val="none"/>
        </w:rPr>
        <w:t>境内</w:t>
      </w:r>
      <w:r>
        <w:rPr>
          <w:rFonts w:ascii="方正黑体_GBK" w:eastAsia="方正黑体_GBK"/>
          <w:color w:val="3D3D3D"/>
          <w:kern w:val="0"/>
          <w:sz w:val="15"/>
          <w:szCs w:val="15"/>
          <w:highlight w:val="none"/>
        </w:rPr>
        <w:t>或全球金融外汇市场发生致使甲方无法进行货币兑换、划转等的异常变化；</w:t>
      </w:r>
    </w:p>
    <w:p w14:paraId="6818728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35B343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40BFDC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eastAsia="方正黑体_GBK"/>
          <w:color w:val="3D3D3D"/>
          <w:kern w:val="0"/>
          <w:sz w:val="15"/>
          <w:szCs w:val="15"/>
          <w:highlight w:val="none"/>
        </w:rPr>
        <w:t xml:space="preserve"> 3.元：指人民币元。</w:t>
      </w:r>
    </w:p>
    <w:p w14:paraId="37143A3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eastAsia="方正黑体_GBK"/>
          <w:color w:val="3D3D3D"/>
          <w:kern w:val="0"/>
          <w:sz w:val="15"/>
          <w:szCs w:val="15"/>
          <w:lang w:val="en-US" w:eastAsia="zh-CN"/>
        </w:rPr>
      </w:pPr>
      <w:r>
        <w:rPr>
          <w:rFonts w:asci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954F4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第三条</w:t>
      </w:r>
      <w:r>
        <w:rPr>
          <w:rFonts w:hint="eastAsia" w:ascii="方正黑体_GBK" w:eastAsia="方正黑体_GBK" w:cs="Times New Roman"/>
          <w:b/>
          <w:bCs/>
          <w:vanish w:val="0"/>
          <w:color w:val="auto"/>
          <w:kern w:val="0"/>
          <w:sz w:val="15"/>
          <w:szCs w:val="15"/>
        </w:rPr>
        <w:t xml:space="preserve">  </w:t>
      </w:r>
      <w:r>
        <w:rPr>
          <w:rFonts w:hint="eastAsia" w:ascii="方正黑体_GBK" w:eastAsia="方正黑体_GBK"/>
          <w:b/>
          <w:bCs/>
          <w:vanish w:val="0"/>
          <w:color w:val="auto"/>
          <w:kern w:val="0"/>
          <w:sz w:val="15"/>
          <w:szCs w:val="15"/>
        </w:rPr>
        <w:t>情景示例</w:t>
      </w:r>
    </w:p>
    <w:p w14:paraId="288BF28E">
      <w:pPr>
        <w:spacing w:line="200" w:lineRule="exact"/>
        <w:ind w:firstLine="280"/>
        <w:jc w:val="left"/>
      </w:pPr>
      <w:r>
        <w:rPr>
          <w:rFonts w:ascii="方正黑体_GBK" w:eastAsia="方正黑体_GBK" w:cs="宋体"/>
          <w:sz w:val="15"/>
          <w:szCs w:val="20"/>
        </w:rPr>
        <w:t>假设：投资者认购本理财产品10万元，成立日当日产品净值为1.0000元，折算份额100,000份。</w:t>
      </w:r>
    </w:p>
    <w:p w14:paraId="6A122FB3">
      <w:pPr>
        <w:spacing w:line="200" w:lineRule="exact"/>
        <w:ind w:firstLine="280"/>
        <w:jc w:val="left"/>
      </w:pPr>
      <w:r>
        <w:rPr>
          <w:rFonts w:asci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68B18859">
      <w:pPr>
        <w:spacing w:line="200" w:lineRule="exact"/>
        <w:ind w:firstLine="280"/>
        <w:jc w:val="left"/>
      </w:pPr>
      <w:r>
        <w:rPr>
          <w:rFonts w:asci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0030157A">
      <w:pPr>
        <w:spacing w:line="200" w:lineRule="exact"/>
      </w:pPr>
      <w:r>
        <w:rPr>
          <w:rFonts w:ascii="方正黑体_GBK" w:eastAsia="方正黑体_GBK" w:cs="宋体"/>
          <w:sz w:val="15"/>
          <w:szCs w:val="20"/>
        </w:rPr>
        <w:t xml:space="preserve"> 以上数据为假设情形中的模拟数据，不代表实际收益，投资须谨慎。</w:t>
      </w:r>
    </w:p>
    <w:p w14:paraId="135B478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Style w:val="58"/>
          <w:rFonts w:hint="eastAsia" w:ascii="方正黑体_GBK" w:eastAsia="方正黑体_GBK"/>
          <w:vanish w:val="0"/>
          <w:sz w:val="15"/>
          <w:szCs w:val="15"/>
        </w:rPr>
      </w:pPr>
      <w:r>
        <w:rPr>
          <w:rFonts w:hint="eastAsia" w:asci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353B117">
      <w:pPr>
        <w:pStyle w:val="29"/>
        <w:keepNext w:val="0"/>
        <w:keepLines w:val="0"/>
        <w:pageBreakBefore w:val="0"/>
        <w:widowControl/>
        <w:suppressLineNumbers w:val="0"/>
        <w:suppressAutoHyphens w:val="0"/>
        <w:spacing w:line="200" w:lineRule="exact"/>
        <w:ind w:firstLine="301" w:firstLineChars="200"/>
        <w:rPr>
          <w:rStyle w:val="58"/>
          <w:rFonts w:hint="eastAsia" w:ascii="方正黑体_GBK" w:eastAsia="方正黑体_GBK"/>
          <w:sz w:val="20"/>
          <w:szCs w:val="20"/>
          <w:lang w:val="en-US" w:eastAsia="zh-CN"/>
        </w:rPr>
      </w:pPr>
      <w:r>
        <w:rPr>
          <w:rFonts w:hint="eastAsia" w:asci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2724C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eastAsia="方正黑体_GBK"/>
          <w:b/>
          <w:bCs w:val="0"/>
          <w:vanish w:val="0"/>
          <w:color w:val="auto"/>
          <w:kern w:val="0"/>
          <w:sz w:val="15"/>
          <w:szCs w:val="15"/>
        </w:rPr>
      </w:pPr>
      <w:r>
        <w:rPr>
          <w:rFonts w:hint="eastAsia" w:ascii="方正黑体_GBK" w:eastAsia="方正黑体_GBK"/>
          <w:b/>
          <w:bCs/>
          <w:vanish w:val="0"/>
          <w:color w:val="auto"/>
          <w:kern w:val="0"/>
          <w:sz w:val="15"/>
          <w:szCs w:val="15"/>
        </w:rPr>
        <w:t>第四</w:t>
      </w:r>
      <w:r>
        <w:rPr>
          <w:rFonts w:hint="eastAsia" w:ascii="方正黑体_GBK" w:eastAsia="方正黑体_GBK"/>
          <w:b/>
          <w:bCs w:val="0"/>
          <w:vanish w:val="0"/>
          <w:color w:val="auto"/>
          <w:kern w:val="0"/>
          <w:sz w:val="15"/>
          <w:szCs w:val="15"/>
        </w:rPr>
        <w:t>条</w:t>
      </w:r>
      <w:r>
        <w:rPr>
          <w:rFonts w:hint="eastAsia" w:ascii="方正黑体_GBK" w:eastAsia="方正黑体_GBK" w:cs="Times New Roman"/>
          <w:b/>
          <w:bCs w:val="0"/>
          <w:vanish w:val="0"/>
          <w:color w:val="auto"/>
          <w:kern w:val="0"/>
          <w:sz w:val="15"/>
          <w:szCs w:val="15"/>
        </w:rPr>
        <w:t xml:space="preserve">  </w:t>
      </w:r>
      <w:r>
        <w:rPr>
          <w:rFonts w:hint="eastAsia" w:ascii="方正黑体_GBK" w:eastAsia="方正黑体_GBK"/>
          <w:b/>
          <w:bCs w:val="0"/>
          <w:vanish w:val="0"/>
          <w:color w:val="auto"/>
          <w:kern w:val="0"/>
          <w:sz w:val="15"/>
          <w:szCs w:val="15"/>
        </w:rPr>
        <w:t>理财产品估值</w:t>
      </w:r>
    </w:p>
    <w:p w14:paraId="22141243">
      <w:pPr>
        <w:spacing w:line="200" w:lineRule="exact"/>
        <w:ind w:firstLine="300"/>
        <w:jc w:val="both"/>
      </w:pPr>
      <w:r>
        <w:rPr>
          <w:rFonts w:ascii="方正黑体_GBK" w:eastAsia="方正黑体_GBK" w:cs="宋体"/>
          <w:sz w:val="15"/>
          <w:szCs w:val="20"/>
        </w:rPr>
        <w:t>（一）估值日</w:t>
      </w:r>
    </w:p>
    <w:p w14:paraId="11471F00">
      <w:pPr>
        <w:spacing w:line="200" w:lineRule="exact"/>
        <w:ind w:firstLine="300"/>
        <w:jc w:val="both"/>
      </w:pPr>
      <w:r>
        <w:rPr>
          <w:rFonts w:ascii="方正黑体_GBK" w:eastAsia="方正黑体_GBK" w:cs="宋体"/>
          <w:sz w:val="15"/>
          <w:szCs w:val="20"/>
        </w:rPr>
        <w:t>本理财产品每个工作日进行估值。</w:t>
      </w:r>
    </w:p>
    <w:p w14:paraId="3BCF7AA5">
      <w:pPr>
        <w:spacing w:line="200" w:lineRule="exact"/>
        <w:ind w:firstLine="300"/>
        <w:jc w:val="both"/>
      </w:pPr>
      <w:r>
        <w:rPr>
          <w:rFonts w:ascii="方正黑体_GBK" w:eastAsia="方正黑体_GBK" w:cs="宋体"/>
          <w:sz w:val="15"/>
          <w:szCs w:val="20"/>
        </w:rPr>
        <w:t>（二）估值对象</w:t>
      </w:r>
    </w:p>
    <w:p w14:paraId="153F6C3A">
      <w:pPr>
        <w:spacing w:line="200" w:lineRule="exact"/>
        <w:ind w:firstLine="300"/>
        <w:jc w:val="both"/>
      </w:pPr>
      <w:r>
        <w:rPr>
          <w:rFonts w:ascii="方正黑体_GBK" w:eastAsia="方正黑体_GBK" w:cs="宋体"/>
          <w:sz w:val="15"/>
          <w:szCs w:val="20"/>
        </w:rPr>
        <w:t>本理财产品所拥有的所有资产及负债。</w:t>
      </w:r>
    </w:p>
    <w:p w14:paraId="58199253">
      <w:pPr>
        <w:spacing w:line="200" w:lineRule="exact"/>
        <w:ind w:firstLine="300"/>
        <w:jc w:val="both"/>
      </w:pPr>
      <w:r>
        <w:rPr>
          <w:rFonts w:ascii="方正黑体_GBK" w:eastAsia="方正黑体_GBK" w:cs="宋体"/>
          <w:sz w:val="15"/>
          <w:szCs w:val="20"/>
        </w:rPr>
        <w:t>（三）估值目的</w:t>
      </w:r>
    </w:p>
    <w:p w14:paraId="13AEC865">
      <w:pPr>
        <w:spacing w:line="200" w:lineRule="exact"/>
        <w:ind w:firstLine="300"/>
        <w:jc w:val="both"/>
      </w:pPr>
      <w:r>
        <w:rPr>
          <w:rFonts w:ascii="方正黑体_GBK" w:eastAsia="方正黑体_GBK" w:cs="宋体"/>
          <w:sz w:val="15"/>
          <w:szCs w:val="20"/>
        </w:rPr>
        <w:t>客观、准确反映理财产品的价值。</w:t>
      </w:r>
    </w:p>
    <w:p w14:paraId="45B85909">
      <w:pPr>
        <w:spacing w:line="200" w:lineRule="exact"/>
        <w:ind w:firstLine="300"/>
        <w:jc w:val="both"/>
      </w:pPr>
      <w:r>
        <w:rPr>
          <w:rFonts w:ascii="方正黑体_GBK" w:eastAsia="方正黑体_GBK" w:cs="宋体"/>
          <w:sz w:val="15"/>
          <w:szCs w:val="20"/>
        </w:rPr>
        <w:t>（四）估值原则</w:t>
      </w:r>
    </w:p>
    <w:p w14:paraId="6C461615">
      <w:pPr>
        <w:spacing w:line="200" w:lineRule="exact"/>
        <w:ind w:firstLine="300"/>
        <w:jc w:val="both"/>
      </w:pPr>
      <w:r>
        <w:rPr>
          <w:rFonts w:ascii="方正黑体_GBK" w:eastAsia="方正黑体_GBK" w:cs="宋体"/>
          <w:sz w:val="15"/>
          <w:szCs w:val="20"/>
        </w:rPr>
        <w:t>理财产品应坚持公允价值计量原则，符合会计准则和监管规定的范围内的可选择摊余成本法计量。</w:t>
      </w:r>
    </w:p>
    <w:p w14:paraId="5D2EB524">
      <w:pPr>
        <w:spacing w:line="200" w:lineRule="exact"/>
        <w:ind w:firstLine="300"/>
        <w:jc w:val="both"/>
      </w:pPr>
      <w:r>
        <w:rPr>
          <w:rFonts w:ascii="方正黑体_GBK" w:eastAsia="方正黑体_GBK" w:cs="宋体"/>
          <w:sz w:val="15"/>
          <w:szCs w:val="20"/>
        </w:rPr>
        <w:t>（五）估值方法</w:t>
      </w:r>
    </w:p>
    <w:p w14:paraId="6F67F9ED">
      <w:pPr>
        <w:spacing w:line="200" w:lineRule="exact"/>
        <w:ind w:firstLine="280"/>
        <w:jc w:val="left"/>
      </w:pPr>
      <w:r>
        <w:rPr>
          <w:rFonts w:ascii="方正黑体_GBK" w:eastAsia="方正黑体_GBK" w:cs="宋体"/>
          <w:sz w:val="15"/>
          <w:szCs w:val="20"/>
        </w:rPr>
        <w:t>估值方法中列示的资产品种不代表管理人的实际投向，本理财产品拟投资范围以“投资范围”章节描述为准。</w:t>
      </w:r>
    </w:p>
    <w:p w14:paraId="5C69E72B">
      <w:pPr>
        <w:spacing w:line="200" w:lineRule="exact"/>
        <w:ind w:firstLine="280"/>
        <w:jc w:val="left"/>
      </w:pPr>
      <w:r>
        <w:rPr>
          <w:rFonts w:ascii="方正黑体_GBK" w:eastAsia="方正黑体_GBK" w:cs="宋体"/>
          <w:sz w:val="15"/>
          <w:szCs w:val="20"/>
        </w:rPr>
        <w:t>1.银行存款、回购等货币市场工具</w:t>
      </w:r>
    </w:p>
    <w:p w14:paraId="5AE9995C">
      <w:pPr>
        <w:spacing w:line="200" w:lineRule="exact"/>
        <w:ind w:firstLine="280"/>
        <w:jc w:val="left"/>
      </w:pPr>
      <w:r>
        <w:rPr>
          <w:rFonts w:ascii="方正黑体_GBK" w:eastAsia="方正黑体_GBK" w:cs="宋体"/>
          <w:sz w:val="15"/>
          <w:szCs w:val="20"/>
        </w:rPr>
        <w:t>以本金列示，按商定的利率在实际持有期间内逐日计提。</w:t>
      </w:r>
    </w:p>
    <w:p w14:paraId="5FD3533E">
      <w:pPr>
        <w:spacing w:line="200" w:lineRule="exact"/>
        <w:ind w:firstLine="280"/>
        <w:jc w:val="left"/>
      </w:pPr>
      <w:r>
        <w:rPr>
          <w:rFonts w:ascii="方正黑体_GBK" w:eastAsia="方正黑体_GBK" w:cs="宋体"/>
          <w:color w:val="3D3D3D"/>
          <w:sz w:val="15"/>
          <w:szCs w:val="20"/>
        </w:rPr>
        <w:t>2.债券类资产</w:t>
      </w:r>
    </w:p>
    <w:p w14:paraId="57E19654">
      <w:pPr>
        <w:spacing w:line="200" w:lineRule="exact"/>
        <w:ind w:firstLine="280"/>
        <w:jc w:val="left"/>
      </w:pPr>
      <w:r>
        <w:rPr>
          <w:rFonts w:ascii="方正黑体_GBK" w:eastAsia="方正黑体_GBK"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61192D1F">
      <w:pPr>
        <w:spacing w:line="200" w:lineRule="exact"/>
        <w:ind w:firstLine="280"/>
        <w:jc w:val="left"/>
      </w:pPr>
      <w:r>
        <w:rPr>
          <w:rFonts w:ascii="方正黑体_GBK" w:eastAsia="方正黑体_GBK" w:cs="宋体"/>
          <w:color w:val="3D3D3D"/>
          <w:sz w:val="15"/>
          <w:szCs w:val="20"/>
        </w:rPr>
        <w:t>3.非标准化债权类资产</w:t>
      </w:r>
    </w:p>
    <w:p w14:paraId="66D1B75D">
      <w:pPr>
        <w:spacing w:line="200" w:lineRule="exact"/>
        <w:ind w:firstLine="280"/>
        <w:jc w:val="left"/>
      </w:pPr>
      <w:r>
        <w:rPr>
          <w:rFonts w:ascii="方正黑体_GBK" w:eastAsia="方正黑体_GBK"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14:paraId="4FD3FB73">
      <w:pPr>
        <w:spacing w:line="200" w:lineRule="exact"/>
        <w:ind w:firstLine="280"/>
        <w:jc w:val="left"/>
      </w:pPr>
      <w:r>
        <w:rPr>
          <w:rFonts w:ascii="方正黑体_GBK" w:eastAsia="方正黑体_GBK" w:cs="宋体"/>
          <w:color w:val="3D3D3D"/>
          <w:sz w:val="15"/>
          <w:szCs w:val="20"/>
        </w:rPr>
        <w:t>4.证券投资基金</w:t>
      </w:r>
    </w:p>
    <w:p w14:paraId="7D0C03B2">
      <w:pPr>
        <w:spacing w:line="200" w:lineRule="exact"/>
        <w:ind w:firstLine="280"/>
        <w:jc w:val="left"/>
      </w:pPr>
      <w:r>
        <w:rPr>
          <w:rFonts w:ascii="方正黑体_GBK" w:eastAsia="方正黑体_GBK"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2B352459">
      <w:pPr>
        <w:spacing w:line="200" w:lineRule="exact"/>
        <w:ind w:firstLine="280"/>
        <w:jc w:val="left"/>
      </w:pPr>
      <w:r>
        <w:rPr>
          <w:rFonts w:ascii="方正黑体_GBK" w:eastAsia="方正黑体_GBK" w:cs="宋体"/>
          <w:color w:val="3D3D3D"/>
          <w:sz w:val="15"/>
          <w:szCs w:val="20"/>
        </w:rPr>
        <w:t>5.股权类资产</w:t>
      </w:r>
    </w:p>
    <w:p w14:paraId="46D679E5">
      <w:pPr>
        <w:spacing w:line="200" w:lineRule="exact"/>
        <w:ind w:firstLine="280"/>
        <w:jc w:val="left"/>
      </w:pPr>
      <w:r>
        <w:rPr>
          <w:rFonts w:ascii="方正黑体_GBK" w:eastAsia="方正黑体_GBK"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4788992B">
      <w:pPr>
        <w:spacing w:line="200" w:lineRule="exact"/>
        <w:ind w:firstLine="280"/>
        <w:jc w:val="left"/>
      </w:pPr>
      <w:r>
        <w:rPr>
          <w:rFonts w:ascii="方正黑体_GBK" w:eastAsia="方正黑体_GBK" w:cs="宋体"/>
          <w:color w:val="3D3D3D"/>
          <w:sz w:val="15"/>
          <w:szCs w:val="20"/>
        </w:rPr>
        <w:t>6.资管计划、信托计划等资产</w:t>
      </w:r>
    </w:p>
    <w:p w14:paraId="078131BD">
      <w:pPr>
        <w:spacing w:line="200" w:lineRule="exact"/>
        <w:ind w:firstLine="280"/>
        <w:jc w:val="left"/>
      </w:pPr>
      <w:r>
        <w:rPr>
          <w:rFonts w:ascii="方正黑体_GBK" w:eastAsia="方正黑体_GBK" w:cs="宋体"/>
          <w:color w:val="3D3D3D"/>
          <w:sz w:val="15"/>
          <w:szCs w:val="20"/>
        </w:rPr>
        <w:t>存在公允价值的，按照公允价值估值，或采用估值技术确定估值，也可采用被委托机构提供的估值或计量报告。</w:t>
      </w:r>
    </w:p>
    <w:p w14:paraId="515D02B4">
      <w:pPr>
        <w:spacing w:line="200" w:lineRule="exact"/>
        <w:ind w:firstLine="280"/>
        <w:jc w:val="left"/>
      </w:pPr>
      <w:r>
        <w:rPr>
          <w:rFonts w:ascii="方正黑体_GBK" w:eastAsia="方正黑体_GBK" w:cs="宋体"/>
          <w:color w:val="3D3D3D"/>
          <w:sz w:val="15"/>
          <w:szCs w:val="20"/>
        </w:rPr>
        <w:t>7.其他资产</w:t>
      </w:r>
    </w:p>
    <w:p w14:paraId="45271879">
      <w:pPr>
        <w:spacing w:line="200" w:lineRule="exact"/>
        <w:ind w:firstLine="280"/>
        <w:jc w:val="left"/>
      </w:pPr>
      <w:r>
        <w:rPr>
          <w:rFonts w:ascii="方正黑体_GBK" w:eastAsia="方正黑体_GBK"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380D0875">
      <w:pPr>
        <w:spacing w:line="200" w:lineRule="exact"/>
        <w:ind w:firstLine="280"/>
        <w:jc w:val="left"/>
      </w:pPr>
      <w:r>
        <w:rPr>
          <w:rFonts w:ascii="方正黑体_GBK" w:eastAsia="方正黑体_GBK" w:cs="宋体"/>
          <w:color w:val="3D3D3D"/>
          <w:sz w:val="15"/>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14:paraId="71CBBBE0">
      <w:pPr>
        <w:spacing w:line="200" w:lineRule="exact"/>
        <w:ind w:firstLine="280"/>
        <w:jc w:val="left"/>
      </w:pPr>
      <w:r>
        <w:rPr>
          <w:rFonts w:ascii="方正黑体_GBK" w:eastAsia="方正黑体_GBK" w:cs="宋体"/>
          <w:color w:val="3D3D3D"/>
          <w:sz w:val="15"/>
          <w:szCs w:val="20"/>
        </w:rPr>
        <w:t>9.如有新增事项或变更事项，按国家最新规定或管理人最新的约定估值。</w:t>
      </w:r>
    </w:p>
    <w:p w14:paraId="2F23A811">
      <w:pPr>
        <w:spacing w:line="200" w:lineRule="exact"/>
        <w:ind w:firstLine="280"/>
        <w:jc w:val="left"/>
      </w:pPr>
      <w:r>
        <w:rPr>
          <w:rFonts w:ascii="方正黑体_GBK" w:eastAsia="方正黑体_GBK" w:cs="宋体"/>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14:paraId="513CE7BE">
      <w:pPr>
        <w:spacing w:line="200" w:lineRule="exact"/>
        <w:ind w:firstLine="300"/>
        <w:jc w:val="both"/>
      </w:pPr>
      <w:r>
        <w:rPr>
          <w:rFonts w:ascii="方正黑体_GBK" w:eastAsia="方正黑体_GBK" w:cs="宋体"/>
          <w:sz w:val="15"/>
          <w:szCs w:val="20"/>
        </w:rPr>
        <w:t>（六）估值错误及暂停估值</w:t>
      </w:r>
    </w:p>
    <w:p w14:paraId="3B0B1EFB">
      <w:pPr>
        <w:spacing w:line="200" w:lineRule="exact"/>
        <w:ind w:firstLine="300"/>
        <w:jc w:val="both"/>
      </w:pPr>
      <w:r>
        <w:rPr>
          <w:rFonts w:asci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2BF25D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第</w:t>
      </w:r>
      <w:r>
        <w:rPr>
          <w:rFonts w:hint="eastAsia" w:ascii="方正黑体_GBK" w:eastAsia="方正黑体_GBK" w:cs="Times New Roman"/>
          <w:b/>
          <w:bCs/>
          <w:vanish w:val="0"/>
          <w:color w:val="auto"/>
          <w:kern w:val="0"/>
          <w:sz w:val="15"/>
          <w:szCs w:val="15"/>
        </w:rPr>
        <w:t>五</w:t>
      </w:r>
      <w:r>
        <w:rPr>
          <w:rFonts w:hint="eastAsia" w:ascii="方正黑体_GBK" w:eastAsia="方正黑体_GBK"/>
          <w:b/>
          <w:bCs/>
          <w:vanish w:val="0"/>
          <w:color w:val="auto"/>
          <w:kern w:val="0"/>
          <w:sz w:val="15"/>
          <w:szCs w:val="15"/>
        </w:rPr>
        <w:t>条</w:t>
      </w:r>
      <w:r>
        <w:rPr>
          <w:rFonts w:hint="eastAsia" w:ascii="方正黑体_GBK" w:eastAsia="方正黑体_GBK" w:cs="Times New Roman"/>
          <w:b/>
          <w:bCs/>
          <w:vanish w:val="0"/>
          <w:color w:val="auto"/>
          <w:kern w:val="0"/>
          <w:sz w:val="15"/>
          <w:szCs w:val="15"/>
        </w:rPr>
        <w:t xml:space="preserve">  </w:t>
      </w:r>
      <w:r>
        <w:rPr>
          <w:rFonts w:hint="eastAsia" w:ascii="方正黑体_GBK" w:eastAsia="方正黑体_GBK"/>
          <w:b/>
          <w:bCs/>
          <w:vanish w:val="0"/>
          <w:color w:val="auto"/>
          <w:kern w:val="0"/>
          <w:sz w:val="15"/>
          <w:szCs w:val="15"/>
        </w:rPr>
        <w:t>信息披露</w:t>
      </w:r>
    </w:p>
    <w:p w14:paraId="5D2729E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信息披露渠道</w:t>
      </w:r>
    </w:p>
    <w:p w14:paraId="6D29FCC4">
      <w:pPr>
        <w:spacing w:line="200" w:lineRule="exact"/>
      </w:pPr>
      <w:r>
        <w:rPr>
          <w:rFonts w:asci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2C1C746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信息披露的内容及时间</w:t>
      </w:r>
    </w:p>
    <w:p w14:paraId="53759CB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ascii="方正黑体_GBK" w:eastAsia="方正黑体_GBK"/>
          <w:vanish w:val="0"/>
          <w:color w:val="3D3D3D"/>
          <w:kern w:val="0"/>
          <w:sz w:val="15"/>
          <w:szCs w:val="15"/>
        </w:rPr>
        <w:t xml:space="preserve"> </w:t>
      </w:r>
      <w:r>
        <w:rPr>
          <w:rFonts w:hint="eastAsia" w:ascii="方正黑体_GBK" w:eastAsia="方正黑体_GBK"/>
          <w:vanish w:val="0"/>
          <w:color w:val="3D3D3D"/>
          <w:kern w:val="0"/>
          <w:sz w:val="15"/>
          <w:szCs w:val="15"/>
        </w:rPr>
        <w:t>净值信息</w:t>
      </w:r>
    </w:p>
    <w:p w14:paraId="017AE7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管理人在本理财产品存续期间至少</w:t>
      </w:r>
      <w:r>
        <w:rPr>
          <w:rFonts w:hint="eastAsia" w:ascii="方正黑体_GBK" w:eastAsia="方正黑体_GBK"/>
          <w:vanish w:val="0"/>
          <w:color w:val="3D3D3D"/>
          <w:kern w:val="0"/>
          <w:sz w:val="15"/>
          <w:szCs w:val="15"/>
        </w:rPr>
        <w:t>按月</w:t>
      </w:r>
      <w:r>
        <w:rPr>
          <w:rFonts w:hint="eastAsia" w:ascii="方正黑体_GBK" w:eastAsia="方正黑体_GBK" w:cs="Times New Roman"/>
          <w:vanish w:val="0"/>
          <w:color w:val="3D3D3D"/>
          <w:kern w:val="0"/>
          <w:sz w:val="15"/>
          <w:szCs w:val="15"/>
        </w:rPr>
        <w:t>向投资者披露净值</w:t>
      </w:r>
      <w:r>
        <w:rPr>
          <w:rFonts w:hint="eastAsia" w:ascii="方正黑体_GBK" w:eastAsia="方正黑体_GBK"/>
          <w:vanish w:val="0"/>
          <w:color w:val="3D3D3D"/>
          <w:kern w:val="0"/>
          <w:sz w:val="15"/>
          <w:szCs w:val="15"/>
        </w:rPr>
        <w:t>。</w:t>
      </w:r>
    </w:p>
    <w:p w14:paraId="27C3BEC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产品发行公告</w:t>
      </w:r>
    </w:p>
    <w:p w14:paraId="6D01A1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管理人将在本理财产品成立后</w:t>
      </w:r>
      <w:r>
        <w:rPr>
          <w:rFonts w:ascii="方正黑体_GBK" w:eastAsia="方正黑体_GBK"/>
          <w:vanish w:val="0"/>
          <w:color w:val="3D3D3D"/>
          <w:kern w:val="0"/>
          <w:sz w:val="15"/>
          <w:szCs w:val="15"/>
        </w:rPr>
        <w:t>5</w:t>
      </w:r>
      <w:r>
        <w:rPr>
          <w:rFonts w:hint="eastAsia" w:ascii="方正黑体_GBK" w:eastAsia="方正黑体_GBK"/>
          <w:vanish w:val="0"/>
          <w:color w:val="3D3D3D"/>
          <w:kern w:val="0"/>
          <w:sz w:val="15"/>
          <w:szCs w:val="15"/>
        </w:rPr>
        <w:t>个工作日内披露产品发行公告。</w:t>
      </w:r>
    </w:p>
    <w:p w14:paraId="279BE6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定期报告</w:t>
      </w:r>
    </w:p>
    <w:p w14:paraId="29758F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管理人将在每个季度结束之日起</w:t>
      </w:r>
      <w:r>
        <w:rPr>
          <w:rFonts w:ascii="方正黑体_GBK" w:eastAsia="方正黑体_GBK"/>
          <w:vanish w:val="0"/>
          <w:color w:val="3D3D3D"/>
          <w:kern w:val="0"/>
          <w:sz w:val="15"/>
          <w:szCs w:val="15"/>
        </w:rPr>
        <w:t>15</w:t>
      </w:r>
      <w:r>
        <w:rPr>
          <w:rFonts w:hint="eastAsia" w:ascii="方正黑体_GBK" w:eastAsia="方正黑体_GBK"/>
          <w:vanish w:val="0"/>
          <w:color w:val="3D3D3D"/>
          <w:kern w:val="0"/>
          <w:sz w:val="15"/>
          <w:szCs w:val="15"/>
        </w:rPr>
        <w:t>个工作日内、上半年结束之日起</w:t>
      </w:r>
      <w:r>
        <w:rPr>
          <w:rFonts w:ascii="方正黑体_GBK" w:eastAsia="方正黑体_GBK"/>
          <w:vanish w:val="0"/>
          <w:color w:val="3D3D3D"/>
          <w:kern w:val="0"/>
          <w:sz w:val="15"/>
          <w:szCs w:val="15"/>
        </w:rPr>
        <w:t>60</w:t>
      </w:r>
      <w:r>
        <w:rPr>
          <w:rFonts w:hint="eastAsia" w:ascii="方正黑体_GBK" w:eastAsia="方正黑体_GBK"/>
          <w:vanish w:val="0"/>
          <w:color w:val="3D3D3D"/>
          <w:kern w:val="0"/>
          <w:sz w:val="15"/>
          <w:szCs w:val="15"/>
        </w:rPr>
        <w:t>个工作日内、每年结束之日起</w:t>
      </w:r>
      <w:r>
        <w:rPr>
          <w:rFonts w:ascii="方正黑体_GBK" w:eastAsia="方正黑体_GBK"/>
          <w:vanish w:val="0"/>
          <w:color w:val="3D3D3D"/>
          <w:kern w:val="0"/>
          <w:sz w:val="15"/>
          <w:szCs w:val="15"/>
        </w:rPr>
        <w:t>90</w:t>
      </w:r>
      <w:r>
        <w:rPr>
          <w:rFonts w:hint="eastAsia" w:ascii="方正黑体_GBK" w:eastAsia="方正黑体_GBK"/>
          <w:vanish w:val="0"/>
          <w:color w:val="3D3D3D"/>
          <w:kern w:val="0"/>
          <w:sz w:val="15"/>
          <w:szCs w:val="15"/>
        </w:rPr>
        <w:t>个工作日内披露本理财产品的季度、半年和年度报告，如果本理财产品成立不足</w:t>
      </w:r>
      <w:r>
        <w:rPr>
          <w:rFonts w:ascii="方正黑体_GBK" w:eastAsia="方正黑体_GBK"/>
          <w:vanish w:val="0"/>
          <w:color w:val="3D3D3D"/>
          <w:kern w:val="0"/>
          <w:sz w:val="15"/>
          <w:szCs w:val="15"/>
        </w:rPr>
        <w:t>90</w:t>
      </w:r>
      <w:r>
        <w:rPr>
          <w:rFonts w:hint="eastAsia" w:ascii="方正黑体_GBK" w:eastAsia="方正黑体_GBK" w:cs="Times New Roman"/>
          <w:vanish w:val="0"/>
          <w:color w:val="3D3D3D"/>
          <w:kern w:val="0"/>
          <w:sz w:val="15"/>
          <w:szCs w:val="15"/>
        </w:rPr>
        <w:t>个工作</w:t>
      </w:r>
      <w:r>
        <w:rPr>
          <w:rFonts w:hint="eastAsia" w:ascii="方正黑体_GBK" w:eastAsia="方正黑体_GBK"/>
          <w:vanish w:val="0"/>
          <w:color w:val="3D3D3D"/>
          <w:kern w:val="0"/>
          <w:sz w:val="15"/>
          <w:szCs w:val="15"/>
        </w:rPr>
        <w:t>日或者剩余存续期不超过</w:t>
      </w:r>
      <w:r>
        <w:rPr>
          <w:rFonts w:ascii="方正黑体_GBK" w:eastAsia="方正黑体_GBK"/>
          <w:vanish w:val="0"/>
          <w:color w:val="3D3D3D"/>
          <w:kern w:val="0"/>
          <w:sz w:val="15"/>
          <w:szCs w:val="15"/>
        </w:rPr>
        <w:t>90</w:t>
      </w:r>
      <w:r>
        <w:rPr>
          <w:rFonts w:hint="eastAsia" w:ascii="方正黑体_GBK" w:eastAsia="方正黑体_GBK" w:cs="Times New Roman"/>
          <w:vanish w:val="0"/>
          <w:color w:val="3D3D3D"/>
          <w:kern w:val="0"/>
          <w:sz w:val="15"/>
          <w:szCs w:val="15"/>
        </w:rPr>
        <w:t>个工作</w:t>
      </w:r>
      <w:r>
        <w:rPr>
          <w:rFonts w:hint="eastAsia" w:ascii="方正黑体_GBK" w:eastAsia="方正黑体_GBK"/>
          <w:vanish w:val="0"/>
          <w:color w:val="3D3D3D"/>
          <w:kern w:val="0"/>
          <w:sz w:val="15"/>
          <w:szCs w:val="15"/>
        </w:rPr>
        <w:t>日的，管理人可以不编制产品当期的季度、半年和年度报告。</w:t>
      </w:r>
    </w:p>
    <w:p w14:paraId="2D98A79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到期公告</w:t>
      </w:r>
    </w:p>
    <w:p w14:paraId="5606B0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管理人将在本理财产品终止后</w:t>
      </w:r>
      <w:r>
        <w:rPr>
          <w:rFonts w:ascii="方正黑体_GBK" w:eastAsia="方正黑体_GBK"/>
          <w:vanish w:val="0"/>
          <w:color w:val="3D3D3D"/>
          <w:kern w:val="0"/>
          <w:sz w:val="15"/>
          <w:szCs w:val="15"/>
        </w:rPr>
        <w:t>5</w:t>
      </w:r>
      <w:r>
        <w:rPr>
          <w:rFonts w:hint="eastAsia" w:ascii="方正黑体_GBK" w:eastAsia="方正黑体_GBK"/>
          <w:vanish w:val="0"/>
          <w:color w:val="3D3D3D"/>
          <w:kern w:val="0"/>
          <w:sz w:val="15"/>
          <w:szCs w:val="15"/>
        </w:rPr>
        <w:t>个工作日内披露产品到期公告。</w:t>
      </w:r>
    </w:p>
    <w:p w14:paraId="0214220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重大事项公告</w:t>
      </w:r>
    </w:p>
    <w:p w14:paraId="46D964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管理人将在发生可能对本理财产品投资者或者理财产品收益产生重大影响的事件后</w:t>
      </w:r>
      <w:r>
        <w:rPr>
          <w:rFonts w:ascii="方正黑体_GBK" w:eastAsia="方正黑体_GBK"/>
          <w:vanish w:val="0"/>
          <w:color w:val="3D3D3D"/>
          <w:kern w:val="0"/>
          <w:sz w:val="15"/>
          <w:szCs w:val="15"/>
        </w:rPr>
        <w:t>2</w:t>
      </w:r>
      <w:r>
        <w:rPr>
          <w:rFonts w:hint="eastAsia" w:ascii="方正黑体_GBK" w:eastAsia="方正黑体_GBK"/>
          <w:vanish w:val="0"/>
          <w:color w:val="3D3D3D"/>
          <w:kern w:val="0"/>
          <w:sz w:val="15"/>
          <w:szCs w:val="15"/>
        </w:rPr>
        <w:t>个工作日内披露重大事项公告。</w:t>
      </w:r>
    </w:p>
    <w:p w14:paraId="282AA01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临时公告</w:t>
      </w:r>
    </w:p>
    <w:p w14:paraId="47C524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FB74A4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关联交易信息披露</w:t>
      </w:r>
    </w:p>
    <w:p w14:paraId="754F16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eastAsia="方正黑体_GBK"/>
          <w:vanish w:val="0"/>
          <w:color w:val="3D3D3D"/>
          <w:kern w:val="0"/>
          <w:sz w:val="15"/>
          <w:szCs w:val="15"/>
        </w:rPr>
        <w:t>。</w:t>
      </w:r>
    </w:p>
    <w:p w14:paraId="44E6C38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账单</w:t>
      </w:r>
    </w:p>
    <w:p w14:paraId="273581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eastAsia="方正黑体_GBK"/>
          <w:vanish w:val="0"/>
          <w:color w:val="3D3D3D"/>
          <w:kern w:val="0"/>
          <w:sz w:val="15"/>
          <w:szCs w:val="15"/>
        </w:rPr>
        <w:t>。</w:t>
      </w:r>
    </w:p>
    <w:p w14:paraId="4302C35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eastAsia="方正黑体_GBK" w:cs="Times New Roman"/>
          <w:b/>
          <w:bCs/>
          <w:vanish w:val="0"/>
          <w:color w:val="3D3D3D"/>
          <w:kern w:val="0"/>
          <w:sz w:val="15"/>
          <w:szCs w:val="15"/>
        </w:rPr>
      </w:pPr>
      <w:r>
        <w:rPr>
          <w:rFonts w:hint="eastAsia" w:ascii="方正黑体_GBK" w:eastAsia="方正黑体_GBK" w:cs="Times New Roman"/>
          <w:b/>
          <w:bCs/>
          <w:vanish w:val="0"/>
          <w:color w:val="3D3D3D"/>
          <w:kern w:val="0"/>
          <w:sz w:val="15"/>
          <w:szCs w:val="15"/>
        </w:rPr>
        <w:t>在本理财产品存续期内：</w:t>
      </w:r>
    </w:p>
    <w:p w14:paraId="1D466B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eastAsia="方正黑体_GBK" w:cs="Times New Roman"/>
          <w:b/>
          <w:bCs/>
          <w:vanish w:val="0"/>
          <w:color w:val="3D3D3D"/>
          <w:kern w:val="0"/>
          <w:sz w:val="15"/>
          <w:szCs w:val="15"/>
        </w:rPr>
      </w:pPr>
      <w:r>
        <w:rPr>
          <w:rFonts w:hint="eastAsia" w:ascii="方正黑体_GBK" w:eastAsia="方正黑体_GBK" w:cs="Times New Roman"/>
          <w:b/>
          <w:bCs/>
          <w:vanish w:val="0"/>
          <w:color w:val="3D3D3D"/>
          <w:kern w:val="0"/>
          <w:sz w:val="15"/>
          <w:szCs w:val="15"/>
        </w:rPr>
        <w:t>（</w:t>
      </w:r>
      <w:r>
        <w:rPr>
          <w:rFonts w:ascii="方正黑体_GBK" w:eastAsia="方正黑体_GBK" w:cs="Times New Roman"/>
          <w:b/>
          <w:bCs/>
          <w:vanish w:val="0"/>
          <w:color w:val="3D3D3D"/>
          <w:kern w:val="0"/>
          <w:sz w:val="15"/>
          <w:szCs w:val="15"/>
        </w:rPr>
        <w:t>1</w:t>
      </w:r>
      <w:r>
        <w:rPr>
          <w:rFonts w:hint="eastAsia" w:asci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39D156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eastAsia="方正黑体_GBK"/>
          <w:b/>
          <w:bCs/>
          <w:vanish w:val="0"/>
          <w:color w:val="3D3D3D"/>
          <w:kern w:val="0"/>
          <w:sz w:val="15"/>
          <w:szCs w:val="15"/>
        </w:rPr>
      </w:pPr>
      <w:r>
        <w:rPr>
          <w:rFonts w:hint="eastAsia" w:ascii="方正黑体_GBK" w:eastAsia="方正黑体_GBK" w:cs="Times New Roman"/>
          <w:b/>
          <w:bCs/>
          <w:vanish w:val="0"/>
          <w:color w:val="3D3D3D"/>
          <w:kern w:val="0"/>
          <w:sz w:val="15"/>
          <w:szCs w:val="15"/>
        </w:rPr>
        <w:t>（</w:t>
      </w:r>
      <w:r>
        <w:rPr>
          <w:rFonts w:ascii="方正黑体_GBK" w:eastAsia="方正黑体_GBK" w:cs="Times New Roman"/>
          <w:b/>
          <w:bCs/>
          <w:vanish w:val="0"/>
          <w:color w:val="3D3D3D"/>
          <w:kern w:val="0"/>
          <w:sz w:val="15"/>
          <w:szCs w:val="15"/>
        </w:rPr>
        <w:t>2</w:t>
      </w:r>
      <w:r>
        <w:rPr>
          <w:rFonts w:hint="eastAsia" w:ascii="方正黑体_GBK" w:eastAsia="方正黑体_GBK" w:cs="Times New Roman"/>
          <w:b/>
          <w:bCs/>
          <w:vanish w:val="0"/>
          <w:color w:val="3D3D3D"/>
          <w:kern w:val="0"/>
          <w:sz w:val="15"/>
          <w:szCs w:val="15"/>
        </w:rPr>
        <w:t>）</w:t>
      </w:r>
      <w:r>
        <w:rPr>
          <w:rFonts w:asci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C2A1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eastAsia="方正黑体_GBK"/>
          <w:vanish w:val="0"/>
          <w:color w:val="3D3D3D"/>
          <w:kern w:val="0"/>
          <w:sz w:val="15"/>
          <w:szCs w:val="15"/>
        </w:rPr>
      </w:pPr>
      <w:r>
        <w:rPr>
          <w:rFonts w:hint="eastAsia" w:ascii="方正黑体_GBK" w:eastAsia="方正黑体_GBK"/>
          <w:vanish w:val="0"/>
          <w:color w:val="3D3D3D"/>
          <w:kern w:val="0"/>
          <w:sz w:val="15"/>
          <w:szCs w:val="15"/>
        </w:rPr>
        <w:t>10.其他公告</w:t>
      </w:r>
    </w:p>
    <w:p w14:paraId="62E08795">
      <w:pPr>
        <w:pStyle w:val="29"/>
        <w:keepNext w:val="0"/>
        <w:keepLines w:val="0"/>
        <w:pageBreakBefore w:val="0"/>
        <w:widowControl/>
        <w:suppressLineNumbers w:val="0"/>
        <w:suppressAutoHyphens w:val="0"/>
        <w:spacing w:line="200" w:lineRule="exact"/>
        <w:ind w:firstLine="300"/>
        <w:rPr>
          <w:rFonts w:hint="eastAsia" w:ascii="方正黑体_GBK" w:eastAsia="方正黑体_GBK"/>
          <w:color w:val="3D3D3D"/>
          <w:kern w:val="0"/>
          <w:sz w:val="15"/>
          <w:szCs w:val="15"/>
        </w:rPr>
      </w:pPr>
      <w:r>
        <w:rPr>
          <w:rFonts w:hint="eastAsia" w:ascii="方正黑体_GBK" w:eastAsia="方正黑体_GBK"/>
          <w:vanish w:val="0"/>
          <w:color w:val="3D3D3D"/>
          <w:kern w:val="0"/>
          <w:sz w:val="15"/>
          <w:szCs w:val="15"/>
        </w:rPr>
        <w:t>理财产品在运作管理过程中，管理人根据实际运作情况发布的其他公告。</w:t>
      </w:r>
    </w:p>
    <w:p w14:paraId="34AFAC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第</w:t>
      </w:r>
      <w:r>
        <w:rPr>
          <w:rFonts w:hint="eastAsia" w:ascii="方正黑体_GBK" w:eastAsia="方正黑体_GBK" w:cs="Times New Roman"/>
          <w:b/>
          <w:bCs/>
          <w:vanish w:val="0"/>
          <w:color w:val="auto"/>
          <w:kern w:val="0"/>
          <w:sz w:val="15"/>
          <w:szCs w:val="15"/>
        </w:rPr>
        <w:t>六</w:t>
      </w:r>
      <w:r>
        <w:rPr>
          <w:rFonts w:hint="eastAsia" w:ascii="方正黑体_GBK" w:eastAsia="方正黑体_GBK"/>
          <w:b/>
          <w:bCs/>
          <w:vanish w:val="0"/>
          <w:color w:val="auto"/>
          <w:kern w:val="0"/>
          <w:sz w:val="15"/>
          <w:szCs w:val="15"/>
        </w:rPr>
        <w:t>条</w:t>
      </w:r>
      <w:r>
        <w:rPr>
          <w:rFonts w:hint="eastAsia" w:ascii="方正黑体_GBK" w:eastAsia="方正黑体_GBK" w:cs="Times New Roman"/>
          <w:b/>
          <w:bCs/>
          <w:vanish w:val="0"/>
          <w:color w:val="auto"/>
          <w:kern w:val="0"/>
          <w:sz w:val="15"/>
          <w:szCs w:val="15"/>
        </w:rPr>
        <w:t xml:space="preserve">  投资者保护提示</w:t>
      </w:r>
    </w:p>
    <w:p w14:paraId="5979FA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02D64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eastAsia="方正黑体_GBK"/>
          <w:vanish w:val="0"/>
          <w:color w:val="3D3D3D"/>
          <w:kern w:val="0"/>
          <w:sz w:val="15"/>
          <w:szCs w:val="15"/>
        </w:rPr>
      </w:pPr>
      <w:r>
        <w:rPr>
          <w:rFonts w:hint="eastAsia" w:asci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524D1DF">
      <w:pPr>
        <w:pStyle w:val="29"/>
        <w:keepNext w:val="0"/>
        <w:keepLines w:val="0"/>
        <w:pageBreakBefore w:val="0"/>
        <w:widowControl/>
        <w:suppressLineNumbers w:val="0"/>
        <w:suppressAutoHyphens w:val="0"/>
        <w:spacing w:line="200" w:lineRule="exact"/>
        <w:ind w:firstLine="300"/>
        <w:rPr>
          <w:rFonts w:hint="eastAsia" w:ascii="方正黑体_GBK" w:eastAsia="方正黑体_GBK"/>
          <w:color w:val="3D3D3D"/>
          <w:kern w:val="0"/>
          <w:sz w:val="15"/>
          <w:szCs w:val="15"/>
          <w:lang w:val="en-US" w:eastAsia="zh-CN"/>
        </w:rPr>
      </w:pPr>
      <w:r>
        <w:rPr>
          <w:rFonts w:hint="eastAsia" w:ascii="方正黑体_GBK" w:eastAsia="方正黑体_GBK" w:cs="Times New Roman"/>
          <w:vanish w:val="0"/>
          <w:color w:val="3D3D3D"/>
          <w:kern w:val="0"/>
          <w:sz w:val="15"/>
          <w:szCs w:val="15"/>
        </w:rPr>
        <w:t>销售机构及管理人的联系方式详见《投资者权益须知》第八条。</w:t>
      </w:r>
    </w:p>
    <w:p w14:paraId="54149A0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第</w:t>
      </w:r>
      <w:r>
        <w:rPr>
          <w:rFonts w:hint="eastAsia" w:ascii="方正黑体_GBK" w:eastAsia="方正黑体_GBK" w:cs="Times New Roman"/>
          <w:b/>
          <w:bCs/>
          <w:vanish w:val="0"/>
          <w:color w:val="auto"/>
          <w:kern w:val="0"/>
          <w:sz w:val="15"/>
          <w:szCs w:val="15"/>
        </w:rPr>
        <w:t>七</w:t>
      </w:r>
      <w:r>
        <w:rPr>
          <w:rFonts w:hint="eastAsia" w:ascii="方正黑体_GBK" w:eastAsia="方正黑体_GBK"/>
          <w:b/>
          <w:bCs/>
          <w:vanish w:val="0"/>
          <w:color w:val="auto"/>
          <w:kern w:val="0"/>
          <w:sz w:val="15"/>
          <w:szCs w:val="15"/>
        </w:rPr>
        <w:t>条</w:t>
      </w:r>
      <w:r>
        <w:rPr>
          <w:rFonts w:hint="eastAsia" w:ascii="方正黑体_GBK" w:eastAsia="方正黑体_GBK" w:cs="Times New Roman"/>
          <w:b/>
          <w:bCs/>
          <w:vanish w:val="0"/>
          <w:color w:val="auto"/>
          <w:kern w:val="0"/>
          <w:sz w:val="15"/>
          <w:szCs w:val="15"/>
        </w:rPr>
        <w:t xml:space="preserve">  </w:t>
      </w:r>
      <w:r>
        <w:rPr>
          <w:rFonts w:hint="eastAsia" w:ascii="方正黑体_GBK" w:eastAsia="方正黑体_GBK"/>
          <w:b/>
          <w:bCs/>
          <w:vanish w:val="0"/>
          <w:color w:val="auto"/>
          <w:kern w:val="0"/>
          <w:sz w:val="15"/>
          <w:szCs w:val="15"/>
        </w:rPr>
        <w:t>法律适用和争议解决</w:t>
      </w:r>
    </w:p>
    <w:p w14:paraId="2C406101">
      <w:pPr>
        <w:pStyle w:val="29"/>
        <w:keepNext w:val="0"/>
        <w:keepLines w:val="0"/>
        <w:pageBreakBefore w:val="0"/>
        <w:widowControl/>
        <w:suppressLineNumbers w:val="0"/>
        <w:suppressAutoHyphens w:val="0"/>
        <w:spacing w:line="200" w:lineRule="exact"/>
        <w:ind w:firstLine="300"/>
        <w:rPr>
          <w:rFonts w:hint="eastAsia" w:ascii="方正黑体_GBK" w:eastAsia="方正黑体_GBK"/>
          <w:color w:val="3D3D3D"/>
          <w:kern w:val="0"/>
          <w:sz w:val="15"/>
          <w:szCs w:val="15"/>
          <w:lang w:val="en-US" w:eastAsia="zh-CN"/>
        </w:rPr>
      </w:pPr>
      <w:r>
        <w:rPr>
          <w:rFonts w:hint="eastAsia" w:asci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D9AE4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第</w:t>
      </w:r>
      <w:r>
        <w:rPr>
          <w:rFonts w:hint="eastAsia" w:ascii="方正黑体_GBK" w:eastAsia="方正黑体_GBK" w:cs="Times New Roman"/>
          <w:b/>
          <w:bCs/>
          <w:vanish w:val="0"/>
          <w:color w:val="auto"/>
          <w:kern w:val="0"/>
          <w:sz w:val="15"/>
          <w:szCs w:val="15"/>
        </w:rPr>
        <w:t>八</w:t>
      </w:r>
      <w:r>
        <w:rPr>
          <w:rFonts w:hint="eastAsia" w:ascii="方正黑体_GBK" w:eastAsia="方正黑体_GBK"/>
          <w:b/>
          <w:bCs/>
          <w:vanish w:val="0"/>
          <w:color w:val="auto"/>
          <w:kern w:val="0"/>
          <w:sz w:val="15"/>
          <w:szCs w:val="15"/>
        </w:rPr>
        <w:t>条</w:t>
      </w:r>
      <w:r>
        <w:rPr>
          <w:rFonts w:hint="eastAsia" w:ascii="方正黑体_GBK" w:eastAsia="方正黑体_GBK" w:cs="Times New Roman"/>
          <w:b/>
          <w:bCs/>
          <w:vanish w:val="0"/>
          <w:color w:val="auto"/>
          <w:kern w:val="0"/>
          <w:sz w:val="15"/>
          <w:szCs w:val="15"/>
        </w:rPr>
        <w:t xml:space="preserve">  </w:t>
      </w:r>
      <w:r>
        <w:rPr>
          <w:rFonts w:hint="eastAsia" w:ascii="方正黑体_GBK" w:eastAsia="方正黑体_GBK"/>
          <w:b/>
          <w:bCs/>
          <w:vanish w:val="0"/>
          <w:color w:val="auto"/>
          <w:kern w:val="0"/>
          <w:sz w:val="15"/>
          <w:szCs w:val="15"/>
        </w:rPr>
        <w:t>重要提示</w:t>
      </w:r>
    </w:p>
    <w:p w14:paraId="2F1122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请您一定仔细阅读本理财产品销售文件，了解理财产品具体情况，关注投资风险，自主决定是否投资。</w:t>
      </w:r>
    </w:p>
    <w:p w14:paraId="1C11D81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投资者特此</w:t>
      </w:r>
      <w:r>
        <w:rPr>
          <w:rFonts w:hint="eastAsia" w:ascii="方正黑体_GBK" w:eastAsia="方正黑体_GBK" w:cs="Times New Roman"/>
          <w:b/>
          <w:bCs/>
          <w:vanish w:val="0"/>
          <w:color w:val="auto"/>
          <w:kern w:val="0"/>
          <w:sz w:val="15"/>
          <w:szCs w:val="15"/>
        </w:rPr>
        <w:t>同</w:t>
      </w:r>
      <w:r>
        <w:rPr>
          <w:rFonts w:hint="eastAsia" w:ascii="方正黑体_GBK" w:eastAsia="方正黑体_GBK"/>
          <w:b/>
          <w:bCs/>
          <w:vanish w:val="0"/>
          <w:color w:val="auto"/>
          <w:kern w:val="0"/>
          <w:sz w:val="15"/>
          <w:szCs w:val="15"/>
        </w:rPr>
        <w:t>意</w:t>
      </w:r>
      <w:r>
        <w:rPr>
          <w:rFonts w:hint="eastAsia" w:ascii="方正黑体_GBK" w:eastAsia="方正黑体_GBK" w:cs="Times New Roman"/>
          <w:b/>
          <w:bCs/>
          <w:vanish w:val="0"/>
          <w:color w:val="auto"/>
          <w:kern w:val="0"/>
          <w:sz w:val="15"/>
          <w:szCs w:val="15"/>
        </w:rPr>
        <w:t>并授权：</w:t>
      </w:r>
      <w:r>
        <w:rPr>
          <w:rFonts w:hint="eastAsia" w:ascii="方正黑体_GBK" w:eastAsia="方正黑体_GBK"/>
          <w:b/>
          <w:bCs/>
          <w:vanish w:val="0"/>
          <w:color w:val="auto"/>
          <w:kern w:val="0"/>
          <w:sz w:val="15"/>
          <w:szCs w:val="15"/>
        </w:rPr>
        <w:t>管理人</w:t>
      </w:r>
      <w:r>
        <w:rPr>
          <w:rFonts w:hint="eastAsia" w:ascii="方正黑体_GBK" w:eastAsia="方正黑体_GBK" w:cs="Times New Roman"/>
          <w:b/>
          <w:bCs/>
          <w:vanish w:val="0"/>
          <w:color w:val="auto"/>
          <w:kern w:val="0"/>
          <w:sz w:val="15"/>
          <w:szCs w:val="15"/>
        </w:rPr>
        <w:t>及销售机构</w:t>
      </w:r>
      <w:r>
        <w:rPr>
          <w:rFonts w:hint="eastAsia" w:ascii="方正黑体_GBK" w:eastAsia="方正黑体_GBK"/>
          <w:b/>
          <w:bCs/>
          <w:vanish w:val="0"/>
          <w:color w:val="auto"/>
          <w:kern w:val="0"/>
          <w:sz w:val="15"/>
          <w:szCs w:val="15"/>
        </w:rPr>
        <w:t>有权按照法律法规</w:t>
      </w:r>
      <w:r>
        <w:rPr>
          <w:rFonts w:hint="eastAsia" w:asci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eastAsia="方正黑体_GBK"/>
          <w:b/>
          <w:bCs/>
          <w:vanish w:val="0"/>
          <w:color w:val="auto"/>
          <w:kern w:val="0"/>
          <w:sz w:val="15"/>
          <w:szCs w:val="15"/>
        </w:rPr>
        <w:t>根据法律法规规定</w:t>
      </w:r>
      <w:r>
        <w:rPr>
          <w:rFonts w:hint="eastAsia" w:ascii="方正黑体_GBK" w:eastAsia="方正黑体_GBK" w:cs="Times New Roman"/>
          <w:b/>
          <w:bCs/>
          <w:vanish w:val="0"/>
          <w:color w:val="auto"/>
          <w:kern w:val="0"/>
          <w:sz w:val="15"/>
          <w:szCs w:val="15"/>
        </w:rPr>
        <w:t>、监管或</w:t>
      </w:r>
      <w:r>
        <w:rPr>
          <w:rFonts w:hint="eastAsia" w:ascii="方正黑体_GBK" w:eastAsia="方正黑体_GBK"/>
          <w:b/>
          <w:bCs/>
          <w:vanish w:val="0"/>
          <w:color w:val="auto"/>
          <w:kern w:val="0"/>
          <w:sz w:val="15"/>
          <w:szCs w:val="15"/>
        </w:rPr>
        <w:t>有权机关要求</w:t>
      </w:r>
      <w:r>
        <w:rPr>
          <w:rFonts w:hint="eastAsia" w:ascii="方正黑体_GBK" w:eastAsia="方正黑体_GBK" w:cs="Times New Roman"/>
          <w:b/>
          <w:bCs/>
          <w:vanish w:val="0"/>
          <w:color w:val="auto"/>
          <w:kern w:val="0"/>
          <w:sz w:val="15"/>
          <w:szCs w:val="15"/>
        </w:rPr>
        <w:t>、理财业务需要等采集、处理及使用</w:t>
      </w:r>
      <w:r>
        <w:rPr>
          <w:rFonts w:hint="eastAsia" w:ascii="方正黑体_GBK" w:eastAsia="方正黑体_GBK"/>
          <w:b/>
          <w:bCs/>
          <w:vanish w:val="0"/>
          <w:color w:val="auto"/>
          <w:kern w:val="0"/>
          <w:sz w:val="15"/>
          <w:szCs w:val="15"/>
        </w:rPr>
        <w:t>投资者身份、持有理财产品、理财产品交易等信息</w:t>
      </w:r>
      <w:r>
        <w:rPr>
          <w:rFonts w:hint="eastAsia" w:ascii="方正黑体_GBK" w:eastAsia="方正黑体_GBK" w:cs="Times New Roman"/>
          <w:b/>
          <w:bCs/>
          <w:vanish w:val="0"/>
          <w:color w:val="auto"/>
          <w:kern w:val="0"/>
          <w:sz w:val="15"/>
          <w:szCs w:val="15"/>
        </w:rPr>
        <w:t>，</w:t>
      </w:r>
      <w:r>
        <w:rPr>
          <w:rFonts w:hint="eastAsia" w:ascii="方正黑体_GBK" w:eastAsia="方正黑体_GBK"/>
          <w:b/>
          <w:bCs/>
          <w:vanish w:val="0"/>
          <w:color w:val="auto"/>
          <w:kern w:val="0"/>
          <w:sz w:val="15"/>
          <w:szCs w:val="15"/>
        </w:rPr>
        <w:t>以及</w:t>
      </w:r>
      <w:r>
        <w:rPr>
          <w:rFonts w:hint="eastAsia" w:ascii="方正黑体_GBK" w:eastAsia="方正黑体_GBK"/>
          <w:b/>
          <w:bCs/>
          <w:vanish w:val="0"/>
          <w:color w:val="auto"/>
          <w:spacing w:val="0"/>
          <w:kern w:val="0"/>
          <w:sz w:val="15"/>
          <w:szCs w:val="15"/>
        </w:rPr>
        <w:t>在办理与理财产品相关事项</w:t>
      </w:r>
      <w:r>
        <w:rPr>
          <w:rFonts w:hint="eastAsia" w:ascii="方正黑体_GBK" w:eastAsia="方正黑体_GBK" w:cs="Times New Roman"/>
          <w:b/>
          <w:bCs/>
          <w:vanish w:val="0"/>
          <w:color w:val="auto"/>
          <w:spacing w:val="0"/>
          <w:kern w:val="0"/>
          <w:sz w:val="15"/>
          <w:szCs w:val="15"/>
        </w:rPr>
        <w:t>需要</w:t>
      </w:r>
      <w:r>
        <w:rPr>
          <w:rFonts w:hint="eastAsia" w:asci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eastAsia="方正黑体_GBK" w:cs="Times New Roman"/>
          <w:b/>
          <w:bCs/>
          <w:vanish w:val="0"/>
          <w:color w:val="auto"/>
          <w:spacing w:val="0"/>
          <w:kern w:val="0"/>
          <w:sz w:val="15"/>
          <w:szCs w:val="15"/>
        </w:rPr>
        <w:t>相关</w:t>
      </w:r>
      <w:r>
        <w:rPr>
          <w:rFonts w:hint="eastAsia" w:ascii="方正黑体_GBK" w:eastAsia="方正黑体_GBK"/>
          <w:b/>
          <w:bCs/>
          <w:vanish w:val="0"/>
          <w:color w:val="auto"/>
          <w:spacing w:val="0"/>
          <w:kern w:val="0"/>
          <w:sz w:val="15"/>
          <w:szCs w:val="15"/>
        </w:rPr>
        <w:t>信息</w:t>
      </w:r>
      <w:r>
        <w:rPr>
          <w:rFonts w:hint="eastAsia" w:ascii="方正黑体_GBK" w:eastAsia="方正黑体_GBK" w:cs="Times New Roman"/>
          <w:b/>
          <w:bCs/>
          <w:vanish w:val="0"/>
          <w:color w:val="auto"/>
          <w:spacing w:val="0"/>
          <w:kern w:val="0"/>
          <w:sz w:val="15"/>
          <w:szCs w:val="15"/>
        </w:rPr>
        <w:t>。</w:t>
      </w:r>
      <w:r>
        <w:rPr>
          <w:rFonts w:hint="eastAsia" w:ascii="方正黑体_GBK" w:eastAsia="方正黑体_GBK"/>
          <w:b/>
          <w:bCs/>
          <w:vanish w:val="0"/>
          <w:color w:val="auto"/>
          <w:kern w:val="0"/>
          <w:sz w:val="15"/>
          <w:szCs w:val="15"/>
        </w:rPr>
        <w:t>管理人及销售机构保证信息采集、处理及使用的安全性和合法性</w:t>
      </w:r>
      <w:r>
        <w:rPr>
          <w:rFonts w:hint="eastAsia" w:ascii="方正黑体_GBK" w:eastAsia="方正黑体_GBK"/>
          <w:b/>
          <w:bCs/>
          <w:vanish w:val="0"/>
          <w:color w:val="auto"/>
          <w:spacing w:val="0"/>
          <w:kern w:val="0"/>
          <w:sz w:val="15"/>
          <w:szCs w:val="15"/>
        </w:rPr>
        <w:t>。</w:t>
      </w:r>
    </w:p>
    <w:p w14:paraId="66C742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eastAsia="方正黑体_GBK"/>
          <w:b/>
          <w:bCs/>
          <w:vanish w:val="0"/>
          <w:color w:val="auto"/>
          <w:kern w:val="0"/>
          <w:sz w:val="15"/>
          <w:szCs w:val="15"/>
        </w:rPr>
      </w:pPr>
      <w:r>
        <w:rPr>
          <w:rFonts w:hint="eastAsia" w:asci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eastAsia="方正黑体_GBK"/>
          <w:b/>
          <w:bCs/>
          <w:vanish w:val="0"/>
          <w:color w:val="auto"/>
          <w:kern w:val="0"/>
          <w:sz w:val="15"/>
          <w:szCs w:val="15"/>
        </w:rPr>
        <w:t>。</w:t>
      </w:r>
    </w:p>
    <w:p w14:paraId="28C41A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eastAsia="方正黑体_GBK"/>
          <w:b/>
          <w:bCs/>
          <w:vanish w:val="0"/>
          <w:color w:val="3D3D3D"/>
          <w:kern w:val="0"/>
          <w:sz w:val="15"/>
          <w:szCs w:val="15"/>
        </w:rPr>
      </w:pPr>
    </w:p>
    <w:p w14:paraId="662A0F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eastAsia="方正黑体_GBK"/>
          <w:b/>
          <w:bCs/>
          <w:vanish w:val="0"/>
          <w:color w:val="3D3D3D"/>
          <w:kern w:val="0"/>
          <w:sz w:val="15"/>
          <w:szCs w:val="15"/>
        </w:rPr>
      </w:pPr>
      <w:r>
        <w:rPr>
          <w:rFonts w:hint="eastAsia" w:ascii="方正黑体_GBK" w:eastAsia="方正黑体_GBK"/>
          <w:b/>
          <w:bCs/>
          <w:vanish w:val="0"/>
          <w:color w:val="3D3D3D"/>
          <w:kern w:val="0"/>
          <w:sz w:val="15"/>
          <w:szCs w:val="15"/>
        </w:rPr>
        <w:t>风险提示：</w:t>
      </w:r>
    </w:p>
    <w:p w14:paraId="12BA8C29">
      <w:pPr>
        <w:pStyle w:val="29"/>
        <w:tabs>
          <w:tab w:val="left" w:pos="8033"/>
        </w:tabs>
        <w:ind w:left="0" w:firstLine="0"/>
        <w:jc w:val="left"/>
        <w:rPr>
          <w:rFonts w:hint="eastAsia" w:ascii="方正黑体_GBK" w:eastAsia="方正黑体_GBK"/>
          <w:sz w:val="20"/>
          <w:szCs w:val="20"/>
          <w:lang w:val="en-US" w:eastAsia="zh-CN"/>
        </w:rPr>
      </w:pPr>
      <w:r>
        <w:rPr>
          <w:rFonts w:hint="eastAsia" w:ascii="方正黑体_GBK" w:eastAsia="方正黑体_GBK"/>
          <w:b/>
          <w:bCs/>
          <w:color w:val="3D3D3D"/>
          <w:kern w:val="0"/>
          <w:sz w:val="15"/>
          <w:szCs w:val="15"/>
        </w:rPr>
        <w:t>本理财产品是</w:t>
      </w:r>
      <w:r>
        <w:rPr>
          <w:rFonts w:hint="eastAsia" w:asci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eastAsia="方正黑体_GBK"/>
          <w:b/>
          <w:bCs/>
          <w:color w:val="3D3D3D"/>
          <w:kern w:val="0"/>
          <w:sz w:val="15"/>
          <w:szCs w:val="15"/>
        </w:rPr>
        <w:t>理财产品，</w:t>
      </w:r>
      <w:r>
        <w:rPr>
          <w:rFonts w:hint="eastAsia" w:ascii="方正黑体_GBK" w:eastAsia="方正黑体_GBK"/>
          <w:b/>
          <w:bCs/>
          <w:i/>
          <w:iCs/>
          <w:color w:val="3D3D3D"/>
          <w:kern w:val="0"/>
          <w:sz w:val="21"/>
          <w:szCs w:val="21"/>
          <w:u w:val="single"/>
        </w:rPr>
        <w:t>不保证本金和收益</w:t>
      </w:r>
      <w:r>
        <w:rPr>
          <w:rFonts w:hint="eastAsia" w:ascii="方正黑体_GBK" w:eastAsia="方正黑体_GBK"/>
          <w:b/>
          <w:bCs/>
          <w:color w:val="3D3D3D"/>
          <w:kern w:val="0"/>
          <w:sz w:val="15"/>
          <w:szCs w:val="15"/>
        </w:rPr>
        <w:t>，您的本金与收益可能会蒙受重大损失，您应仔细阅读</w:t>
      </w:r>
      <w:r>
        <w:rPr>
          <w:rFonts w:hint="eastAsia" w:asci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2010600010101010101"/>
    <w:charset w:val="86"/>
    <w:family w:val="auto"/>
    <w:pitch w:val="default"/>
    <w:sig w:usb0="00000001" w:usb1="080E0000" w:usb2="00000000" w:usb3="00000000" w:csb0="00040000" w:csb1="00000000"/>
    <w:embedRegular r:id="rId1" w:fontKey="{EF29FB39-D75D-4F90-8568-7CC41F8D364E}"/>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CD5E9">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00000001"/>
    <w:multiLevelType w:val="multilevel"/>
    <w:tmpl w:val="00000001"/>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000002"/>
    <w:multiLevelType w:val="multilevel"/>
    <w:tmpl w:val="00000002"/>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3">
    <w:nsid w:val="00000003"/>
    <w:multiLevelType w:val="multilevel"/>
    <w:tmpl w:val="00000003"/>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F4139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a7389f0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9fb4ec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036c32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18">
    <w:name w:val="heading 34dc7dd2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33e93dc"/>
    <w:uiPriority w:val="0"/>
  </w:style>
  <w:style w:type="paragraph" w:customStyle="1" w:styleId="20">
    <w:name w:val="toc 1c076d2f0"/>
    <w:basedOn w:val="15"/>
    <w:next w:val="1"/>
    <w:autoRedefine/>
    <w:uiPriority w:val="0"/>
  </w:style>
  <w:style w:type="paragraph" w:customStyle="1" w:styleId="21">
    <w:name w:val="toc 2c5165502"/>
    <w:basedOn w:val="15"/>
    <w:next w:val="1"/>
    <w:autoRedefine/>
    <w:uiPriority w:val="0"/>
    <w:pPr>
      <w:ind w:left="420"/>
    </w:pPr>
  </w:style>
  <w:style w:type="paragraph" w:customStyle="1" w:styleId="22">
    <w:name w:val="toc 316087423"/>
    <w:basedOn w:val="15"/>
    <w:next w:val="1"/>
    <w:autoRedefine/>
    <w:uiPriority w:val="0"/>
    <w:pPr>
      <w:ind w:left="840"/>
    </w:pPr>
  </w:style>
  <w:style w:type="paragraph" w:customStyle="1" w:styleId="23">
    <w:name w:val="toc 4e02e1c5d"/>
    <w:basedOn w:val="15"/>
    <w:next w:val="1"/>
    <w:autoRedefine/>
    <w:uiPriority w:val="0"/>
    <w:pPr>
      <w:ind w:left="1260"/>
    </w:pPr>
  </w:style>
  <w:style w:type="paragraph" w:customStyle="1" w:styleId="24">
    <w:name w:val="toc 50ab3a6fc"/>
    <w:basedOn w:val="15"/>
    <w:next w:val="1"/>
    <w:autoRedefine/>
    <w:uiPriority w:val="0"/>
    <w:pPr>
      <w:ind w:left="1680"/>
    </w:pPr>
  </w:style>
  <w:style w:type="paragraph" w:customStyle="1" w:styleId="25">
    <w:name w:val="headera1022a8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25f8aaf"/>
    <w:basedOn w:val="15"/>
    <w:uiPriority w:val="0"/>
    <w:pPr>
      <w:tabs>
        <w:tab w:val="center" w:pos="4153"/>
        <w:tab w:val="right" w:pos="8307"/>
      </w:tabs>
      <w:adjustRightInd/>
      <w:snapToGrid w:val="0"/>
      <w:contextualSpacing w:val="0"/>
      <w:jc w:val="left"/>
    </w:pPr>
    <w:rPr>
      <w:sz w:val="18"/>
    </w:rPr>
  </w:style>
  <w:style w:type="character" w:customStyle="1" w:styleId="27">
    <w:name w:val="Strong7268d4b7"/>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6521f7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08ecae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54c6e5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32">
    <w:name w:val="heading 37c488eaf"/>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d3bc02f"/>
    <w:uiPriority w:val="0"/>
  </w:style>
  <w:style w:type="paragraph" w:customStyle="1" w:styleId="34">
    <w:name w:val="Normal Indent6c9a40e7"/>
    <w:basedOn w:val="29"/>
    <w:uiPriority w:val="0"/>
    <w:pPr>
      <w:ind w:firstLine="200" w:firstLineChars="200"/>
    </w:pPr>
  </w:style>
  <w:style w:type="paragraph" w:customStyle="1" w:styleId="35">
    <w:name w:val="toc 5633d358c"/>
    <w:basedOn w:val="29"/>
    <w:next w:val="1"/>
    <w:uiPriority w:val="0"/>
    <w:pPr>
      <w:ind w:left="1680"/>
    </w:pPr>
  </w:style>
  <w:style w:type="paragraph" w:customStyle="1" w:styleId="36">
    <w:name w:val="toc 32264bb6e"/>
    <w:basedOn w:val="29"/>
    <w:next w:val="1"/>
    <w:uiPriority w:val="0"/>
    <w:pPr>
      <w:ind w:left="840"/>
    </w:pPr>
  </w:style>
  <w:style w:type="paragraph" w:customStyle="1" w:styleId="37">
    <w:name w:val="footer36cb7d3d"/>
    <w:basedOn w:val="29"/>
    <w:uiPriority w:val="0"/>
    <w:pPr>
      <w:tabs>
        <w:tab w:val="center" w:pos="4153"/>
        <w:tab w:val="right" w:pos="8307"/>
      </w:tabs>
      <w:adjustRightInd/>
      <w:snapToGrid w:val="0"/>
      <w:contextualSpacing w:val="0"/>
      <w:jc w:val="left"/>
    </w:pPr>
    <w:rPr>
      <w:sz w:val="18"/>
    </w:rPr>
  </w:style>
  <w:style w:type="paragraph" w:customStyle="1" w:styleId="38">
    <w:name w:val="header9206a34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6bbc657"/>
    <w:basedOn w:val="29"/>
    <w:next w:val="1"/>
    <w:uiPriority w:val="0"/>
  </w:style>
  <w:style w:type="paragraph" w:customStyle="1" w:styleId="40">
    <w:name w:val="toc 462a0c91c"/>
    <w:basedOn w:val="29"/>
    <w:next w:val="1"/>
    <w:uiPriority w:val="0"/>
    <w:pPr>
      <w:ind w:left="1260"/>
    </w:pPr>
  </w:style>
  <w:style w:type="paragraph" w:customStyle="1" w:styleId="41">
    <w:name w:val="toc 2e777f5c2"/>
    <w:basedOn w:val="29"/>
    <w:next w:val="1"/>
    <w:uiPriority w:val="0"/>
    <w:pPr>
      <w:ind w:left="420"/>
    </w:pPr>
  </w:style>
  <w:style w:type="paragraph" w:customStyle="1" w:styleId="42">
    <w:name w:val="Normal (Web)16e7106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Times New Roman"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43ee94a543ee94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9a0f21999a0f21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cb943148cb9431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eastAsia="方正黑体_GBK"/>
      <w:b/>
      <w:sz w:val="32"/>
    </w:rPr>
  </w:style>
  <w:style w:type="paragraph" w:customStyle="1" w:styleId="47">
    <w:name w:val="heading 39ac5ae549ac5ae5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9a2c68a59a2c68a"/>
    <w:uiPriority w:val="0"/>
  </w:style>
  <w:style w:type="paragraph" w:customStyle="1" w:styleId="49">
    <w:name w:val="引文目录1bcd7c5f7bcd7c5f7"/>
    <w:basedOn w:val="44"/>
    <w:next w:val="1"/>
    <w:uiPriority w:val="0"/>
    <w:pPr>
      <w:ind w:left="200" w:leftChars="200"/>
    </w:pPr>
  </w:style>
  <w:style w:type="paragraph" w:customStyle="1" w:styleId="50">
    <w:name w:val="toc 590a1af8090a1af80"/>
    <w:basedOn w:val="44"/>
    <w:next w:val="1"/>
    <w:uiPriority w:val="0"/>
    <w:pPr>
      <w:ind w:left="1680"/>
    </w:pPr>
  </w:style>
  <w:style w:type="paragraph" w:customStyle="1" w:styleId="51">
    <w:name w:val="toc 3598a9701598a9701"/>
    <w:basedOn w:val="44"/>
    <w:next w:val="1"/>
    <w:uiPriority w:val="0"/>
    <w:pPr>
      <w:ind w:left="840"/>
    </w:pPr>
  </w:style>
  <w:style w:type="paragraph" w:customStyle="1" w:styleId="52">
    <w:name w:val="footer1e927d9e1e927d9e"/>
    <w:basedOn w:val="44"/>
    <w:uiPriority w:val="0"/>
    <w:pPr>
      <w:tabs>
        <w:tab w:val="center" w:pos="4153"/>
        <w:tab w:val="right" w:pos="8307"/>
      </w:tabs>
      <w:adjustRightInd/>
      <w:snapToGrid w:val="0"/>
      <w:contextualSpacing w:val="0"/>
      <w:jc w:val="left"/>
    </w:pPr>
    <w:rPr>
      <w:sz w:val="18"/>
    </w:rPr>
  </w:style>
  <w:style w:type="paragraph" w:customStyle="1" w:styleId="53">
    <w:name w:val="header30af3dc430af3dc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3064563a3064563"/>
    <w:basedOn w:val="44"/>
    <w:next w:val="1"/>
    <w:uiPriority w:val="0"/>
  </w:style>
  <w:style w:type="paragraph" w:customStyle="1" w:styleId="55">
    <w:name w:val="toc 465ce54a265ce54a2"/>
    <w:basedOn w:val="44"/>
    <w:next w:val="1"/>
    <w:uiPriority w:val="0"/>
    <w:pPr>
      <w:ind w:left="1260"/>
    </w:pPr>
  </w:style>
  <w:style w:type="paragraph" w:customStyle="1" w:styleId="56">
    <w:name w:val="toc 2612ba2d3612ba2d3"/>
    <w:basedOn w:val="44"/>
    <w:next w:val="1"/>
    <w:uiPriority w:val="0"/>
    <w:pPr>
      <w:ind w:left="420"/>
    </w:pPr>
  </w:style>
  <w:style w:type="paragraph" w:customStyle="1" w:styleId="57">
    <w:name w:val="列出段落1c68beb82c68beb82"/>
    <w:link w:val="58"/>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Times New Roman"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character" w:customStyle="1" w:styleId="58">
    <w:name w:val="列出段落1c68beb82c68beb82 Char"/>
    <w:basedOn w:val="13"/>
    <w:link w:val="57"/>
    <w:uiPriority w:val="0"/>
    <w:rPr>
      <w:rFonts w:asci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23</Pages>
  <Words>25625</Words>
  <Characters>27241</Characters>
  <Lines>926</Lines>
  <Paragraphs>722</Paragraphs>
  <TotalTime>9</TotalTime>
  <ScaleCrop>false</ScaleCrop>
  <LinksUpToDate>false</LinksUpToDate>
  <CharactersWithSpaces>27424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2026-05-22T07:10:45Z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