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b/>
          <w:bCs/>
          <w:vanish w:val="0"/>
          <w:kern w:val="0"/>
          <w:sz w:val="24"/>
          <w:szCs w:val="24"/>
        </w:rPr>
      </w:pPr>
      <w:bookmarkStart w:id="0" w:name="_GoBack"/>
      <w:bookmarkEnd w:id="0"/>
      <w:r>
        <w:rPr>
          <w:rFonts w:ascii="方正黑体_GBK" w:eastAsia="方正黑体_GBK" w:hint="eastAsia"/>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vanish w:val="0"/>
          <w:color w:val="3D3D3D"/>
          <w:kern w:val="0"/>
          <w:sz w:val="18"/>
          <w:szCs w:val="18"/>
        </w:rPr>
      </w:pPr>
      <w:r>
        <w:rPr>
          <w:rFonts w:ascii="方正黑体_GBK" w:eastAsia="方正黑体_GBK"/>
          <w:b/>
          <w:bCs/>
          <w:i/>
          <w:iCs/>
          <w:vanish w:val="0"/>
          <w:kern w:val="0"/>
          <w:sz w:val="24"/>
          <w:szCs w:val="24"/>
          <w:u w:val="single"/>
        </w:rPr>
        <w:t>“</w:t>
      </w:r>
      <w:r>
        <w:rPr>
          <w:rFonts w:ascii="方正黑体_GBK" w:eastAsia="方正黑体_GBK" w:cs="Times New Roman" w:hint="eastAsia"/>
          <w:b/>
          <w:bCs/>
          <w:i/>
          <w:iCs/>
          <w:vanish w:val="0"/>
          <w:kern w:val="0"/>
          <w:sz w:val="24"/>
          <w:szCs w:val="24"/>
          <w:u w:val="single"/>
        </w:rPr>
        <w:t>理财非存款、产品有风险、投资须谨慎</w:t>
      </w:r>
      <w:r>
        <w:rPr>
          <w:rFonts w:ascii="方正黑体_GBK" w:eastAsia="方正黑体_GBK"/>
          <w:b/>
          <w:bCs/>
          <w:i/>
          <w:iCs/>
          <w:vanish w:val="0"/>
          <w:kern w:val="0"/>
          <w:sz w:val="24"/>
          <w:szCs w:val="24"/>
          <w:u w:val="single"/>
        </w:rPr>
        <w:t>”</w:t>
      </w:r>
      <w:r>
        <w:rPr>
          <w:rFonts w:ascii="方正黑体_GBK" w:eastAsia="方正黑体_GBK" w:hint="eastAsia"/>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int="eastAsia"/>
          <w:b/>
          <w:bCs w:val="0"/>
          <w:vanish w:val="0"/>
          <w:color w:val="3D3D3D"/>
          <w:kern w:val="0"/>
          <w:sz w:val="13"/>
          <w:szCs w:val="13"/>
        </w:rPr>
      </w:pPr>
      <w:r>
        <w:rPr>
          <w:rFonts w:ascii="方正黑体_GBK" w:eastAsia="方正黑体_GBK" w:hint="eastAsia"/>
          <w:b/>
          <w:bCs w:val="0"/>
          <w:vanish w:val="0"/>
          <w:color w:val="3D3D3D"/>
          <w:kern w:val="0"/>
          <w:sz w:val="13"/>
          <w:szCs w:val="13"/>
        </w:rPr>
        <w:t>本理财产品是</w:t>
      </w:r>
      <w:r>
        <w:rPr>
          <w:rFonts w:ascii="方正黑体_GBK" w:eastAsia="方正黑体_GBK" w:hint="eastAsia"/>
          <w:b/>
          <w:bCs w:val="0"/>
          <w:i/>
          <w:iCs/>
          <w:vanish w:val="0"/>
          <w:color w:val="3D3D3D"/>
          <w:kern w:val="0"/>
          <w:sz w:val="20"/>
          <w:szCs w:val="20"/>
          <w:u w:val="single"/>
        </w:rPr>
        <w:t>定期开放式、固定收益类、公募、净值型</w:t>
      </w:r>
      <w:r>
        <w:rPr>
          <w:rFonts w:ascii="方正黑体_GBK" w:eastAsia="方正黑体_GBK" w:hint="eastAsia"/>
          <w:b/>
          <w:bCs w:val="0"/>
          <w:vanish w:val="0"/>
          <w:color w:val="3D3D3D"/>
          <w:kern w:val="0"/>
          <w:sz w:val="13"/>
          <w:szCs w:val="13"/>
        </w:rPr>
        <w:t>理财产品，</w:t>
      </w:r>
      <w:r>
        <w:rPr>
          <w:rFonts w:ascii="方正黑体_GBK" w:eastAsia="方正黑体_GBK" w:cs="Times New Roman" w:hint="eastAsia"/>
          <w:b/>
          <w:bCs w:val="0"/>
          <w:i/>
          <w:iCs/>
          <w:vanish w:val="0"/>
          <w:color w:val="3D3D3D"/>
          <w:kern w:val="0"/>
          <w:sz w:val="20"/>
          <w:szCs w:val="20"/>
          <w:u w:val="single"/>
        </w:rPr>
        <w:t>不保证本金和收益</w:t>
      </w:r>
      <w:r>
        <w:rPr>
          <w:rFonts w:ascii="方正黑体_GBK" w:eastAsia="方正黑体_GBK" w:hint="eastAsia"/>
          <w:b/>
          <w:bCs w:val="0"/>
          <w:vanish w:val="0"/>
          <w:color w:val="3D3D3D"/>
          <w:kern w:val="0"/>
          <w:sz w:val="13"/>
          <w:szCs w:val="13"/>
        </w:rPr>
        <w:t>，您（以下或称为</w:t>
      </w:r>
      <w:r>
        <w:rPr>
          <w:rFonts w:ascii="方正黑体_GBK" w:eastAsia="方正黑体_GBK"/>
          <w:b/>
          <w:bCs w:val="0"/>
          <w:vanish w:val="0"/>
          <w:color w:val="3D3D3D"/>
          <w:kern w:val="0"/>
          <w:sz w:val="13"/>
          <w:szCs w:val="13"/>
        </w:rPr>
        <w:t>“</w:t>
      </w:r>
      <w:r>
        <w:rPr>
          <w:rFonts w:ascii="方正黑体_GBK" w:eastAsia="方正黑体_GBK" w:hint="eastAsia"/>
          <w:b/>
          <w:bCs w:val="0"/>
          <w:vanish w:val="0"/>
          <w:color w:val="3D3D3D"/>
          <w:kern w:val="0"/>
          <w:sz w:val="13"/>
          <w:szCs w:val="13"/>
        </w:rPr>
        <w:t>投资者</w:t>
      </w:r>
      <w:r>
        <w:rPr>
          <w:rFonts w:ascii="方正黑体_GBK" w:eastAsia="方正黑体_GBK"/>
          <w:b/>
          <w:bCs w:val="0"/>
          <w:vanish w:val="0"/>
          <w:color w:val="3D3D3D"/>
          <w:kern w:val="0"/>
          <w:sz w:val="13"/>
          <w:szCs w:val="13"/>
        </w:rPr>
        <w:t>”</w:t>
      </w:r>
      <w:r>
        <w:rPr>
          <w:rFonts w:ascii="方正黑体_GBK" w:eastAsia="方正黑体_GBK" w:hint="eastAsia"/>
          <w:b/>
          <w:bCs w:val="0"/>
          <w:vanish w:val="0"/>
          <w:color w:val="3D3D3D"/>
          <w:kern w:val="0"/>
          <w:sz w:val="13"/>
          <w:szCs w:val="13"/>
        </w:rPr>
        <w:t>）的本金与收益可能会蒙受</w:t>
      </w:r>
      <w:r>
        <w:rPr>
          <w:rFonts w:ascii="方正黑体_GBK" w:eastAsia="方正黑体_GBK" w:cs="Times New Roman" w:hint="eastAsia"/>
          <w:b/>
          <w:bCs w:val="0"/>
          <w:vanish w:val="0"/>
          <w:color w:val="3D3D3D"/>
          <w:kern w:val="0"/>
          <w:sz w:val="13"/>
          <w:szCs w:val="13"/>
        </w:rPr>
        <w:t>全部或部分</w:t>
      </w:r>
      <w:r>
        <w:rPr>
          <w:rFonts w:ascii="方正黑体_GBK" w:eastAsia="方正黑体_GBK" w:hint="eastAsia"/>
          <w:b/>
          <w:bCs w:val="0"/>
          <w:vanish w:val="0"/>
          <w:color w:val="3D3D3D"/>
          <w:kern w:val="0"/>
          <w:sz w:val="13"/>
          <w:szCs w:val="13"/>
        </w:rPr>
        <w:t>损失，</w:t>
      </w:r>
      <w:r>
        <w:rPr>
          <w:rFonts w:ascii="方正黑体_GBK" w:eastAsia="方正黑体_GBK" w:cs="Times New Roman" w:hint="eastAsia"/>
          <w:b/>
          <w:bCs w:val="0"/>
          <w:vanish w:val="0"/>
          <w:color w:val="3D3D3D"/>
          <w:kern w:val="0"/>
          <w:sz w:val="13"/>
          <w:szCs w:val="13"/>
        </w:rPr>
        <w:t>在您选择购买本理财产品前，您应仔细阅读</w:t>
      </w:r>
      <w:r>
        <w:rPr>
          <w:rFonts w:ascii="方正黑体_GBK" w:eastAsia="方正黑体_GBK" w:hint="eastAsia"/>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b/>
          <w:bCs w:val="0"/>
          <w:vanish w:val="0"/>
          <w:color w:val="3D3D3D"/>
          <w:kern w:val="0"/>
          <w:sz w:val="13"/>
          <w:szCs w:val="13"/>
        </w:rPr>
        <w:t>和《理财产品投资协议书》</w:t>
      </w:r>
      <w:r>
        <w:rPr>
          <w:rFonts w:ascii="方正黑体_GBK" w:eastAsia="方正黑体_GBK" w:hint="eastAsia"/>
          <w:b/>
          <w:bCs w:val="0"/>
          <w:vanish w:val="0"/>
          <w:color w:val="3D3D3D"/>
          <w:kern w:val="0"/>
          <w:sz w:val="13"/>
          <w:szCs w:val="13"/>
        </w:rPr>
        <w:t>（以下合称</w:t>
      </w:r>
      <w:r>
        <w:rPr>
          <w:rFonts w:ascii="方正黑体_GBK" w:eastAsia="方正黑体_GBK"/>
          <w:b/>
          <w:bCs w:val="0"/>
          <w:vanish w:val="0"/>
          <w:color w:val="3D3D3D"/>
          <w:kern w:val="0"/>
          <w:sz w:val="13"/>
          <w:szCs w:val="13"/>
        </w:rPr>
        <w:t>“</w:t>
      </w:r>
      <w:r>
        <w:rPr>
          <w:rFonts w:ascii="方正黑体_GBK" w:eastAsia="方正黑体_GBK" w:hint="eastAsia"/>
          <w:b/>
          <w:bCs w:val="0"/>
          <w:vanish w:val="0"/>
          <w:color w:val="3D3D3D"/>
          <w:kern w:val="0"/>
          <w:sz w:val="13"/>
          <w:szCs w:val="13"/>
        </w:rPr>
        <w:t>理财产品销售文件</w:t>
      </w:r>
      <w:r>
        <w:rPr>
          <w:rFonts w:ascii="方正黑体_GBK" w:eastAsia="方正黑体_GBK"/>
          <w:b/>
          <w:bCs w:val="0"/>
          <w:vanish w:val="0"/>
          <w:color w:val="3D3D3D"/>
          <w:kern w:val="0"/>
          <w:sz w:val="13"/>
          <w:szCs w:val="13"/>
        </w:rPr>
        <w:t>”</w:t>
      </w:r>
      <w:r>
        <w:rPr>
          <w:rFonts w:ascii="方正黑体_GBK" w:eastAsia="方正黑体_GBK" w:hint="eastAsia"/>
          <w:b/>
          <w:bCs w:val="0"/>
          <w:vanish w:val="0"/>
          <w:color w:val="3D3D3D"/>
          <w:kern w:val="0"/>
          <w:sz w:val="13"/>
          <w:szCs w:val="13"/>
        </w:rPr>
        <w:t>）</w:t>
      </w:r>
      <w:r>
        <w:rPr>
          <w:rFonts w:ascii="方正黑体_GBK" w:eastAsia="方正黑体_GBK" w:cs="Times New Roman" w:hint="eastAsia"/>
          <w:b/>
          <w:bCs w:val="0"/>
          <w:vanish w:val="0"/>
          <w:color w:val="3D3D3D"/>
          <w:kern w:val="0"/>
          <w:sz w:val="13"/>
          <w:szCs w:val="13"/>
        </w:rPr>
        <w:t>，了解本理财产品信息及详细</w:t>
      </w:r>
      <w:r>
        <w:rPr>
          <w:rFonts w:ascii="方正黑体_GBK" w:eastAsia="方正黑体_GBK" w:hint="eastAsia"/>
          <w:b/>
          <w:bCs w:val="0"/>
          <w:vanish w:val="0"/>
          <w:color w:val="3D3D3D"/>
          <w:kern w:val="0"/>
          <w:sz w:val="13"/>
          <w:szCs w:val="13"/>
        </w:rPr>
        <w:t>条款</w:t>
      </w:r>
      <w:r>
        <w:rPr>
          <w:rFonts w:ascii="方正黑体_GBK" w:eastAsia="方正黑体_GBK" w:cs="Times New Roman" w:hint="eastAsia"/>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b/>
          <w:bCs w:val="0"/>
          <w:vanish w:val="0"/>
          <w:color w:val="3D3D3D"/>
          <w:kern w:val="0"/>
          <w:sz w:val="13"/>
          <w:szCs w:val="13"/>
        </w:rPr>
      </w:pPr>
      <w:r>
        <w:rPr>
          <w:rFonts w:ascii="方正黑体_GBK" w:eastAsia="方正黑体_GBK" w:cs="Times New Roman" w:hint="eastAsia"/>
          <w:b/>
          <w:bCs w:val="0"/>
          <w:vanish w:val="0"/>
          <w:color w:val="3D3D3D"/>
          <w:kern w:val="0"/>
          <w:sz w:val="13"/>
          <w:szCs w:val="13"/>
        </w:rPr>
        <w:t>重要提示：</w:t>
      </w:r>
      <w:r>
        <w:rPr>
          <w:rFonts w:ascii="方正黑体_GBK" w:eastAsia="方正黑体_GBK" w:hint="eastAsia"/>
          <w:b/>
          <w:bCs w:val="0"/>
          <w:vanish w:val="0"/>
          <w:color w:val="3D3D3D"/>
          <w:kern w:val="0"/>
          <w:sz w:val="13"/>
          <w:szCs w:val="13"/>
        </w:rPr>
        <w:t>南银理财有限责任公司（以下简称为</w:t>
      </w:r>
      <w:r>
        <w:rPr>
          <w:rFonts w:ascii="方正黑体_GBK" w:eastAsia="方正黑体_GBK"/>
          <w:b/>
          <w:bCs w:val="0"/>
          <w:vanish w:val="0"/>
          <w:color w:val="3D3D3D"/>
          <w:kern w:val="0"/>
          <w:sz w:val="13"/>
          <w:szCs w:val="13"/>
        </w:rPr>
        <w:t>“</w:t>
      </w:r>
      <w:r>
        <w:rPr>
          <w:rFonts w:ascii="方正黑体_GBK" w:eastAsia="方正黑体_GBK" w:hint="eastAsia"/>
          <w:b/>
          <w:bCs w:val="0"/>
          <w:vanish w:val="0"/>
          <w:color w:val="3D3D3D"/>
          <w:kern w:val="0"/>
          <w:sz w:val="13"/>
          <w:szCs w:val="13"/>
        </w:rPr>
        <w:t>南银理财</w:t>
      </w:r>
      <w:r>
        <w:rPr>
          <w:rFonts w:ascii="方正黑体_GBK" w:eastAsia="方正黑体_GBK"/>
          <w:b/>
          <w:bCs w:val="0"/>
          <w:vanish w:val="0"/>
          <w:color w:val="3D3D3D"/>
          <w:kern w:val="0"/>
          <w:sz w:val="13"/>
          <w:szCs w:val="13"/>
        </w:rPr>
        <w:t>”</w:t>
      </w:r>
      <w:r>
        <w:rPr>
          <w:rFonts w:ascii="方正黑体_GBK" w:eastAsia="方正黑体_GBK" w:cs="Times New Roman" w:hint="eastAsia"/>
          <w:b/>
          <w:bCs w:val="0"/>
          <w:vanish w:val="0"/>
          <w:color w:val="3D3D3D"/>
          <w:kern w:val="0"/>
          <w:sz w:val="13"/>
          <w:szCs w:val="13"/>
        </w:rPr>
        <w:t>、“理财产品管理人”、“产品管理人”或“管理人”</w:t>
      </w:r>
      <w:r>
        <w:rPr>
          <w:rFonts w:ascii="方正黑体_GBK" w:eastAsia="方正黑体_GBK" w:hint="eastAsia"/>
          <w:b/>
          <w:bCs w:val="0"/>
          <w:vanish w:val="0"/>
          <w:color w:val="3D3D3D"/>
          <w:kern w:val="0"/>
          <w:sz w:val="13"/>
          <w:szCs w:val="13"/>
        </w:rPr>
        <w:t>）</w:t>
      </w:r>
      <w:r>
        <w:rPr>
          <w:rFonts w:ascii="方正黑体_GBK" w:eastAsia="方正黑体_GBK" w:cs="Times New Roman" w:hint="eastAsia"/>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b/>
          <w:bCs w:val="0"/>
          <w:vanish w:val="0"/>
          <w:color w:val="3D3D3D"/>
          <w:kern w:val="0"/>
          <w:sz w:val="13"/>
          <w:szCs w:val="13"/>
        </w:rPr>
        <w:t>您应该充分认识本理财产品的投资风险，本着</w:t>
      </w:r>
      <w:r>
        <w:rPr>
          <w:rFonts w:ascii="方正黑体_GBK" w:eastAsia="方正黑体_GBK"/>
          <w:b/>
          <w:bCs w:val="0"/>
          <w:vanish w:val="0"/>
          <w:color w:val="3D3D3D"/>
          <w:kern w:val="0"/>
          <w:sz w:val="13"/>
          <w:szCs w:val="13"/>
        </w:rPr>
        <w:t>“</w:t>
      </w:r>
      <w:r>
        <w:rPr>
          <w:rFonts w:ascii="方正黑体_GBK" w:eastAsia="方正黑体_GBK" w:cs="Times New Roman" w:hint="eastAsia"/>
          <w:b/>
          <w:bCs w:val="0"/>
          <w:vanish w:val="0"/>
          <w:color w:val="3D3D3D"/>
          <w:kern w:val="0"/>
          <w:sz w:val="13"/>
          <w:szCs w:val="13"/>
        </w:rPr>
        <w:t>充分了解风险，自主选择购买</w:t>
      </w:r>
      <w:r>
        <w:rPr>
          <w:rFonts w:ascii="方正黑体_GBK" w:eastAsia="方正黑体_GBK"/>
          <w:b/>
          <w:bCs w:val="0"/>
          <w:vanish w:val="0"/>
          <w:color w:val="3D3D3D"/>
          <w:kern w:val="0"/>
          <w:sz w:val="13"/>
          <w:szCs w:val="13"/>
        </w:rPr>
        <w:t>”</w:t>
      </w:r>
      <w:r>
        <w:rPr>
          <w:rFonts w:ascii="方正黑体_GBK" w:eastAsia="方正黑体_GBK" w:cs="Times New Roman" w:hint="eastAsia"/>
          <w:b/>
          <w:bCs w:val="0"/>
          <w:vanish w:val="0"/>
          <w:color w:val="3D3D3D"/>
          <w:kern w:val="0"/>
          <w:sz w:val="13"/>
          <w:szCs w:val="13"/>
        </w:rPr>
        <w:t>的原则，谨慎决策</w:t>
      </w:r>
      <w:r>
        <w:rPr>
          <w:rFonts w:ascii="方正黑体_GBK" w:eastAsia="方正黑体_GBK" w:hint="eastAsia"/>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b/>
          <w:bCs w:val="0"/>
          <w:vanish w:val="0"/>
          <w:color w:val="3D3D3D"/>
          <w:kern w:val="0"/>
          <w:sz w:val="13"/>
          <w:szCs w:val="13"/>
        </w:rPr>
        <w:t>不构成管理人对理财产品业绩表现的保证，</w:t>
      </w:r>
      <w:r>
        <w:rPr>
          <w:rFonts w:ascii="方正黑体_GBK" w:eastAsia="方正黑体_GBK" w:hint="eastAsia"/>
          <w:b/>
          <w:bCs w:val="0"/>
          <w:vanish w:val="0"/>
          <w:color w:val="3D3D3D"/>
          <w:kern w:val="0"/>
          <w:sz w:val="13"/>
          <w:szCs w:val="13"/>
        </w:rPr>
        <w:t>投资须谨慎</w:t>
      </w:r>
      <w:r>
        <w:rPr>
          <w:rFonts w:ascii="方正黑体_GBK" w:eastAsia="方正黑体_GBK" w:cs="Times New Roman" w:hint="eastAsia"/>
          <w:b/>
          <w:bCs w:val="0"/>
          <w:vanish w:val="0"/>
          <w:color w:val="3D3D3D"/>
          <w:kern w:val="0"/>
          <w:sz w:val="13"/>
          <w:szCs w:val="13"/>
        </w:rPr>
        <w:t>！</w:t>
      </w:r>
      <w:r>
        <w:rPr>
          <w:rFonts w:ascii="方正黑体_GBK" w:eastAsia="方正黑体_GBK" w:hint="eastAsia"/>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vanish w:val="0"/>
          <w:color w:val="3D3D3D"/>
          <w:kern w:val="0"/>
          <w:sz w:val="13"/>
          <w:szCs w:val="13"/>
        </w:rPr>
      </w:pPr>
      <w:r>
        <w:rPr>
          <w:rFonts w:ascii="方正黑体_GBK" w:eastAsia="方正黑体_GBK" w:hint="eastAsia"/>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第一条</w:t>
      </w:r>
      <w:r>
        <w:rPr>
          <w:rFonts w:ascii="方正黑体_GBK" w:eastAsia="方正黑体_GBK"/>
          <w:vanish w:val="0"/>
          <w:color w:val="3D3D3D"/>
          <w:kern w:val="0"/>
          <w:sz w:val="13"/>
          <w:szCs w:val="13"/>
        </w:rPr>
        <w:t xml:space="preserve"> </w:t>
      </w:r>
      <w:r>
        <w:rPr>
          <w:rFonts w:ascii="方正黑体_GBK" w:eastAsia="方正黑体_GBK" w:hint="eastAsia"/>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（一）政策风险：</w:t>
      </w:r>
      <w:r>
        <w:rPr>
          <w:rFonts w:ascii="方正黑体_GBK" w:eastAsia="方正黑体_GBK" w:cs="Times New Roman" w:hint="eastAsia"/>
          <w:vanish w:val="0"/>
          <w:color w:val="3D3D3D"/>
          <w:kern w:val="0"/>
          <w:sz w:val="13"/>
          <w:szCs w:val="13"/>
        </w:rPr>
        <w:t>本</w:t>
      </w:r>
      <w:r>
        <w:rPr>
          <w:rFonts w:ascii="方正黑体_GBK" w:eastAsia="方正黑体_GBK" w:hint="eastAsia"/>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vanish w:val="0"/>
          <w:color w:val="3D3D3D"/>
          <w:kern w:val="0"/>
          <w:sz w:val="13"/>
          <w:szCs w:val="13"/>
        </w:rPr>
        <w:t>导致</w:t>
      </w:r>
      <w:r>
        <w:rPr>
          <w:rFonts w:ascii="方正黑体_GBK" w:eastAsia="方正黑体_GBK" w:hint="eastAsia"/>
          <w:vanish w:val="0"/>
          <w:color w:val="3D3D3D"/>
          <w:kern w:val="0"/>
          <w:sz w:val="13"/>
          <w:szCs w:val="13"/>
        </w:rPr>
        <w:t>理财产品的收益降低</w:t>
      </w:r>
      <w:r>
        <w:rPr>
          <w:rFonts w:ascii="方正黑体_GBK" w:eastAsia="方正黑体_GBK" w:cs="Times New Roman" w:hint="eastAsia"/>
          <w:vanish w:val="0"/>
          <w:color w:val="3D3D3D"/>
          <w:kern w:val="0"/>
          <w:sz w:val="13"/>
          <w:szCs w:val="13"/>
        </w:rPr>
        <w:t>或无法取得任何收益</w:t>
      </w:r>
      <w:r>
        <w:rPr>
          <w:rFonts w:ascii="方正黑体_GBK" w:eastAsia="方正黑体_GBK" w:hint="eastAsia"/>
          <w:vanish w:val="0"/>
          <w:color w:val="3D3D3D"/>
          <w:kern w:val="0"/>
          <w:sz w:val="13"/>
          <w:szCs w:val="13"/>
        </w:rPr>
        <w:t>甚至本理财产品的本金遭受</w:t>
      </w:r>
      <w:r>
        <w:rPr>
          <w:rFonts w:ascii="方正黑体_GBK" w:eastAsia="方正黑体_GBK" w:cs="Times New Roman" w:hint="eastAsia"/>
          <w:vanish w:val="0"/>
          <w:color w:val="3D3D3D"/>
          <w:kern w:val="0"/>
          <w:sz w:val="13"/>
          <w:szCs w:val="13"/>
        </w:rPr>
        <w:t>部分或全部</w:t>
      </w:r>
      <w:r>
        <w:rPr>
          <w:rFonts w:ascii="方正黑体_GBK" w:eastAsia="方正黑体_GBK" w:hint="eastAsia"/>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（二）信用风险：</w:t>
      </w:r>
      <w:r>
        <w:rPr>
          <w:rFonts w:ascii="方正黑体_GBK" w:eastAsia="方正黑体_GBK" w:cs="Times New Roman" w:hint="eastAsia"/>
          <w:vanish w:val="0"/>
          <w:color w:val="3D3D3D"/>
          <w:kern w:val="0"/>
          <w:sz w:val="13"/>
          <w:szCs w:val="13"/>
        </w:rPr>
        <w:t>本理财产品收益来源于理财产品项下投资对象的回报。</w:t>
      </w:r>
      <w:r>
        <w:rPr>
          <w:rFonts w:ascii="方正黑体_GBK" w:eastAsia="方正黑体_GBK" w:hint="eastAsia"/>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理财产品投资不同类型的资产可能面临的市场风险包括但不限于：</w:t>
      </w:r>
      <w:r>
        <w:rPr>
          <w:rFonts w:ascii="方正黑体_GBK" w:eastAsia="方正黑体_GBK"/>
          <w:vanish w:val="0"/>
          <w:color w:val="3D3D3D"/>
          <w:kern w:val="0"/>
          <w:sz w:val="13"/>
          <w:szCs w:val="13"/>
        </w:rPr>
        <w:t>1.</w:t>
      </w:r>
      <w:r>
        <w:rPr>
          <w:rFonts w:ascii="方正黑体_GBK" w:eastAsia="方正黑体_GBK" w:hint="eastAsia"/>
          <w:vanish w:val="0"/>
          <w:color w:val="3D3D3D"/>
          <w:kern w:val="0"/>
          <w:sz w:val="13"/>
          <w:szCs w:val="13"/>
        </w:rPr>
        <w:t>理财产品投资债券等固定收益率资产将面临利率、汇率变化等市场风险以及债券价格波动风险；</w:t>
      </w:r>
      <w:r>
        <w:rPr>
          <w:rFonts w:ascii="方正黑体_GBK" w:eastAsia="方正黑体_GBK"/>
          <w:vanish w:val="0"/>
          <w:color w:val="3D3D3D"/>
          <w:kern w:val="0"/>
          <w:sz w:val="13"/>
          <w:szCs w:val="13"/>
        </w:rPr>
        <w:t>2.</w:t>
      </w:r>
      <w:r>
        <w:rPr>
          <w:rFonts w:ascii="方正黑体_GBK" w:eastAsia="方正黑体_GBK" w:hint="eastAsia"/>
          <w:vanish w:val="0"/>
          <w:color w:val="3D3D3D"/>
          <w:kern w:val="0"/>
          <w:sz w:val="13"/>
          <w:szCs w:val="13"/>
        </w:rPr>
        <w:t>理财产品投资股票等权益类资产将面临股票价格波动风险和股票发行人的经营风险、管理风险等风险；</w:t>
      </w:r>
      <w:r>
        <w:rPr>
          <w:rFonts w:ascii="方正黑体_GBK" w:eastAsia="方正黑体_GBK"/>
          <w:vanish w:val="0"/>
          <w:color w:val="3D3D3D"/>
          <w:kern w:val="0"/>
          <w:sz w:val="13"/>
          <w:szCs w:val="13"/>
        </w:rPr>
        <w:t>3.</w:t>
      </w:r>
      <w:r>
        <w:rPr>
          <w:rFonts w:ascii="方正黑体_GBK" w:eastAsia="方正黑体_GBK" w:hint="eastAsia"/>
          <w:vanish w:val="0"/>
          <w:color w:val="3D3D3D"/>
          <w:kern w:val="0"/>
          <w:sz w:val="13"/>
          <w:szCs w:val="13"/>
        </w:rPr>
        <w:t>理财产品投资商品及金融衍生品类产品可能面临衍生品公允价值变化风险</w:t>
      </w:r>
      <w:r>
        <w:rPr>
          <w:rFonts w:ascii="方正黑体_GBK" w:eastAsia="方正黑体_GBK" w:cs="Times New Roman" w:hint="eastAsia"/>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vanish w:val="0"/>
          <w:color w:val="3D3D3D"/>
          <w:kern w:val="0"/>
          <w:sz w:val="13"/>
          <w:szCs w:val="13"/>
        </w:rPr>
        <w:t>当市场上出现更高收益的产品时，将有可能</w:t>
      </w:r>
      <w:r>
        <w:rPr>
          <w:rFonts w:ascii="方正黑体_GBK" w:eastAsia="方正黑体_GBK" w:cs="Times New Roman" w:hint="eastAsia"/>
          <w:vanish w:val="0"/>
          <w:color w:val="3D3D3D"/>
          <w:kern w:val="0"/>
          <w:sz w:val="13"/>
          <w:szCs w:val="13"/>
        </w:rPr>
        <w:t>导致投资者</w:t>
      </w:r>
      <w:r>
        <w:rPr>
          <w:rFonts w:ascii="方正黑体_GBK" w:eastAsia="方正黑体_GBK" w:hint="eastAsia"/>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（八）</w:t>
      </w:r>
      <w:r>
        <w:rPr>
          <w:rFonts w:ascii="方正黑体_GBK" w:eastAsia="方正黑体_GBK" w:cs="Times New Roman" w:hint="eastAsia"/>
          <w:vanish w:val="0"/>
          <w:color w:val="3D3D3D"/>
          <w:kern w:val="0"/>
          <w:sz w:val="13"/>
          <w:szCs w:val="13"/>
        </w:rPr>
        <w:t>理财</w:t>
      </w:r>
      <w:r>
        <w:rPr>
          <w:rFonts w:ascii="方正黑体_GBK" w:eastAsia="方正黑体_GBK" w:hint="eastAsia"/>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vanish w:val="0"/>
          <w:color w:val="3D3D3D"/>
          <w:kern w:val="0"/>
          <w:sz w:val="13"/>
          <w:szCs w:val="13"/>
        </w:rPr>
        <w:t>（或通过销售机构通知）</w:t>
      </w:r>
      <w:r>
        <w:rPr>
          <w:rFonts w:ascii="方正黑体_GBK" w:eastAsia="方正黑体_GBK" w:hint="eastAsia"/>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（九）延期分配风险：如因理财产品投资的资产</w:t>
      </w:r>
      <w:r>
        <w:rPr>
          <w:rFonts w:ascii="方正黑体_GBK" w:eastAsia="方正黑体_GBK" w:cs="Times New Roman" w:hint="eastAsia"/>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b/>
          <w:bCs/>
          <w:vanish w:val="0"/>
          <w:color w:val="3D3D3D"/>
          <w:kern w:val="0"/>
          <w:sz w:val="13"/>
          <w:szCs w:val="13"/>
        </w:rPr>
      </w:pPr>
      <w:r>
        <w:rPr>
          <w:rFonts w:ascii="方正黑体_GBK" w:eastAsia="方正黑体_GBK" w:hint="eastAsia"/>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b/>
          <w:bCs/>
          <w:vanish w:val="0"/>
          <w:color w:val="3D3D3D"/>
          <w:kern w:val="0"/>
          <w:sz w:val="13"/>
          <w:szCs w:val="13"/>
        </w:rPr>
        <w:t>者</w:t>
      </w:r>
      <w:r>
        <w:rPr>
          <w:rFonts w:ascii="方正黑体_GBK" w:eastAsia="方正黑体_GBK" w:hint="eastAsia"/>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b/>
          <w:bCs/>
          <w:vanish w:val="0"/>
          <w:color w:val="3D3D3D"/>
          <w:kern w:val="0"/>
          <w:sz w:val="13"/>
          <w:szCs w:val="13"/>
        </w:rPr>
      </w:pPr>
      <w:r>
        <w:rPr>
          <w:rFonts w:ascii="方正黑体_GBK" w:eastAsia="方正黑体_GBK" w:hint="eastAsia"/>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b/>
          <w:bCs/>
          <w:vanish w:val="0"/>
          <w:color w:val="3D3D3D"/>
          <w:kern w:val="0"/>
          <w:sz w:val="13"/>
          <w:szCs w:val="13"/>
        </w:rPr>
        <w:t>或报告</w:t>
      </w:r>
      <w:r>
        <w:rPr>
          <w:rFonts w:ascii="方正黑体_GBK" w:eastAsia="方正黑体_GBK" w:hint="eastAsia"/>
          <w:b/>
          <w:bCs/>
          <w:vanish w:val="0"/>
          <w:color w:val="3D3D3D"/>
          <w:kern w:val="0"/>
          <w:sz w:val="13"/>
          <w:szCs w:val="13"/>
        </w:rPr>
        <w:t>。投资者应根据《理财产品说明书》中约定的</w:t>
      </w:r>
      <w:r>
        <w:rPr>
          <w:rFonts w:ascii="方正黑体_GBK" w:eastAsia="方正黑体_GBK" w:cs="Times New Roman" w:hint="eastAsia"/>
          <w:b/>
          <w:bCs/>
          <w:vanish w:val="0"/>
          <w:color w:val="3D3D3D"/>
          <w:kern w:val="0"/>
          <w:sz w:val="13"/>
          <w:szCs w:val="13"/>
        </w:rPr>
        <w:t>信息披露</w:t>
      </w:r>
      <w:r>
        <w:rPr>
          <w:rFonts w:ascii="方正黑体_GBK" w:eastAsia="方正黑体_GBK" w:hint="eastAsia"/>
          <w:b/>
          <w:bCs/>
          <w:vanish w:val="0"/>
          <w:color w:val="3D3D3D"/>
          <w:kern w:val="0"/>
          <w:sz w:val="13"/>
          <w:szCs w:val="13"/>
        </w:rPr>
        <w:t>渠道及时查询相关信息</w:t>
      </w:r>
      <w:r>
        <w:rPr>
          <w:rFonts w:ascii="方正黑体_GBK" w:eastAsia="方正黑体_GBK" w:cs="Times New Roman" w:hint="eastAsia"/>
          <w:b/>
          <w:bCs/>
          <w:vanish w:val="0"/>
          <w:color w:val="3D3D3D"/>
          <w:kern w:val="0"/>
          <w:sz w:val="13"/>
          <w:szCs w:val="13"/>
        </w:rPr>
        <w:t>，</w:t>
      </w:r>
      <w:r>
        <w:rPr>
          <w:rFonts w:ascii="方正黑体_GBK" w:eastAsia="方正黑体_GBK" w:hint="eastAsia"/>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b/>
          <w:bCs/>
          <w:vanish w:val="0"/>
          <w:color w:val="3D3D3D"/>
          <w:kern w:val="0"/>
          <w:sz w:val="13"/>
          <w:szCs w:val="13"/>
        </w:rPr>
        <w:t>投资者承担</w:t>
      </w:r>
      <w:r>
        <w:rPr>
          <w:rFonts w:ascii="方正黑体_GBK" w:eastAsia="方正黑体_GBK" w:hint="eastAsia"/>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b/>
          <w:bCs/>
          <w:vanish w:val="0"/>
          <w:color w:val="3D3D3D"/>
          <w:kern w:val="0"/>
          <w:sz w:val="13"/>
          <w:szCs w:val="13"/>
        </w:rPr>
      </w:pPr>
      <w:r>
        <w:rPr>
          <w:rFonts w:ascii="方正黑体_GBK" w:eastAsia="方正黑体_GBK" w:cs="Times New Roman" w:hint="eastAsia"/>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vanish w:val="0"/>
          <w:color w:val="3D3D3D"/>
          <w:kern w:val="0"/>
          <w:sz w:val="13"/>
          <w:szCs w:val="13"/>
        </w:rPr>
        <w:t>《理财产品说明书》规定的不可抗力或</w:t>
      </w:r>
      <w:r>
        <w:rPr>
          <w:rFonts w:ascii="方正黑体_GBK" w:eastAsia="方正黑体_GBK" w:hint="eastAsia"/>
          <w:vanish w:val="0"/>
          <w:color w:val="3D3D3D"/>
          <w:kern w:val="0"/>
          <w:sz w:val="13"/>
          <w:szCs w:val="13"/>
        </w:rPr>
        <w:t>南银理财、</w:t>
      </w:r>
      <w:r>
        <w:rPr>
          <w:rFonts w:ascii="方正黑体_GBK" w:eastAsia="方正黑体_GBK" w:cs="Times New Roman" w:hint="eastAsia"/>
          <w:vanish w:val="0"/>
          <w:color w:val="3D3D3D"/>
          <w:kern w:val="0"/>
          <w:sz w:val="13"/>
          <w:szCs w:val="13"/>
        </w:rPr>
        <w:t>销售机构</w:t>
      </w:r>
      <w:r>
        <w:rPr>
          <w:rFonts w:ascii="方正黑体_GBK" w:eastAsia="方正黑体_GBK" w:hint="eastAsia"/>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vanish w:val="0"/>
          <w:color w:val="3D3D3D"/>
          <w:kern w:val="0"/>
          <w:sz w:val="13"/>
          <w:szCs w:val="13"/>
        </w:rPr>
        <w:t>对</w:t>
      </w:r>
      <w:r>
        <w:rPr>
          <w:rFonts w:ascii="方正黑体_GBK" w:eastAsia="方正黑体_GBK" w:hint="eastAsia"/>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vanish w:val="0"/>
          <w:color w:val="3D3D3D"/>
          <w:kern w:val="0"/>
          <w:sz w:val="13"/>
          <w:szCs w:val="13"/>
        </w:rPr>
        <w:t>本金和收益遭受</w:t>
      </w:r>
      <w:r>
        <w:rPr>
          <w:rFonts w:ascii="方正黑体_GBK" w:eastAsia="方正黑体_GBK" w:hint="eastAsia"/>
          <w:vanish w:val="0"/>
          <w:color w:val="3D3D3D"/>
          <w:kern w:val="0"/>
          <w:sz w:val="13"/>
          <w:szCs w:val="13"/>
        </w:rPr>
        <w:t>损失的风险。</w:t>
      </w:r>
      <w:r>
        <w:rPr>
          <w:rFonts w:ascii="方正黑体_GBK" w:eastAsia="方正黑体_GBK" w:cs="Times New Roman" w:hint="eastAsia"/>
          <w:vanish w:val="0"/>
          <w:color w:val="3D3D3D"/>
          <w:kern w:val="0"/>
          <w:sz w:val="13"/>
          <w:szCs w:val="13"/>
        </w:rPr>
        <w:t>因不可抗力及意外事件风险导致的任何损失，</w:t>
      </w:r>
      <w:r>
        <w:rPr>
          <w:rFonts w:ascii="方正黑体_GBK" w:eastAsia="方正黑体_GBK" w:hint="eastAsia"/>
          <w:vanish w:val="0"/>
          <w:color w:val="3D3D3D"/>
          <w:kern w:val="0"/>
          <w:sz w:val="13"/>
          <w:szCs w:val="13"/>
        </w:rPr>
        <w:t>由投资者</w:t>
      </w:r>
      <w:r>
        <w:rPr>
          <w:rFonts w:ascii="方正黑体_GBK" w:eastAsia="方正黑体_GBK" w:cs="Times New Roman" w:hint="eastAsia"/>
          <w:vanish w:val="0"/>
          <w:color w:val="3D3D3D"/>
          <w:kern w:val="0"/>
          <w:sz w:val="13"/>
          <w:szCs w:val="13"/>
        </w:rPr>
        <w:t>自行</w:t>
      </w:r>
      <w:r>
        <w:rPr>
          <w:rFonts w:ascii="方正黑体_GBK" w:eastAsia="方正黑体_GBK" w:hint="eastAsia"/>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vanish w:val="0"/>
          <w:color w:val="3D3D3D"/>
          <w:kern w:val="0"/>
          <w:sz w:val="13"/>
          <w:szCs w:val="13"/>
        </w:rPr>
        <w:t>收</w:t>
      </w:r>
      <w:r>
        <w:rPr>
          <w:rFonts w:ascii="方正黑体_GBK" w:eastAsia="方正黑体_GBK" w:hint="eastAsia"/>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（十五）操作风险：若管理人、</w:t>
      </w:r>
      <w:r>
        <w:rPr>
          <w:rFonts w:ascii="方正黑体_GBK" w:eastAsia="方正黑体_GBK" w:cs="Times New Roman" w:hint="eastAsia"/>
          <w:vanish w:val="0"/>
          <w:color w:val="3D3D3D"/>
          <w:kern w:val="0"/>
          <w:sz w:val="13"/>
          <w:szCs w:val="13"/>
        </w:rPr>
        <w:t>销售机构</w:t>
      </w:r>
      <w:r>
        <w:rPr>
          <w:rFonts w:ascii="方正黑体_GBK" w:eastAsia="方正黑体_GBK" w:hint="eastAsia"/>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（十六）代销风险：本理财产品通过代销机构销售</w:t>
      </w:r>
      <w:r>
        <w:rPr>
          <w:rFonts w:ascii="方正黑体_GBK" w:eastAsia="方正黑体_GBK" w:cs="Times New Roman" w:hint="eastAsia"/>
          <w:vanish w:val="0"/>
          <w:color w:val="3D3D3D"/>
          <w:kern w:val="0"/>
          <w:sz w:val="13"/>
          <w:szCs w:val="13"/>
        </w:rPr>
        <w:t>时</w:t>
      </w:r>
      <w:r>
        <w:rPr>
          <w:rFonts w:ascii="方正黑体_GBK" w:eastAsia="方正黑体_GBK" w:hint="eastAsia"/>
          <w:vanish w:val="0"/>
          <w:color w:val="3D3D3D"/>
          <w:kern w:val="0"/>
          <w:sz w:val="13"/>
          <w:szCs w:val="13"/>
        </w:rPr>
        <w:t>，认购</w:t>
      </w:r>
      <w:r>
        <w:rPr>
          <w:rFonts w:ascii="方正黑体_GBK" w:eastAsia="方正黑体_GBK"/>
          <w:vanish w:val="0"/>
          <w:color w:val="3D3D3D"/>
          <w:kern w:val="0"/>
          <w:sz w:val="13"/>
          <w:szCs w:val="13"/>
        </w:rPr>
        <w:t>/</w:t>
      </w:r>
      <w:r>
        <w:rPr>
          <w:rFonts w:ascii="方正黑体_GBK" w:eastAsia="方正黑体_GBK" w:hint="eastAsia"/>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vanish w:val="0"/>
          <w:color w:val="3D3D3D"/>
          <w:kern w:val="0"/>
          <w:sz w:val="13"/>
          <w:szCs w:val="13"/>
        </w:rPr>
        <w:t>产品销售文件</w:t>
      </w:r>
      <w:r>
        <w:rPr>
          <w:rFonts w:ascii="方正黑体_GBK" w:eastAsia="方正黑体_GBK" w:hint="eastAsia"/>
          <w:vanish w:val="0"/>
          <w:color w:val="3D3D3D"/>
          <w:kern w:val="0"/>
          <w:sz w:val="13"/>
          <w:szCs w:val="13"/>
        </w:rPr>
        <w:t>约定划付至代销机构，并由代销机构向投资者支付。</w:t>
      </w:r>
      <w:r>
        <w:rPr>
          <w:rFonts w:ascii="方正黑体_GBK" w:eastAsia="方正黑体_GBK" w:cs="Times New Roman" w:hint="eastAsia"/>
          <w:vanish w:val="0"/>
          <w:color w:val="3D3D3D"/>
          <w:kern w:val="0"/>
          <w:sz w:val="13"/>
          <w:szCs w:val="13"/>
        </w:rPr>
        <w:t>如果投资者在代销机构的资金账户余额不足，或代销机构未及时将投资者认购</w:t>
      </w:r>
      <w:r>
        <w:rPr>
          <w:rFonts w:ascii="方正黑体_GBK" w:eastAsia="方正黑体_GBK" w:cs="Times New Roman"/>
          <w:vanish w:val="0"/>
          <w:color w:val="3D3D3D"/>
          <w:kern w:val="0"/>
          <w:sz w:val="13"/>
          <w:szCs w:val="13"/>
        </w:rPr>
        <w:t>/</w:t>
      </w:r>
      <w:r>
        <w:rPr>
          <w:rFonts w:ascii="方正黑体_GBK" w:eastAsia="方正黑体_GBK" w:cs="Times New Roman" w:hint="eastAsia"/>
          <w:vanish w:val="0"/>
          <w:color w:val="3D3D3D"/>
          <w:kern w:val="0"/>
          <w:sz w:val="13"/>
          <w:szCs w:val="13"/>
        </w:rPr>
        <w:t>申购资金划转至南银理财，将导致投资者无法完成认购</w:t>
      </w:r>
      <w:r>
        <w:rPr>
          <w:rFonts w:ascii="方正黑体_GBK" w:eastAsia="方正黑体_GBK" w:cs="Times New Roman"/>
          <w:vanish w:val="0"/>
          <w:color w:val="3D3D3D"/>
          <w:kern w:val="0"/>
          <w:sz w:val="13"/>
          <w:szCs w:val="13"/>
        </w:rPr>
        <w:t>/</w:t>
      </w:r>
      <w:r>
        <w:rPr>
          <w:rFonts w:ascii="方正黑体_GBK" w:eastAsia="方正黑体_GBK" w:cs="Times New Roman" w:hint="eastAsia"/>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（十七）未知价风险：净值型产品采用</w:t>
      </w:r>
      <w:r>
        <w:rPr>
          <w:rFonts w:ascii="方正黑体_GBK" w:eastAsia="方正黑体_GBK"/>
          <w:vanish w:val="0"/>
          <w:color w:val="3D3D3D"/>
          <w:kern w:val="0"/>
          <w:sz w:val="13"/>
          <w:szCs w:val="13"/>
        </w:rPr>
        <w:t>“</w:t>
      </w:r>
      <w:r>
        <w:rPr>
          <w:rFonts w:ascii="方正黑体_GBK" w:eastAsia="方正黑体_GBK" w:hint="eastAsia"/>
          <w:vanish w:val="0"/>
          <w:color w:val="3D3D3D"/>
          <w:kern w:val="0"/>
          <w:sz w:val="13"/>
          <w:szCs w:val="13"/>
        </w:rPr>
        <w:t>金额申购、份额赎回</w:t>
      </w:r>
      <w:r>
        <w:rPr>
          <w:rFonts w:ascii="方正黑体_GBK" w:eastAsia="方正黑体_GBK"/>
          <w:vanish w:val="0"/>
          <w:color w:val="3D3D3D"/>
          <w:kern w:val="0"/>
          <w:sz w:val="13"/>
          <w:szCs w:val="13"/>
        </w:rPr>
        <w:t>”</w:t>
      </w:r>
      <w:r>
        <w:rPr>
          <w:rFonts w:ascii="方正黑体_GBK" w:eastAsia="方正黑体_GBK" w:hint="eastAsia"/>
          <w:vanish w:val="0"/>
          <w:color w:val="3D3D3D"/>
          <w:kern w:val="0"/>
          <w:sz w:val="13"/>
          <w:szCs w:val="13"/>
        </w:rPr>
        <w:t>原则，即产品认</w:t>
      </w:r>
      <w:r>
        <w:rPr>
          <w:rFonts w:ascii="方正黑体_GBK" w:eastAsia="方正黑体_GBK"/>
          <w:vanish w:val="0"/>
          <w:color w:val="3D3D3D"/>
          <w:kern w:val="0"/>
          <w:sz w:val="13"/>
          <w:szCs w:val="13"/>
        </w:rPr>
        <w:t>/</w:t>
      </w:r>
      <w:r>
        <w:rPr>
          <w:rFonts w:ascii="方正黑体_GBK" w:eastAsia="方正黑体_GBK" w:hint="eastAsia"/>
          <w:vanish w:val="0"/>
          <w:color w:val="3D3D3D"/>
          <w:kern w:val="0"/>
          <w:sz w:val="13"/>
          <w:szCs w:val="13"/>
        </w:rPr>
        <w:t>申购以金额申请，赎回以份额申请，认</w:t>
      </w:r>
      <w:r>
        <w:rPr>
          <w:rFonts w:ascii="方正黑体_GBK" w:eastAsia="方正黑体_GBK"/>
          <w:vanish w:val="0"/>
          <w:color w:val="3D3D3D"/>
          <w:kern w:val="0"/>
          <w:sz w:val="13"/>
          <w:szCs w:val="13"/>
        </w:rPr>
        <w:t>/</w:t>
      </w:r>
      <w:r>
        <w:rPr>
          <w:rFonts w:ascii="方正黑体_GBK" w:eastAsia="方正黑体_GBK" w:hint="eastAsia"/>
          <w:vanish w:val="0"/>
          <w:color w:val="3D3D3D"/>
          <w:kern w:val="0"/>
          <w:sz w:val="13"/>
          <w:szCs w:val="13"/>
        </w:rPr>
        <w:t>申购与赎回价格以</w:t>
      </w:r>
      <w:r>
        <w:rPr>
          <w:rFonts w:ascii="方正黑体_GBK" w:eastAsia="方正黑体_GBK"/>
          <w:vanish w:val="0"/>
          <w:color w:val="3D3D3D"/>
          <w:kern w:val="0"/>
          <w:sz w:val="13"/>
          <w:szCs w:val="13"/>
        </w:rPr>
        <w:t>“</w:t>
      </w:r>
      <w:r>
        <w:rPr>
          <w:rFonts w:ascii="方正黑体_GBK" w:eastAsia="方正黑体_GBK" w:hint="eastAsia"/>
          <w:vanish w:val="0"/>
          <w:color w:val="3D3D3D"/>
          <w:kern w:val="0"/>
          <w:sz w:val="13"/>
          <w:szCs w:val="13"/>
        </w:rPr>
        <w:t>未知价原则</w:t>
      </w:r>
      <w:r>
        <w:rPr>
          <w:rFonts w:ascii="方正黑体_GBK" w:eastAsia="方正黑体_GBK"/>
          <w:vanish w:val="0"/>
          <w:color w:val="3D3D3D"/>
          <w:kern w:val="0"/>
          <w:sz w:val="13"/>
          <w:szCs w:val="13"/>
        </w:rPr>
        <w:t>”</w:t>
      </w:r>
      <w:r>
        <w:rPr>
          <w:rFonts w:ascii="方正黑体_GBK" w:eastAsia="方正黑体_GBK" w:hint="eastAsia"/>
          <w:vanish w:val="0"/>
          <w:color w:val="3D3D3D"/>
          <w:kern w:val="0"/>
          <w:sz w:val="13"/>
          <w:szCs w:val="13"/>
        </w:rPr>
        <w:t>受理申请。</w:t>
      </w:r>
      <w:r>
        <w:rPr>
          <w:rFonts w:ascii="方正黑体_GBK" w:eastAsia="方正黑体_GBK"/>
          <w:vanish w:val="0"/>
          <w:color w:val="3D3D3D"/>
          <w:kern w:val="0"/>
          <w:sz w:val="13"/>
          <w:szCs w:val="13"/>
        </w:rPr>
        <w:t>“</w:t>
      </w:r>
      <w:r>
        <w:rPr>
          <w:rFonts w:ascii="方正黑体_GBK" w:eastAsia="方正黑体_GBK" w:hint="eastAsia"/>
          <w:vanish w:val="0"/>
          <w:color w:val="3D3D3D"/>
          <w:kern w:val="0"/>
          <w:sz w:val="13"/>
          <w:szCs w:val="13"/>
        </w:rPr>
        <w:t>未知价原则</w:t>
      </w:r>
      <w:r>
        <w:rPr>
          <w:rFonts w:ascii="方正黑体_GBK" w:eastAsia="方正黑体_GBK"/>
          <w:vanish w:val="0"/>
          <w:color w:val="3D3D3D"/>
          <w:kern w:val="0"/>
          <w:sz w:val="13"/>
          <w:szCs w:val="13"/>
        </w:rPr>
        <w:t>”</w:t>
      </w:r>
      <w:r>
        <w:rPr>
          <w:rFonts w:ascii="方正黑体_GBK" w:eastAsia="方正黑体_GBK" w:hint="eastAsia"/>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ascii="方正黑体_GBK" w:eastAsia="方正黑体_GBK" w:hint="eastAsia"/>
          <w:sz w:val="20"/>
          <w:szCs w:val="20"/>
        </w:rPr>
      </w:pPr>
      <w:r>
        <w:rPr>
          <w:rFonts w:ascii="方正黑体_GBK" w:eastAsia="方正黑体_GBK" w:hint="eastAsia"/>
          <w:vanish w:val="0"/>
          <w:color w:val="3D3D3D"/>
          <w:kern w:val="0"/>
          <w:sz w:val="13"/>
          <w:szCs w:val="13"/>
        </w:rPr>
        <w:t>（十八）关联交易风险：在合法合规且履行应履行的内</w:t>
      </w:r>
      <w:r>
        <w:rPr>
          <w:rFonts w:ascii="方正黑体_GBK" w:eastAsia="方正黑体_GBK" w:cs="Times New Roman" w:hint="eastAsia"/>
          <w:vanish w:val="0"/>
          <w:color w:val="3D3D3D"/>
          <w:kern w:val="0"/>
          <w:sz w:val="13"/>
          <w:szCs w:val="13"/>
        </w:rPr>
        <w:t>、</w:t>
      </w:r>
      <w:r>
        <w:rPr>
          <w:rFonts w:ascii="方正黑体_GBK" w:eastAsia="方正黑体_GBK" w:hint="eastAsia"/>
          <w:vanish w:val="0"/>
          <w:color w:val="3D3D3D"/>
          <w:kern w:val="0"/>
          <w:sz w:val="13"/>
          <w:szCs w:val="13"/>
        </w:rPr>
        <w:t>外部程序后，理财产品可能</w:t>
      </w:r>
      <w:r>
        <w:rPr>
          <w:rFonts w:ascii="方正黑体_GBK" w:eastAsia="方正黑体_GBK" w:cs="Times New Roman" w:hint="eastAsia"/>
          <w:vanish w:val="0"/>
          <w:color w:val="3D3D3D"/>
          <w:kern w:val="0"/>
          <w:sz w:val="13"/>
          <w:szCs w:val="13"/>
        </w:rPr>
        <w:t>投资于</w:t>
      </w:r>
      <w:r>
        <w:rPr>
          <w:rFonts w:ascii="方正黑体_GBK" w:eastAsia="方正黑体_GBK" w:hint="eastAsia"/>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vanish w:val="0"/>
          <w:color w:val="3D3D3D"/>
          <w:kern w:val="0"/>
          <w:sz w:val="13"/>
          <w:szCs w:val="13"/>
        </w:rPr>
        <w:t>，</w:t>
      </w:r>
      <w:r>
        <w:rPr>
          <w:rFonts w:ascii="方正黑体_GBK" w:eastAsia="方正黑体_GBK" w:hint="eastAsia"/>
          <w:vanish w:val="0"/>
          <w:color w:val="3D3D3D"/>
          <w:kern w:val="0"/>
          <w:sz w:val="13"/>
          <w:szCs w:val="13"/>
        </w:rPr>
        <w:t>本理财产品</w:t>
      </w:r>
      <w:r>
        <w:rPr>
          <w:rFonts w:ascii="方正黑体_GBK" w:eastAsia="方正黑体_GBK" w:cs="Times New Roman" w:hint="eastAsia"/>
          <w:vanish w:val="0"/>
          <w:color w:val="3D3D3D"/>
          <w:kern w:val="0"/>
          <w:sz w:val="13"/>
          <w:szCs w:val="13"/>
        </w:rPr>
        <w:t>也</w:t>
      </w:r>
      <w:r>
        <w:rPr>
          <w:rFonts w:ascii="方正黑体_GBK" w:eastAsia="方正黑体_GBK" w:hint="eastAsia"/>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sz w:val="13"/>
          <w:szCs w:val="13"/>
        </w:rPr>
        <w:t xml:space="preserve"> </w:t>
      </w:r>
      <w:r>
        <w:rPr>
          <w:rFonts w:ascii="方正黑体_GBK" w:eastAsia="方正黑体_GBK" w:hint="eastAsia"/>
          <w:vanish w:val="0"/>
          <w:color w:val="3D3D3D"/>
          <w:kern w:val="0"/>
          <w:sz w:val="13"/>
          <w:szCs w:val="13"/>
        </w:rPr>
        <w:t>第二条</w:t>
      </w:r>
      <w:r>
        <w:rPr>
          <w:rFonts w:ascii="方正黑体_GBK" w:eastAsia="方正黑体_GBK"/>
          <w:vanish w:val="0"/>
          <w:color w:val="3D3D3D"/>
          <w:kern w:val="0"/>
          <w:sz w:val="13"/>
          <w:szCs w:val="13"/>
        </w:rPr>
        <w:t xml:space="preserve"> </w:t>
      </w:r>
      <w:r>
        <w:rPr>
          <w:rFonts w:ascii="方正黑体_GBK" w:eastAsia="方正黑体_GBK" w:hint="eastAsia"/>
          <w:vanish w:val="0"/>
          <w:color w:val="3D3D3D"/>
          <w:kern w:val="0"/>
          <w:sz w:val="13"/>
          <w:szCs w:val="13"/>
        </w:rPr>
        <w:t>本理财产品特定风险揭示</w:t>
      </w:r>
    </w:p>
    <w:p>
      <w:pPr>
        <w:spacing w:line="200" w:lineRule="exact"/>
      </w:pPr>
      <w:r>
        <w:rPr>
          <w:rFonts w:ascii="方正黑体_GBK" w:eastAsia="方正黑体_GBK" w:cs="宋体"/>
          <w:b/>
          <w:sz w:val="13"/>
          <w:szCs w:val="20"/>
        </w:rPr>
        <w:t xml:space="preserve">    1.债券类资产投资风险</w:t>
      </w:r>
    </w:p>
    <w:p>
      <w:pPr>
        <w:spacing w:line="200" w:lineRule="exact"/>
      </w:pPr>
      <w:r>
        <w:rPr>
          <w:rFonts w:asci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spacing w:line="200" w:lineRule="exact"/>
      </w:pPr>
      <w:r>
        <w:rPr>
          <w:rFonts w:ascii="方正黑体_GBK" w:eastAsia="方正黑体_GBK" w:cs="宋体"/>
          <w:b/>
          <w:sz w:val="13"/>
          <w:szCs w:val="20"/>
        </w:rPr>
        <w:t xml:space="preserve">    2.非标准化债权类资产投资风险</w:t>
      </w:r>
    </w:p>
    <w:p>
      <w:pPr>
        <w:spacing w:line="200" w:lineRule="exact"/>
      </w:pPr>
      <w:r>
        <w:rPr>
          <w:rFonts w:asci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spacing w:line="200" w:lineRule="exact"/>
      </w:pPr>
      <w:r>
        <w:rPr>
          <w:rFonts w:ascii="方正黑体_GBK" w:eastAsia="方正黑体_GBK" w:cs="宋体"/>
          <w:b/>
          <w:sz w:val="13"/>
          <w:szCs w:val="20"/>
        </w:rPr>
        <w:t xml:space="preserve">    3.资产管理产品投资风险</w:t>
      </w:r>
    </w:p>
    <w:p>
      <w:pPr>
        <w:spacing w:line="200" w:lineRule="exact"/>
      </w:pPr>
      <w:r>
        <w:rPr>
          <w:rFonts w:asci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b/>
          <w:bCs/>
          <w:vanish w:val="0"/>
          <w:color w:val="3D3D3D"/>
          <w:kern w:val="0"/>
          <w:sz w:val="13"/>
          <w:szCs w:val="13"/>
        </w:rPr>
      </w:pPr>
      <w:r>
        <w:rPr>
          <w:rFonts w:ascii="方正黑体_GBK" w:eastAsia="方正黑体_GBK" w:cs="Times New Roman" w:hint="eastAsia"/>
          <w:b/>
          <w:bCs/>
          <w:vanish w:val="0"/>
          <w:color w:val="3D3D3D"/>
          <w:kern w:val="0"/>
          <w:sz w:val="13"/>
          <w:szCs w:val="13"/>
        </w:rPr>
        <w:t>本理财产品</w:t>
      </w:r>
      <w:r>
        <w:rPr>
          <w:rFonts w:ascii="方正黑体_GBK" w:eastAsia="方正黑体_GBK" w:hint="eastAsia"/>
          <w:b/>
          <w:bCs/>
          <w:color w:val="3D3D3D"/>
          <w:kern w:val="0"/>
          <w:sz w:val="13"/>
          <w:szCs w:val="13"/>
        </w:rPr>
        <w:t>类型：定期开放式、固定收益类、公募、净值型。</w:t>
      </w:r>
    </w:p>
    <w:p>
      <w:pPr>
        <w:pStyle w:val="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b/>
          <w:bCs/>
          <w:vanish w:val="0"/>
          <w:color w:val="3D3D3D"/>
          <w:kern w:val="0"/>
          <w:sz w:val="13"/>
          <w:szCs w:val="13"/>
        </w:rPr>
      </w:pPr>
      <w:r>
        <w:rPr>
          <w:rFonts w:ascii="方正黑体_GBK" w:eastAsia="方正黑体_GBK" w:cs="Times New Roman" w:hint="eastAsia"/>
          <w:b/>
          <w:bCs w:val="0"/>
          <w:vanish w:val="0"/>
          <w:color w:val="3D3D3D"/>
          <w:kern w:val="0"/>
          <w:sz w:val="13"/>
          <w:szCs w:val="13"/>
        </w:rPr>
        <w:t>本理财产品期限</w:t>
      </w:r>
      <w:r>
        <w:rPr>
          <w:rFonts w:ascii="方正黑体_GBK" w:eastAsia="方正黑体_GBK" w:hint="eastAsia"/>
          <w:b/>
          <w:bCs w:val="0"/>
          <w:vanish w:val="0"/>
          <w:color w:val="3D3D3D"/>
          <w:kern w:val="0"/>
          <w:sz w:val="13"/>
          <w:szCs w:val="13"/>
        </w:rPr>
        <w:t>为</w:t>
      </w:r>
      <w:r>
        <w:rPr>
          <w:rFonts w:ascii="方正黑体_GBK" w:eastAsia="方正黑体_GBK" w:hint="eastAsia"/>
          <w:b/>
          <w:bCs/>
          <w:color w:val="3D3D3D"/>
          <w:kern w:val="0"/>
          <w:sz w:val="13"/>
          <w:szCs w:val="13"/>
        </w:rPr>
        <w:t>10年</w:t>
      </w:r>
      <w:r>
        <w:rPr>
          <w:rFonts w:ascii="方正黑体_GBK" w:eastAsia="方正黑体_GBK" w:cs="Times New Roman" w:hint="eastAsia"/>
          <w:b/>
          <w:bCs w:val="0"/>
          <w:vanish w:val="0"/>
          <w:color w:val="3D3D3D"/>
          <w:kern w:val="0"/>
          <w:sz w:val="13"/>
          <w:szCs w:val="13"/>
        </w:rPr>
        <w:t>（若本理财产品被提前终止或延期终止，以实际到期日计算持有天数）</w:t>
      </w:r>
      <w:r>
        <w:rPr>
          <w:rFonts w:ascii="方正黑体_GBK" w:eastAsia="方正黑体_GBK" w:hint="eastAsia"/>
          <w:b/>
          <w:bCs w:val="0"/>
          <w:vanish w:val="0"/>
          <w:color w:val="3D3D3D"/>
          <w:kern w:val="0"/>
          <w:sz w:val="13"/>
          <w:szCs w:val="13"/>
        </w:rPr>
        <w:t>。</w:t>
      </w:r>
    </w:p>
    <w:p>
      <w:pPr>
        <w:pStyle w:val="36"/>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vanish w:val="0"/>
          <w:color w:val="3D3D3D"/>
          <w:kern w:val="0"/>
          <w:sz w:val="13"/>
          <w:szCs w:val="13"/>
        </w:rPr>
      </w:pPr>
      <w:r>
        <w:rPr>
          <w:rFonts w:ascii="方正黑体_GBK" w:eastAsia="方正黑体_GBK" w:hint="eastAsia"/>
          <w:b/>
          <w:bCs/>
          <w:vanish w:val="0"/>
          <w:color w:val="3D3D3D"/>
          <w:kern w:val="0"/>
          <w:sz w:val="13"/>
          <w:szCs w:val="13"/>
        </w:rPr>
        <w:t>本理财产品风险</w:t>
      </w:r>
      <w:r>
        <w:rPr>
          <w:rFonts w:ascii="方正黑体_GBK" w:eastAsia="方正黑体_GBK" w:cs="Times New Roman" w:hint="eastAsia"/>
          <w:b/>
          <w:bCs/>
          <w:vanish w:val="0"/>
          <w:color w:val="3D3D3D"/>
          <w:kern w:val="0"/>
          <w:sz w:val="13"/>
          <w:szCs w:val="13"/>
        </w:rPr>
        <w:t>评级结果</w:t>
      </w:r>
      <w:r>
        <w:rPr>
          <w:rFonts w:ascii="方正黑体_GBK" w:eastAsia="方正黑体_GBK" w:hint="eastAsia"/>
          <w:b/>
          <w:bCs/>
          <w:vanish w:val="0"/>
          <w:color w:val="3D3D3D"/>
          <w:kern w:val="0"/>
          <w:sz w:val="13"/>
          <w:szCs w:val="13"/>
        </w:rPr>
        <w:t>：</w:t>
      </w:r>
      <w:r>
        <w:rPr>
          <w:rFonts w:ascii="方正黑体_GBK" w:eastAsia="方正黑体_GBK" w:hint="eastAsia"/>
          <w:vanish w:val="0"/>
          <w:color w:val="3D3D3D"/>
          <w:kern w:val="0"/>
          <w:sz w:val="13"/>
          <w:szCs w:val="13"/>
        </w:rPr>
        <w:t>根据管理人内部风险评级，该产品风险等级为</w:t>
      </w:r>
      <w:r>
        <w:rPr>
          <w:rFonts w:ascii="方正黑体_GBK" w:eastAsia="方正黑体_GBK" w:cs="Times New Roman" w:hint="eastAsia"/>
          <w:b/>
          <w:bCs w:val="0"/>
          <w:vanish w:val="0"/>
          <w:color w:val="3D3D3D"/>
          <w:kern w:val="0"/>
          <w:sz w:val="13"/>
          <w:szCs w:val="13"/>
        </w:rPr>
        <w:t>中低风险</w:t>
      </w:r>
      <w:r>
        <w:rPr>
          <w:rFonts w:ascii="方正黑体_GBK" w:eastAsia="方正黑体_GBK" w:hint="eastAsia"/>
          <w:vanish w:val="0"/>
          <w:color w:val="3D3D3D"/>
          <w:kern w:val="0"/>
          <w:sz w:val="13"/>
          <w:szCs w:val="13"/>
        </w:rPr>
        <w:t>。</w:t>
      </w:r>
      <w:r>
        <w:rPr>
          <w:rFonts w:ascii="方正黑体_GBK" w:eastAsia="方正黑体_GBK" w:cs="Times New Roman" w:hint="eastAsia"/>
          <w:b/>
          <w:bCs w:val="0"/>
          <w:vanish w:val="0"/>
          <w:color w:val="3D3D3D"/>
          <w:kern w:val="0"/>
          <w:sz w:val="13"/>
          <w:szCs w:val="13"/>
        </w:rPr>
        <w:t xml:space="preserve"> </w:t>
      </w:r>
      <w:r>
        <w:rPr>
          <w:rFonts w:ascii="方正黑体_GBK" w:eastAsia="方正黑体_GBK" w:hint="eastAsia"/>
          <w:color w:val="3D3D3D"/>
          <w:kern w:val="0"/>
          <w:sz w:val="13"/>
          <w:szCs w:val="13"/>
        </w:rPr>
        <w:t>管理人不承诺本金保障，产品收益随投资表现变动，产品存在较低的本金损失风险</w:t>
      </w:r>
      <w:r>
        <w:rPr>
          <w:rFonts w:ascii="方正黑体_GBK" w:eastAsia="方正黑体_GBK" w:hint="eastAsia"/>
          <w:vanish w:val="0"/>
          <w:color w:val="3D3D3D"/>
          <w:kern w:val="0"/>
          <w:sz w:val="13"/>
          <w:szCs w:val="13"/>
        </w:rPr>
        <w:t>。</w:t>
      </w:r>
    </w:p>
    <w:p>
      <w:pPr>
        <w:pStyle w:val="36"/>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vanish w:val="0"/>
          <w:color w:val="3D3D3D"/>
          <w:kern w:val="0"/>
          <w:sz w:val="13"/>
          <w:szCs w:val="13"/>
        </w:rPr>
      </w:pPr>
      <w:r>
        <w:rPr>
          <w:rFonts w:ascii="方正黑体_GBK" w:eastAsia="方正黑体_GBK" w:hint="eastAsia"/>
          <w:b/>
          <w:bCs/>
          <w:vanish w:val="0"/>
          <w:color w:val="3D3D3D"/>
          <w:kern w:val="0"/>
          <w:sz w:val="13"/>
          <w:szCs w:val="13"/>
        </w:rPr>
        <w:t>本风险等级为南银理财风险评级结果，</w:t>
      </w:r>
      <w:r>
        <w:rPr>
          <w:rFonts w:ascii="方正黑体_GBK" w:eastAsia="方正黑体_GBK" w:cs="Times New Roman" w:hint="eastAsia"/>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vanish w:val="0"/>
          <w:color w:val="3D3D3D"/>
          <w:kern w:val="0"/>
          <w:sz w:val="13"/>
          <w:szCs w:val="13"/>
        </w:rPr>
        <w:t>您需充分认识投资风险，谨慎投资。</w:t>
      </w:r>
    </w:p>
    <w:p>
      <w:pPr>
        <w:pStyle w:val="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int="eastAsia"/>
          <w:bCs/>
          <w:color w:val="3D3D3D"/>
          <w:kern w:val="0"/>
          <w:sz w:val="13"/>
          <w:szCs w:val="13"/>
        </w:rPr>
      </w:pPr>
      <w:r>
        <w:rPr>
          <w:rFonts w:ascii="方正黑体_GBK" w:eastAsia="方正黑体_GBK" w:cs="Times New Roman" w:hint="eastAsia"/>
          <w:b/>
          <w:bCs/>
          <w:vanish w:val="0"/>
          <w:color w:val="3D3D3D"/>
          <w:kern w:val="0"/>
          <w:sz w:val="13"/>
          <w:szCs w:val="13"/>
        </w:rPr>
        <w:t>适合购买本理财产品的投资者</w:t>
      </w:r>
      <w:r>
        <w:rPr>
          <w:rFonts w:ascii="方正黑体_GBK" w:eastAsia="方正黑体_GBK" w:hint="eastAsia"/>
          <w:b/>
          <w:bCs/>
          <w:vanish w:val="0"/>
          <w:color w:val="3D3D3D"/>
          <w:kern w:val="0"/>
          <w:sz w:val="13"/>
          <w:szCs w:val="13"/>
        </w:rPr>
        <w:t>：</w:t>
      </w:r>
      <w:r>
        <w:rPr>
          <w:rFonts w:ascii="方正黑体_GBK" w:eastAsia="方正黑体_GBK" w:hint="eastAsia"/>
          <w:color w:val="3D3D3D"/>
          <w:kern w:val="0"/>
          <w:sz w:val="13"/>
          <w:szCs w:val="13"/>
        </w:rPr>
        <w:t>符合相关法律法规、监管规定要求的，经销售机构的风险承受能力评估体系评定为适合的个人和机构投资者。</w:t>
      </w:r>
    </w:p>
    <w:p>
      <w:pPr>
        <w:pStyle w:val="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b/>
          <w:bCs/>
          <w:vanish w:val="0"/>
          <w:color w:val="3D3D3D"/>
          <w:kern w:val="0"/>
          <w:sz w:val="13"/>
          <w:szCs w:val="13"/>
        </w:rPr>
      </w:pPr>
      <w:r>
        <w:rPr>
          <w:rFonts w:ascii="方正黑体_GBK" w:eastAsia="方正黑体_GBK" w:cs="Times New Roman" w:hint="eastAsia"/>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b/>
          <w:bCs/>
          <w:vanish w:val="0"/>
          <w:color w:val="3D3D3D"/>
          <w:kern w:val="0"/>
          <w:sz w:val="13"/>
          <w:szCs w:val="13"/>
        </w:rPr>
        <w:t>。如影响您风险承受能力的因素发生变化，</w:t>
      </w:r>
      <w:r>
        <w:rPr>
          <w:rFonts w:ascii="方正黑体_GBK" w:eastAsia="方正黑体_GBK" w:cs="Times New Roman" w:hint="eastAsia"/>
          <w:b/>
          <w:bCs/>
          <w:vanish w:val="0"/>
          <w:color w:val="3D3D3D"/>
          <w:kern w:val="0"/>
          <w:sz w:val="13"/>
          <w:szCs w:val="13"/>
        </w:rPr>
        <w:t>请及时完成风险承受能力评估</w:t>
      </w:r>
      <w:r>
        <w:rPr>
          <w:rFonts w:ascii="方正黑体_GBK" w:eastAsia="方正黑体_GBK" w:hint="eastAsia"/>
          <w:b/>
          <w:bCs/>
          <w:vanish w:val="0"/>
          <w:color w:val="3D3D3D"/>
          <w:kern w:val="0"/>
          <w:sz w:val="13"/>
          <w:szCs w:val="13"/>
        </w:rPr>
        <w:t>。</w:t>
      </w:r>
    </w:p>
    <w:p>
      <w:pPr>
        <w:pStyle w:val="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vanish w:val="0"/>
          <w:kern w:val="2"/>
          <w:sz w:val="21"/>
          <w:szCs w:val="21"/>
        </w:rPr>
      </w:pPr>
      <w:r>
        <w:rPr>
          <w:rFonts w:ascii="方正黑体_GBK" w:eastAsia="方正黑体_GBK" w:cs="Times New Roman" w:hint="eastAsia"/>
          <w:b/>
          <w:bCs/>
          <w:vanish w:val="0"/>
          <w:color w:val="3D3D3D"/>
          <w:kern w:val="0"/>
          <w:sz w:val="13"/>
          <w:szCs w:val="13"/>
        </w:rPr>
        <w:t>最不利投资情形下的投资结果</w:t>
      </w:r>
      <w:r>
        <w:rPr>
          <w:rFonts w:ascii="方正黑体_GBK" w:eastAsia="方正黑体_GBK" w:hint="eastAsia"/>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b/>
          <w:bCs/>
          <w:vanish w:val="0"/>
          <w:color w:val="3D3D3D"/>
          <w:kern w:val="0"/>
          <w:sz w:val="13"/>
          <w:szCs w:val="13"/>
        </w:rPr>
        <w:t>0</w:t>
      </w:r>
      <w:r>
        <w:rPr>
          <w:rFonts w:ascii="方正黑体_GBK" w:eastAsia="方正黑体_GBK" w:hint="eastAsia"/>
          <w:b/>
          <w:bCs/>
          <w:vanish w:val="0"/>
          <w:color w:val="3D3D3D"/>
          <w:kern w:val="0"/>
          <w:sz w:val="13"/>
          <w:szCs w:val="13"/>
        </w:rPr>
        <w:t>，即投资者面临全部本金的损失。为保证当期理财投资者权益而产生的费用由当期理财产品承担。</w:t>
      </w:r>
    </w:p>
    <w:p>
      <w:pPr>
        <w:pStyle w:val="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b/>
          <w:bCs/>
          <w:vanish w:val="0"/>
          <w:color w:val="3D3D3D"/>
          <w:kern w:val="0"/>
          <w:sz w:val="13"/>
          <w:szCs w:val="13"/>
        </w:rPr>
      </w:pPr>
      <w:r>
        <w:rPr>
          <w:rFonts w:ascii="方正黑体_GBK" w:eastAsia="方正黑体_GBK" w:hint="eastAsia"/>
          <w:b/>
          <w:bCs/>
          <w:vanish w:val="0"/>
          <w:color w:val="3D3D3D"/>
          <w:kern w:val="0"/>
          <w:sz w:val="13"/>
          <w:szCs w:val="13"/>
        </w:rPr>
        <w:t>示例：如投资者购买本理财产品，本金为</w:t>
      </w:r>
      <w:r>
        <w:rPr>
          <w:rFonts w:ascii="方正黑体_GBK" w:eastAsia="方正黑体_GBK"/>
          <w:b/>
          <w:bCs/>
          <w:vanish w:val="0"/>
          <w:color w:val="3D3D3D"/>
          <w:kern w:val="0"/>
          <w:sz w:val="13"/>
          <w:szCs w:val="13"/>
        </w:rPr>
        <w:t>1</w:t>
      </w:r>
      <w:r>
        <w:rPr>
          <w:rFonts w:ascii="方正黑体_GBK" w:eastAsia="方正黑体_GBK" w:hint="eastAsia"/>
          <w:b/>
          <w:bCs/>
          <w:vanish w:val="0"/>
          <w:color w:val="3D3D3D"/>
          <w:kern w:val="0"/>
          <w:sz w:val="13"/>
          <w:szCs w:val="13"/>
        </w:rPr>
        <w:t>万元，在理财产品资产组合项下资产全部亏损的最不利情况下，理财产品</w:t>
      </w:r>
      <w:r>
        <w:rPr>
          <w:rFonts w:ascii="方正黑体_GBK" w:eastAsia="方正黑体_GBK"/>
          <w:b/>
          <w:bCs/>
          <w:vanish w:val="0"/>
          <w:color w:val="3D3D3D"/>
          <w:kern w:val="0"/>
          <w:sz w:val="13"/>
          <w:szCs w:val="13"/>
        </w:rPr>
        <w:t>1</w:t>
      </w:r>
      <w:r>
        <w:rPr>
          <w:rFonts w:ascii="方正黑体_GBK" w:eastAsia="方正黑体_GBK" w:hint="eastAsia"/>
          <w:b/>
          <w:bCs/>
          <w:vanish w:val="0"/>
          <w:color w:val="3D3D3D"/>
          <w:kern w:val="0"/>
          <w:sz w:val="13"/>
          <w:szCs w:val="13"/>
        </w:rPr>
        <w:t>万元本金将全部损失。</w:t>
      </w:r>
    </w:p>
    <w:p>
      <w:pPr>
        <w:pStyle w:val="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int="eastAsia"/>
          <w:b/>
          <w:bCs w:val="0"/>
          <w:vanish w:val="0"/>
          <w:color w:val="3D3D3D"/>
          <w:kern w:val="0"/>
          <w:sz w:val="13"/>
          <w:szCs w:val="13"/>
        </w:rPr>
      </w:pPr>
    </w:p>
    <w:p>
      <w:pPr>
        <w:pStyle w:val="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b/>
          <w:bCs w:val="0"/>
          <w:vanish w:val="0"/>
          <w:color w:val="3D3D3D"/>
          <w:kern w:val="0"/>
          <w:sz w:val="15"/>
          <w:szCs w:val="15"/>
          <w:u w:val="single"/>
        </w:rPr>
      </w:pPr>
      <w:r>
        <w:rPr>
          <w:rFonts w:ascii="方正黑体_GBK" w:eastAsia="方正黑体_GBK" w:hint="eastAsia"/>
          <w:b/>
          <w:bCs w:val="0"/>
          <w:vanish w:val="0"/>
          <w:color w:val="3D3D3D"/>
          <w:kern w:val="0"/>
          <w:sz w:val="15"/>
          <w:szCs w:val="15"/>
          <w:u w:val="single"/>
        </w:rPr>
        <w:t>上述风险客观存在，敬请投资者予以充分关注！</w:t>
      </w:r>
    </w:p>
    <w:p>
      <w:pPr>
        <w:pStyle w:val="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b/>
          <w:bCs w:val="0"/>
          <w:vanish w:val="0"/>
          <w:color w:val="3D3D3D"/>
          <w:kern w:val="0"/>
          <w:sz w:val="15"/>
          <w:szCs w:val="15"/>
          <w:u w:val="single"/>
        </w:rPr>
      </w:pPr>
    </w:p>
    <w:p>
      <w:pPr>
        <w:pStyle w:val="23"/>
        <w:keepNext w:val="0"/>
        <w:keepLines w:val="0"/>
        <w:pageBreakBefore w:val="0"/>
        <w:widowControl/>
        <w:suppressLineNumbers w:val="0"/>
        <w:suppressAutoHyphens w:val="0"/>
        <w:spacing w:line="200" w:lineRule="exact"/>
        <w:ind w:firstLine="260"/>
        <w:jc w:val="left"/>
        <w:rPr>
          <w:rFonts w:ascii="方正黑体_GBK" w:eastAsia="方正黑体_GBK" w:hint="eastAsia"/>
          <w:b/>
          <w:color w:val="3D3D3D"/>
          <w:kern w:val="0"/>
          <w:sz w:val="15"/>
          <w:szCs w:val="15"/>
          <w:u w:val="single"/>
        </w:rPr>
      </w:pPr>
      <w:r>
        <w:rPr>
          <w:rFonts w:ascii="方正黑体_GBK" w:eastAsia="方正黑体_GBK" w:cs="Times New Roman" w:hint="eastAsia"/>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b/>
          <w:bCs w:val="0"/>
          <w:vanish w:val="0"/>
          <w:color w:val="3D3D3D"/>
          <w:kern w:val="0"/>
          <w:sz w:val="15"/>
          <w:szCs w:val="15"/>
          <w:u w:val="single"/>
        </w:rPr>
        <w:t>本风险揭示书</w:t>
      </w:r>
      <w:r>
        <w:rPr>
          <w:rFonts w:ascii="方正黑体_GBK" w:eastAsia="方正黑体_GBK" w:cs="Times New Roman" w:hint="eastAsia"/>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b/>
          <w:bCs w:val="0"/>
          <w:vanish w:val="0"/>
          <w:color w:val="3D3D3D"/>
          <w:kern w:val="0"/>
          <w:sz w:val="15"/>
          <w:szCs w:val="15"/>
          <w:u w:val="single"/>
        </w:rPr>
      </w:pPr>
      <w:r>
        <w:rPr>
          <w:rFonts w:ascii="方正黑体_GBK" w:eastAsia="方正黑体_GBK" w:hint="eastAsia"/>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int="eastAsia"/>
          <w:b/>
          <w:bCs w:val="0"/>
          <w:vanish w:val="0"/>
          <w:color w:val="3D3D3D"/>
          <w:kern w:val="0"/>
          <w:sz w:val="15"/>
          <w:szCs w:val="15"/>
          <w:u w:val="single"/>
        </w:rPr>
      </w:pPr>
      <w:r>
        <w:rPr>
          <w:rFonts w:ascii="方正黑体_GBK" w:eastAsia="方正黑体_GBK" w:cs="Times New Roman" w:hint="eastAsia"/>
          <w:b/>
          <w:bCs w:val="0"/>
          <w:vanish w:val="0"/>
          <w:color w:val="3D3D3D"/>
          <w:kern w:val="0"/>
          <w:sz w:val="15"/>
          <w:szCs w:val="15"/>
        </w:rPr>
        <w:t>1.</w:t>
      </w:r>
      <w:r>
        <w:rPr>
          <w:rFonts w:ascii="方正黑体_GBK" w:eastAsia="方正黑体_GBK" w:cs="Times New Roman" w:hint="eastAsia"/>
          <w:b/>
          <w:bCs w:val="0"/>
          <w:vanish w:val="0"/>
          <w:color w:val="3D3D3D"/>
          <w:kern w:val="0"/>
          <w:sz w:val="15"/>
          <w:szCs w:val="15"/>
          <w:u w:val="single"/>
        </w:rPr>
        <w:t>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确认，本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购买本理财产品为本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真实的意思表示</w:t>
      </w:r>
      <w:r>
        <w:rPr>
          <w:rFonts w:ascii="方正黑体_GBK" w:eastAsia="方正黑体_GBK" w:cs="Times New Roman"/>
          <w:b/>
          <w:bCs w:val="0"/>
          <w:vanish w:val="0"/>
          <w:color w:val="3D3D3D"/>
          <w:kern w:val="0"/>
          <w:sz w:val="15"/>
          <w:szCs w:val="15"/>
          <w:u w:val="single"/>
        </w:rPr>
        <w:t>,</w:t>
      </w:r>
      <w:r>
        <w:rPr>
          <w:rFonts w:ascii="方正黑体_GBK" w:eastAsia="方正黑体_GBK" w:cs="Times New Roman" w:hint="eastAsia"/>
          <w:b/>
          <w:bCs w:val="0"/>
          <w:vanish w:val="0"/>
          <w:color w:val="3D3D3D"/>
          <w:kern w:val="0"/>
          <w:sz w:val="15"/>
          <w:szCs w:val="15"/>
          <w:u w:val="single"/>
        </w:rPr>
        <w:t>并认为该理财产品完全适合本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的投资目标、投资预期以及风险承受能力，本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自愿承担由此带来的一切后果。本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确认南银理财</w:t>
      </w:r>
      <w:r>
        <w:rPr>
          <w:rFonts w:ascii="方正黑体_GBK" w:eastAsia="方正黑体_GBK" w:cs="Times New Roman"/>
          <w:b/>
          <w:bCs w:val="0"/>
          <w:vanish w:val="0"/>
          <w:color w:val="3D3D3D"/>
          <w:kern w:val="0"/>
          <w:sz w:val="15"/>
          <w:szCs w:val="15"/>
          <w:u w:val="single"/>
        </w:rPr>
        <w:t>/</w:t>
      </w:r>
      <w:r>
        <w:rPr>
          <w:rFonts w:ascii="方正黑体_GBK" w:eastAsia="方正黑体_GBK" w:cs="Times New Roman" w:hint="eastAsia"/>
          <w:b/>
          <w:bCs w:val="0"/>
          <w:vanish w:val="0"/>
          <w:color w:val="3D3D3D"/>
          <w:kern w:val="0"/>
          <w:sz w:val="15"/>
          <w:szCs w:val="15"/>
          <w:u w:val="single"/>
        </w:rPr>
        <w:t>销售机构相关业务人员对于理财产品销售文件中限制或排除本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权利、增加或加重本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int="eastAsia"/>
          <w:b/>
          <w:bCs w:val="0"/>
          <w:vanish w:val="0"/>
          <w:color w:val="3D3D3D"/>
          <w:kern w:val="0"/>
          <w:sz w:val="15"/>
          <w:szCs w:val="15"/>
          <w:u w:val="single"/>
        </w:rPr>
      </w:pPr>
      <w:r>
        <w:rPr>
          <w:rFonts w:ascii="方正黑体_GBK" w:eastAsia="方正黑体_GBK" w:cs="Times New Roman" w:hint="eastAsia"/>
          <w:b/>
          <w:bCs w:val="0"/>
          <w:vanish w:val="0"/>
          <w:color w:val="3D3D3D"/>
          <w:kern w:val="0"/>
          <w:sz w:val="15"/>
          <w:szCs w:val="15"/>
        </w:rPr>
        <w:t>2.</w:t>
      </w:r>
      <w:r>
        <w:rPr>
          <w:rFonts w:ascii="方正黑体_GBK" w:eastAsia="方正黑体_GBK" w:cs="Times New Roman" w:hint="eastAsia"/>
          <w:b/>
          <w:bCs w:val="0"/>
          <w:vanish w:val="0"/>
          <w:color w:val="3D3D3D"/>
          <w:kern w:val="0"/>
          <w:sz w:val="15"/>
          <w:szCs w:val="15"/>
          <w:u w:val="single"/>
        </w:rPr>
        <w:t>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确认，将向本理财产品销售机构真实提供信息，自主作出认购</w:t>
      </w:r>
      <w:r>
        <w:rPr>
          <w:rFonts w:ascii="方正黑体_GBK" w:eastAsia="方正黑体_GBK" w:cs="Times New Roman"/>
          <w:b/>
          <w:bCs w:val="0"/>
          <w:vanish w:val="0"/>
          <w:color w:val="3D3D3D"/>
          <w:kern w:val="0"/>
          <w:sz w:val="15"/>
          <w:szCs w:val="15"/>
          <w:u w:val="single"/>
        </w:rPr>
        <w:t>/</w:t>
      </w:r>
      <w:r>
        <w:rPr>
          <w:rFonts w:ascii="方正黑体_GBK" w:eastAsia="方正黑体_GBK" w:cs="Times New Roman" w:hint="eastAsia"/>
          <w:b/>
          <w:bCs w:val="0"/>
          <w:vanish w:val="0"/>
          <w:color w:val="3D3D3D"/>
          <w:kern w:val="0"/>
          <w:sz w:val="15"/>
          <w:szCs w:val="15"/>
          <w:u w:val="single"/>
        </w:rPr>
        <w:t>申购</w:t>
      </w:r>
      <w:r>
        <w:rPr>
          <w:rFonts w:ascii="方正黑体_GBK" w:eastAsia="方正黑体_GBK" w:cs="Times New Roman"/>
          <w:b/>
          <w:bCs w:val="0"/>
          <w:vanish w:val="0"/>
          <w:color w:val="3D3D3D"/>
          <w:kern w:val="0"/>
          <w:sz w:val="15"/>
          <w:szCs w:val="15"/>
          <w:u w:val="single"/>
        </w:rPr>
        <w:t>/</w:t>
      </w:r>
      <w:r>
        <w:rPr>
          <w:rFonts w:ascii="方正黑体_GBK" w:eastAsia="方正黑体_GBK" w:cs="Times New Roman" w:hint="eastAsia"/>
          <w:b/>
          <w:bCs w:val="0"/>
          <w:vanish w:val="0"/>
          <w:color w:val="3D3D3D"/>
          <w:kern w:val="0"/>
          <w:sz w:val="15"/>
          <w:szCs w:val="15"/>
          <w:u w:val="single"/>
        </w:rPr>
        <w:t>赎回等决定，自主承担投资风险。本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相应的后果和责任，并有权拒绝向本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b/>
          <w:bCs w:val="0"/>
          <w:vanish w:val="0"/>
          <w:color w:val="3D3D3D"/>
          <w:kern w:val="0"/>
          <w:sz w:val="15"/>
          <w:szCs w:val="15"/>
          <w:u w:val="single"/>
        </w:rPr>
      </w:pPr>
      <w:r>
        <w:rPr>
          <w:rFonts w:ascii="方正黑体_GBK" w:eastAsia="方正黑体_GBK" w:cs="Times New Roman" w:hint="eastAsia"/>
          <w:b/>
          <w:bCs w:val="0"/>
          <w:vanish w:val="0"/>
          <w:color w:val="3D3D3D"/>
          <w:kern w:val="0"/>
          <w:sz w:val="15"/>
          <w:szCs w:val="15"/>
        </w:rPr>
        <w:t>3.</w:t>
      </w:r>
      <w:r>
        <w:rPr>
          <w:rFonts w:ascii="方正黑体_GBK" w:eastAsia="方正黑体_GBK" w:cs="Times New Roman" w:hint="eastAsia"/>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int="eastAsia"/>
          <w:b/>
          <w:bCs w:val="0"/>
          <w:vanish w:val="0"/>
          <w:color w:val="3D3D3D"/>
          <w:kern w:val="0"/>
          <w:sz w:val="15"/>
          <w:szCs w:val="15"/>
          <w:u w:val="single"/>
        </w:rPr>
      </w:pPr>
      <w:r>
        <w:rPr>
          <w:rFonts w:ascii="方正黑体_GBK" w:eastAsia="方正黑体_GBK" w:cs="Times New Roman" w:hint="eastAsia"/>
          <w:b/>
          <w:bCs w:val="0"/>
          <w:vanish w:val="0"/>
          <w:color w:val="3D3D3D"/>
          <w:kern w:val="0"/>
          <w:sz w:val="15"/>
          <w:szCs w:val="15"/>
        </w:rPr>
        <w:t>4.</w:t>
      </w:r>
      <w:r>
        <w:rPr>
          <w:rFonts w:ascii="方正黑体_GBK" w:eastAsia="方正黑体_GBK" w:cs="Times New Roman" w:hint="eastAsia"/>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int="eastAsia"/>
          <w:b/>
          <w:bCs w:val="0"/>
          <w:vanish w:val="0"/>
          <w:color w:val="3D3D3D"/>
          <w:kern w:val="0"/>
          <w:sz w:val="15"/>
          <w:szCs w:val="15"/>
          <w:u w:val="single"/>
        </w:rPr>
      </w:pPr>
      <w:r>
        <w:rPr>
          <w:rFonts w:ascii="方正黑体_GBK" w:eastAsia="方正黑体_GBK" w:hint="eastAsia"/>
          <w:b/>
          <w:bCs w:val="0"/>
          <w:vanish w:val="0"/>
          <w:color w:val="3D3D3D"/>
          <w:kern w:val="0"/>
          <w:sz w:val="15"/>
          <w:szCs w:val="15"/>
        </w:rPr>
        <w:t>5.</w:t>
      </w:r>
      <w:r>
        <w:rPr>
          <w:rFonts w:ascii="方正黑体_GBK" w:eastAsia="方正黑体_GBK" w:hint="eastAsia"/>
          <w:b/>
          <w:bCs w:val="0"/>
          <w:vanish w:val="0"/>
          <w:color w:val="3D3D3D"/>
          <w:kern w:val="0"/>
          <w:sz w:val="15"/>
          <w:szCs w:val="15"/>
          <w:u w:val="single"/>
        </w:rPr>
        <w:t>本投资者已认真阅读并充分理解本风险揭示书</w:t>
      </w:r>
      <w:r>
        <w:rPr>
          <w:rFonts w:ascii="方正黑体_GBK" w:eastAsia="方正黑体_GBK" w:cs="Times New Roman" w:hint="eastAsia"/>
          <w:b/>
          <w:bCs w:val="0"/>
          <w:vanish w:val="0"/>
          <w:color w:val="3D3D3D"/>
          <w:kern w:val="0"/>
          <w:sz w:val="15"/>
          <w:szCs w:val="15"/>
          <w:u w:val="single"/>
        </w:rPr>
        <w:t>及对应期次</w:t>
      </w:r>
      <w:r>
        <w:rPr>
          <w:rFonts w:ascii="方正黑体_GBK" w:eastAsia="方正黑体_GBK" w:hint="eastAsia"/>
          <w:b/>
          <w:bCs w:val="0"/>
          <w:vanish w:val="0"/>
          <w:color w:val="3D3D3D"/>
          <w:kern w:val="0"/>
          <w:sz w:val="15"/>
          <w:szCs w:val="15"/>
          <w:u w:val="single"/>
        </w:rPr>
        <w:t>《理财产品销售协议书》《理财产品说明书》《投资者权益须知》</w:t>
      </w:r>
      <w:r>
        <w:rPr>
          <w:rFonts w:ascii="方正黑体_GBK" w:eastAsia="方正黑体_GBK" w:cs="Times New Roman" w:hint="eastAsia"/>
          <w:b/>
          <w:bCs w:val="0"/>
          <w:vanish w:val="0"/>
          <w:color w:val="3D3D3D"/>
          <w:kern w:val="0"/>
          <w:sz w:val="15"/>
          <w:szCs w:val="15"/>
          <w:u w:val="single"/>
        </w:rPr>
        <w:t>《理财产品投资协议书》等理财产品销售文件</w:t>
      </w:r>
      <w:r>
        <w:rPr>
          <w:rFonts w:ascii="方正黑体_GBK" w:eastAsia="方正黑体_GBK" w:hint="eastAsia"/>
          <w:b/>
          <w:bCs w:val="0"/>
          <w:vanish w:val="0"/>
          <w:color w:val="3D3D3D"/>
          <w:kern w:val="0"/>
          <w:sz w:val="15"/>
          <w:szCs w:val="15"/>
          <w:u w:val="single"/>
        </w:rPr>
        <w:t>的全部条款与内容，</w:t>
      </w:r>
      <w:r>
        <w:rPr>
          <w:rFonts w:ascii="方正黑体_GBK" w:eastAsia="方正黑体_GBK" w:cs="Times New Roman" w:hint="eastAsia"/>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int="eastAsia"/>
          <w:b/>
          <w:bCs w:val="0"/>
          <w:vanish w:val="0"/>
          <w:color w:val="3D3D3D"/>
          <w:kern w:val="0"/>
          <w:sz w:val="15"/>
          <w:szCs w:val="15"/>
          <w:u w:val="single"/>
        </w:rPr>
      </w:pPr>
      <w:r>
        <w:rPr>
          <w:rFonts w:ascii="方正黑体_GBK" w:eastAsia="方正黑体_GBK" w:cs="Times New Roman" w:hint="eastAsia"/>
          <w:b/>
          <w:bCs w:val="0"/>
          <w:vanish w:val="0"/>
          <w:color w:val="3D3D3D"/>
          <w:kern w:val="0"/>
          <w:sz w:val="15"/>
          <w:szCs w:val="15"/>
        </w:rPr>
        <w:t>6.</w:t>
      </w:r>
      <w:r>
        <w:rPr>
          <w:rFonts w:ascii="方正黑体_GBK" w:eastAsia="方正黑体_GBK" w:cs="Times New Roman" w:hint="eastAsia"/>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b/>
          <w:bCs w:val="0"/>
          <w:vanish w:val="0"/>
          <w:color w:val="3D3D3D"/>
          <w:kern w:val="0"/>
          <w:sz w:val="15"/>
          <w:szCs w:val="15"/>
          <w:u w:val="single"/>
        </w:rPr>
      </w:pPr>
      <w:r>
        <w:rPr>
          <w:rFonts w:ascii="方正黑体_GBK" w:eastAsia="方正黑体_GBK" w:cs="Times New Roman" w:hint="eastAsia"/>
          <w:b/>
          <w:bCs w:val="0"/>
          <w:vanish w:val="0"/>
          <w:color w:val="3D3D3D"/>
          <w:kern w:val="0"/>
          <w:sz w:val="15"/>
          <w:szCs w:val="15"/>
        </w:rPr>
        <w:t>7.</w:t>
      </w:r>
      <w:r>
        <w:rPr>
          <w:rFonts w:ascii="方正黑体_GBK" w:eastAsia="方正黑体_GBK" w:cs="Times New Roman" w:hint="eastAsia"/>
          <w:b/>
          <w:bCs w:val="0"/>
          <w:vanish w:val="0"/>
          <w:color w:val="3D3D3D"/>
          <w:kern w:val="0"/>
          <w:sz w:val="15"/>
          <w:szCs w:val="15"/>
          <w:u w:val="single"/>
        </w:rPr>
        <w:t>如销售机构为管理人关联方的，本</w:t>
      </w:r>
      <w:r>
        <w:rPr>
          <w:rFonts w:ascii="方正黑体_GBK" w:eastAsia="方正黑体_GBK" w:hint="eastAsia"/>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vanish w:val="0"/>
          <w:color w:val="3D3D3D"/>
          <w:kern w:val="0"/>
          <w:sz w:val="15"/>
          <w:szCs w:val="15"/>
          <w:u w:val="single"/>
        </w:rPr>
      </w:pPr>
      <w:r>
        <w:rPr>
          <w:rFonts w:ascii="方正黑体_GBK" w:eastAsia="方正黑体_GBK" w:hint="eastAsia"/>
          <w:vanish w:val="0"/>
          <w:color w:val="3D3D3D"/>
          <w:kern w:val="0"/>
          <w:sz w:val="15"/>
          <w:szCs w:val="15"/>
        </w:rPr>
        <w:t>8.以下划线部分，请投资者抄录确认：</w:t>
      </w:r>
      <w:r>
        <w:rPr>
          <w:rFonts w:ascii="方正黑体_GBK" w:eastAsia="方正黑体_GBK"/>
          <w:vanish w:val="0"/>
          <w:color w:val="3D3D3D"/>
          <w:kern w:val="0"/>
          <w:sz w:val="15"/>
          <w:szCs w:val="15"/>
        </w:rPr>
        <w:t>“</w:t>
      </w:r>
      <w:r>
        <w:rPr>
          <w:rFonts w:ascii="方正黑体_GBK" w:eastAsia="方正黑体_GBK" w:cs="Times New Roman" w:hint="eastAsia"/>
          <w:b/>
          <w:bCs w:val="0"/>
          <w:vanish w:val="0"/>
          <w:color w:val="3D3D3D"/>
          <w:kern w:val="0"/>
          <w:sz w:val="15"/>
          <w:szCs w:val="15"/>
          <w:u w:val="single"/>
        </w:rPr>
        <w:t>本人已经阅读风险揭示，愿意承担投资风险</w:t>
      </w:r>
      <w:r>
        <w:rPr>
          <w:rFonts w:ascii="方正黑体_GBK" w:eastAsia="方正黑体_GBK"/>
          <w:vanish w:val="0"/>
          <w:color w:val="3D3D3D"/>
          <w:kern w:val="0"/>
          <w:sz w:val="15"/>
          <w:szCs w:val="15"/>
        </w:rPr>
        <w:t>”</w:t>
      </w:r>
      <w:r>
        <w:rPr>
          <w:rFonts w:ascii="方正黑体_GBK" w:eastAsia="方正黑体_GBK" w:cs="Times New Roman" w:hint="eastAsia"/>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vanish w:val="0"/>
          <w:color w:val="3D3D3D"/>
          <w:kern w:val="0"/>
          <w:sz w:val="15"/>
          <w:szCs w:val="15"/>
        </w:rPr>
      </w:pPr>
      <w:r>
        <w:rPr>
          <w:rFonts w:ascii="方正黑体_GBK" w:eastAsia="方正黑体_GBK" w:cs="Times New Roman"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投资者抄录：</w:t>
      </w:r>
      <w:r>
        <w:rPr>
          <w:rFonts w:asci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b/>
                <w:bCs w:val="0"/>
                <w:vanish w:val="0"/>
                <w:kern w:val="2"/>
                <w:sz w:val="15"/>
                <w:szCs w:val="15"/>
              </w:rPr>
            </w:pPr>
            <w:r>
              <w:rPr>
                <w:rFonts w:ascii="方正黑体_GBK" w:eastAsia="方正黑体_GBK" w:hint="eastAsia"/>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vanish w:val="0"/>
                <w:color w:val="3D3D3D"/>
                <w:kern w:val="0"/>
                <w:sz w:val="13"/>
                <w:szCs w:val="13"/>
              </w:rPr>
            </w:pPr>
            <w:r>
              <w:rPr>
                <w:rFonts w:ascii="方正黑体_GBK" w:eastAsia="方正黑体_GBK" w:hint="eastAsia"/>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vanish w:val="0"/>
                <w:color w:val="auto"/>
                <w:kern w:val="2"/>
                <w:sz w:val="15"/>
                <w:szCs w:val="15"/>
              </w:rPr>
            </w:pPr>
            <w:r>
              <w:rPr>
                <w:rFonts w:ascii="方正黑体_GBK" w:eastAsia="方正黑体_GBK" w:hint="eastAsia"/>
                <w:vanish w:val="0"/>
                <w:color w:val="3D3D3D"/>
                <w:kern w:val="0"/>
                <w:sz w:val="13"/>
                <w:szCs w:val="13"/>
              </w:rPr>
              <w:t>年</w:t>
            </w:r>
            <w:r>
              <w:rPr>
                <w:rFonts w:ascii="方正黑体_GBK" w:eastAsia="方正黑体_GBK"/>
                <w:vanish w:val="0"/>
                <w:color w:val="3D3D3D"/>
                <w:kern w:val="0"/>
                <w:sz w:val="13"/>
                <w:szCs w:val="13"/>
              </w:rPr>
              <w:t xml:space="preserve">   </w:t>
            </w:r>
            <w:r>
              <w:rPr>
                <w:rFonts w:ascii="方正黑体_GBK" w:eastAsia="方正黑体_GBK" w:hint="eastAsia"/>
                <w:vanish w:val="0"/>
                <w:color w:val="3D3D3D"/>
                <w:kern w:val="0"/>
                <w:sz w:val="13"/>
                <w:szCs w:val="13"/>
              </w:rPr>
              <w:t>月</w:t>
            </w:r>
            <w:r>
              <w:rPr>
                <w:rFonts w:ascii="方正黑体_GBK" w:eastAsia="方正黑体_GBK"/>
                <w:vanish w:val="0"/>
                <w:color w:val="3D3D3D"/>
                <w:kern w:val="0"/>
                <w:sz w:val="13"/>
                <w:szCs w:val="13"/>
              </w:rPr>
              <w:t xml:space="preserve">    </w:t>
            </w:r>
            <w:r>
              <w:rPr>
                <w:rFonts w:ascii="方正黑体_GBK" w:eastAsia="方正黑体_GBK" w:hint="eastAsia"/>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vanish w:val="0"/>
                <w:color w:val="auto"/>
                <w:kern w:val="2"/>
                <w:sz w:val="15"/>
                <w:szCs w:val="15"/>
              </w:rPr>
            </w:pPr>
            <w:r>
              <w:rPr>
                <w:rFonts w:ascii="方正黑体_GBK" w:eastAsia="方正黑体_GBK" w:hint="eastAsia"/>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b/>
                <w:bCs/>
                <w:vanish w:val="0"/>
                <w:color w:val="3D3D3D"/>
                <w:kern w:val="0"/>
                <w:sz w:val="15"/>
                <w:szCs w:val="15"/>
              </w:rPr>
            </w:pPr>
            <w:r>
              <w:rPr>
                <w:rFonts w:ascii="方正黑体_GBK" w:eastAsia="方正黑体_GBK" w:hint="eastAsia"/>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b/>
                <w:bCs/>
                <w:vanish w:val="0"/>
                <w:color w:val="3D3D3D"/>
                <w:kern w:val="0"/>
                <w:sz w:val="15"/>
                <w:szCs w:val="15"/>
              </w:rPr>
            </w:pPr>
            <w:r>
              <w:rPr>
                <w:rFonts w:ascii="方正黑体_GBK" w:eastAsia="方正黑体_GBK" w:hint="eastAsia"/>
                <w:b/>
                <w:bCs/>
                <w:vanish w:val="0"/>
                <w:color w:val="3D3D3D"/>
                <w:kern w:val="0"/>
                <w:sz w:val="15"/>
                <w:szCs w:val="15"/>
              </w:rPr>
              <w:t>法定代表人或授权代理人（</w:t>
            </w:r>
            <w:r>
              <w:rPr>
                <w:rFonts w:ascii="方正黑体_GBK" w:eastAsia="方正黑体_GBK" w:cs="Times New Roman" w:hint="eastAsia"/>
                <w:b/>
                <w:bCs/>
                <w:vanish w:val="0"/>
                <w:color w:val="3D3D3D"/>
                <w:kern w:val="0"/>
                <w:sz w:val="15"/>
                <w:szCs w:val="15"/>
              </w:rPr>
              <w:t>签名</w:t>
            </w:r>
            <w:r>
              <w:rPr>
                <w:rFonts w:ascii="方正黑体_GBK" w:eastAsia="方正黑体_GBK" w:hint="eastAsia"/>
                <w:b/>
                <w:bCs/>
                <w:vanish w:val="0"/>
                <w:color w:val="3D3D3D"/>
                <w:kern w:val="0"/>
                <w:sz w:val="15"/>
                <w:szCs w:val="15"/>
              </w:rPr>
              <w:t>或盖章）：</w:t>
            </w:r>
            <w:r>
              <w:rPr>
                <w:rFonts w:ascii="方正黑体_GBK" w:eastAsia="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vanish w:val="0"/>
                <w:color w:val="auto"/>
                <w:kern w:val="2"/>
                <w:sz w:val="15"/>
                <w:szCs w:val="15"/>
              </w:rPr>
            </w:pPr>
            <w:r>
              <w:rPr>
                <w:rFonts w:ascii="方正黑体_GBK" w:eastAsia="方正黑体_GBK"/>
                <w:vanish w:val="0"/>
                <w:color w:val="3D3D3D"/>
                <w:kern w:val="0"/>
                <w:sz w:val="13"/>
                <w:szCs w:val="13"/>
              </w:rPr>
              <w:t xml:space="preserve">      </w:t>
            </w:r>
            <w:r>
              <w:rPr>
                <w:rFonts w:ascii="方正黑体_GBK" w:eastAsia="方正黑体_GBK" w:hint="eastAsia"/>
                <w:vanish w:val="0"/>
                <w:color w:val="3D3D3D"/>
                <w:kern w:val="0"/>
                <w:sz w:val="13"/>
                <w:szCs w:val="13"/>
              </w:rPr>
              <w:t>年</w:t>
            </w:r>
            <w:r>
              <w:rPr>
                <w:rFonts w:ascii="方正黑体_GBK" w:eastAsia="方正黑体_GBK"/>
                <w:vanish w:val="0"/>
                <w:color w:val="3D3D3D"/>
                <w:kern w:val="0"/>
                <w:sz w:val="13"/>
                <w:szCs w:val="13"/>
              </w:rPr>
              <w:t xml:space="preserve">   </w:t>
            </w:r>
            <w:r>
              <w:rPr>
                <w:rFonts w:ascii="方正黑体_GBK" w:eastAsia="方正黑体_GBK" w:hint="eastAsia"/>
                <w:vanish w:val="0"/>
                <w:color w:val="3D3D3D"/>
                <w:kern w:val="0"/>
                <w:sz w:val="13"/>
                <w:szCs w:val="13"/>
              </w:rPr>
              <w:t>月</w:t>
            </w:r>
            <w:r>
              <w:rPr>
                <w:rFonts w:ascii="方正黑体_GBK" w:eastAsia="方正黑体_GBK"/>
                <w:vanish w:val="0"/>
                <w:color w:val="3D3D3D"/>
                <w:kern w:val="0"/>
                <w:sz w:val="13"/>
                <w:szCs w:val="13"/>
              </w:rPr>
              <w:t xml:space="preserve">    </w:t>
            </w:r>
            <w:r>
              <w:rPr>
                <w:rFonts w:ascii="方正黑体_GBK" w:eastAsia="方正黑体_GBK" w:hint="eastAsia"/>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vanish w:val="0"/>
                <w:color w:val="auto"/>
                <w:kern w:val="2"/>
                <w:sz w:val="15"/>
                <w:szCs w:val="15"/>
              </w:rPr>
            </w:pPr>
            <w:r>
              <w:rPr>
                <w:rFonts w:ascii="方正黑体_GBK" w:eastAsia="方正黑体_GBK" w:hint="eastAsia"/>
                <w:b/>
                <w:bCs/>
                <w:vanish w:val="0"/>
                <w:color w:val="auto"/>
                <w:kern w:val="2"/>
                <w:sz w:val="15"/>
                <w:szCs w:val="15"/>
              </w:rPr>
              <w:t>电子</w:t>
            </w:r>
            <w:r>
              <w:rPr>
                <w:rFonts w:ascii="方正黑体_GBK" w:eastAsia="方正黑体_GBK" w:cs="Times New Roman" w:hint="eastAsia"/>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vanish w:val="0"/>
                <w:color w:val="auto"/>
                <w:kern w:val="2"/>
                <w:sz w:val="15"/>
                <w:szCs w:val="15"/>
              </w:rPr>
            </w:pPr>
            <w:r>
              <w:rPr>
                <w:rFonts w:ascii="方正黑体_GBK" w:eastAsia="方正黑体_GBK" w:hint="eastAsia"/>
                <w:b/>
                <w:bCs w:val="0"/>
                <w:vanish w:val="0"/>
                <w:color w:val="3D3D3D"/>
                <w:kern w:val="0"/>
                <w:sz w:val="15"/>
                <w:szCs w:val="15"/>
                <w:u w:val="single"/>
              </w:rPr>
              <w:t>如投资者通过电子</w:t>
            </w:r>
            <w:r>
              <w:rPr>
                <w:rFonts w:ascii="方正黑体_GBK" w:eastAsia="方正黑体_GBK" w:cs="Times New Roman" w:hint="eastAsia"/>
                <w:b/>
                <w:bCs w:val="0"/>
                <w:vanish w:val="0"/>
                <w:color w:val="3D3D3D"/>
                <w:kern w:val="0"/>
                <w:sz w:val="15"/>
                <w:szCs w:val="15"/>
                <w:u w:val="single"/>
              </w:rPr>
              <w:t>渠道</w:t>
            </w:r>
            <w:r>
              <w:rPr>
                <w:rFonts w:ascii="方正黑体_GBK" w:eastAsia="方正黑体_GBK" w:hint="eastAsia"/>
                <w:b/>
                <w:bCs w:val="0"/>
                <w:vanish w:val="0"/>
                <w:color w:val="3D3D3D"/>
                <w:kern w:val="0"/>
                <w:sz w:val="15"/>
                <w:szCs w:val="15"/>
                <w:u w:val="single"/>
              </w:rPr>
              <w:t>（包括但不限于网上银行、手机银行或官方网站等）购买本理财产品的，</w:t>
            </w:r>
            <w:r>
              <w:rPr>
                <w:rFonts w:ascii="方正黑体_GBK" w:eastAsia="方正黑体_GBK" w:hint="eastAsia"/>
                <w:vanish w:val="0"/>
                <w:spacing w:val="10"/>
                <w:kern w:val="2"/>
                <w:sz w:val="15"/>
                <w:szCs w:val="15"/>
              </w:rPr>
              <w:t>本风险揭示书以数据电文形式订立，</w:t>
            </w:r>
            <w:r>
              <w:rPr>
                <w:rFonts w:ascii="方正黑体_GBK" w:eastAsia="方正黑体_GBK" w:hint="eastAsia"/>
                <w:b/>
                <w:bCs w:val="0"/>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b/>
                <w:bCs w:val="0"/>
                <w:vanish w:val="0"/>
                <w:color w:val="3D3D3D"/>
                <w:kern w:val="0"/>
                <w:sz w:val="15"/>
                <w:szCs w:val="15"/>
                <w:u w:val="single"/>
              </w:rPr>
              <w:t>即视为</w:t>
            </w:r>
            <w:r>
              <w:rPr>
                <w:rFonts w:ascii="方正黑体_GBK" w:eastAsia="方正黑体_GBK" w:cs="Times New Roman" w:hint="eastAsia"/>
                <w:b/>
                <w:bCs w:val="0"/>
                <w:vanish w:val="0"/>
                <w:color w:val="3D3D3D"/>
                <w:kern w:val="0"/>
                <w:sz w:val="15"/>
                <w:szCs w:val="15"/>
                <w:u w:val="single"/>
              </w:rPr>
              <w:t>投资者</w:t>
            </w:r>
            <w:r>
              <w:rPr>
                <w:rFonts w:ascii="方正黑体_GBK" w:eastAsia="方正黑体_GBK" w:hint="eastAsia"/>
                <w:b/>
                <w:bCs w:val="0"/>
                <w:vanish w:val="0"/>
                <w:color w:val="3D3D3D"/>
                <w:kern w:val="0"/>
                <w:sz w:val="15"/>
                <w:szCs w:val="15"/>
                <w:u w:val="single"/>
              </w:rPr>
              <w:t>确认其符合本理财产品的风险等级并自愿承担投资风险。</w:t>
            </w:r>
            <w:r>
              <w:rPr>
                <w:rFonts w:ascii="方正黑体_GBK" w:eastAsia="方正黑体_GBK" w:hint="eastAsia"/>
                <w:vanish w:val="0"/>
                <w:spacing w:val="10"/>
                <w:kern w:val="2"/>
                <w:sz w:val="15"/>
                <w:szCs w:val="15"/>
              </w:rPr>
              <w:t>电子</w:t>
            </w:r>
            <w:r>
              <w:rPr>
                <w:rFonts w:ascii="方正黑体_GBK" w:eastAsia="方正黑体_GBK" w:cs="Times New Roman" w:hint="eastAsia"/>
                <w:vanish w:val="0"/>
                <w:spacing w:val="10"/>
                <w:kern w:val="2"/>
                <w:sz w:val="15"/>
                <w:szCs w:val="15"/>
              </w:rPr>
              <w:t>渠道</w:t>
            </w:r>
            <w:r>
              <w:rPr>
                <w:rFonts w:ascii="方正黑体_GBK" w:eastAsia="方正黑体_GBK" w:hint="eastAsia"/>
                <w:vanish w:val="0"/>
                <w:spacing w:val="10"/>
                <w:kern w:val="2"/>
                <w:sz w:val="15"/>
                <w:szCs w:val="15"/>
              </w:rPr>
              <w:t>所生成和保留记载的相关电子数据及交易记录以及南银理财、</w:t>
            </w:r>
            <w:r>
              <w:rPr>
                <w:rFonts w:ascii="方正黑体_GBK" w:eastAsia="方正黑体_GBK" w:cs="Times New Roman" w:hint="eastAsia"/>
                <w:vanish w:val="0"/>
                <w:spacing w:val="10"/>
                <w:kern w:val="2"/>
                <w:sz w:val="15"/>
                <w:szCs w:val="15"/>
              </w:rPr>
              <w:t>销售机构</w:t>
            </w:r>
            <w:r>
              <w:rPr>
                <w:rFonts w:ascii="方正黑体_GBK" w:eastAsia="方正黑体_GBK" w:hint="eastAsia"/>
                <w:vanish w:val="0"/>
                <w:spacing w:val="10"/>
                <w:kern w:val="2"/>
                <w:sz w:val="15"/>
                <w:szCs w:val="15"/>
              </w:rPr>
              <w:t>、托管机构制作或保留的相关电子及纸质单据、凭证、记录等相关资料</w:t>
            </w:r>
            <w:r>
              <w:rPr>
                <w:rFonts w:ascii="方正黑体_GBK" w:eastAsia="方正黑体_GBK" w:cs="Times New Roman" w:hint="eastAsia"/>
                <w:vanish w:val="0"/>
                <w:spacing w:val="10"/>
                <w:kern w:val="2"/>
                <w:sz w:val="15"/>
                <w:szCs w:val="15"/>
              </w:rPr>
              <w:t>，</w:t>
            </w:r>
            <w:r>
              <w:rPr>
                <w:rFonts w:ascii="方正黑体_GBK" w:eastAsia="方正黑体_GBK" w:hint="eastAsia"/>
                <w:vanish w:val="0"/>
                <w:spacing w:val="10"/>
                <w:kern w:val="2"/>
                <w:sz w:val="15"/>
                <w:szCs w:val="15"/>
              </w:rPr>
              <w:t>构成有效证明投资者与南银理财双方之间权利义务关系的确定证据，投资者无条件认可电子数据的有效性和证据效力。</w:t>
            </w:r>
          </w:p>
        </w:tc>
      </w:tr>
    </w:tbl>
    <w:p>
      <w:r>
        <w:rPr>
          <w:rFonts w:ascii="方正黑体_GBK" w:eastAsia="方正黑体_GBK"/>
        </w:rPr>
        <w:br w:type="page"/>
      </w:r>
    </w:p>
    <w:p>
      <w:pPr>
        <w:pStyle w:val="3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b/>
          <w:bCs/>
          <w:caps w:val="0"/>
          <w:smallCaps w:val="0"/>
          <w:snapToGrid/>
          <w:vanish w:val="0"/>
          <w:color w:val="auto"/>
          <w:kern w:val="0"/>
          <w:sz w:val="24"/>
          <w:szCs w:val="24"/>
          <w:vertAlign w:val="baseline"/>
        </w:rPr>
      </w:pPr>
      <w:r>
        <w:rPr>
          <w:rFonts w:ascii="方正黑体_GBK" w:eastAsia="方正黑体_GBK"/>
          <w:b/>
          <w:bCs/>
          <w:caps w:val="0"/>
          <w:smallCaps w:val="0"/>
          <w:snapToGrid/>
          <w:vanish w:val="0"/>
          <w:color w:val="auto"/>
          <w:kern w:val="0"/>
          <w:sz w:val="24"/>
          <w:szCs w:val="15"/>
          <w:vertAlign w:val="baseline"/>
        </w:rPr>
        <w:t xml:space="preserve"> </w:t>
      </w:r>
      <w:r>
        <w:rPr>
          <w:rFonts w:ascii="方正黑体_GBK" w:eastAsia="方正黑体_GBK" w:hint="eastAsia"/>
          <w:b/>
          <w:bCs/>
          <w:caps w:val="0"/>
          <w:smallCaps w:val="0"/>
          <w:snapToGrid/>
          <w:vanish w:val="0"/>
          <w:color w:val="auto"/>
          <w:kern w:val="0"/>
          <w:sz w:val="24"/>
          <w:szCs w:val="24"/>
          <w:vertAlign w:val="baseline"/>
        </w:rPr>
        <w:t>理财产品说明书</w:t>
      </w:r>
    </w:p>
    <w:p>
      <w:pPr>
        <w:pStyle w:val="3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b/>
          <w:bCs/>
          <w:i/>
          <w:iCs/>
          <w:caps w:val="0"/>
          <w:smallCaps w:val="0"/>
          <w:snapToGrid/>
          <w:vanish w:val="0"/>
          <w:color w:val="auto"/>
          <w:kern w:val="0"/>
          <w:sz w:val="24"/>
          <w:szCs w:val="24"/>
          <w:u w:val="single"/>
          <w:vertAlign w:val="baseline"/>
        </w:rPr>
      </w:pPr>
      <w:r>
        <w:rPr>
          <w:rFonts w:ascii="方正黑体_GBK" w:eastAsia="方正黑体_GBK"/>
          <w:b/>
          <w:bCs/>
          <w:i/>
          <w:iCs/>
          <w:caps w:val="0"/>
          <w:smallCaps w:val="0"/>
          <w:snapToGrid/>
          <w:vanish w:val="0"/>
          <w:color w:val="auto"/>
          <w:kern w:val="0"/>
          <w:sz w:val="24"/>
          <w:szCs w:val="24"/>
          <w:u w:val="single"/>
          <w:vertAlign w:val="baseline"/>
        </w:rPr>
        <w:t>“</w:t>
      </w:r>
      <w:r>
        <w:rPr>
          <w:rFonts w:ascii="方正黑体_GBK" w:eastAsia="方正黑体_GBK" w:hint="eastAsia"/>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b/>
          <w:bCs/>
          <w:i/>
          <w:iCs/>
          <w:caps w:val="0"/>
          <w:smallCaps w:val="0"/>
          <w:snapToGrid/>
          <w:vanish w:val="0"/>
          <w:color w:val="auto"/>
          <w:kern w:val="0"/>
          <w:sz w:val="24"/>
          <w:szCs w:val="24"/>
          <w:u w:val="single"/>
          <w:vertAlign w:val="baseline"/>
        </w:rPr>
        <w:t>”</w:t>
      </w:r>
      <w:r>
        <w:rPr>
          <w:rFonts w:ascii="方正黑体_GBK" w:eastAsia="方正黑体_GBK" w:hint="eastAsia"/>
          <w:b/>
          <w:bCs/>
          <w:i/>
          <w:iCs/>
          <w:caps w:val="0"/>
          <w:smallCaps w:val="0"/>
          <w:snapToGrid/>
          <w:vanish w:val="0"/>
          <w:color w:val="auto"/>
          <w:kern w:val="0"/>
          <w:sz w:val="24"/>
          <w:szCs w:val="24"/>
          <w:u w:val="single"/>
          <w:vertAlign w:val="baseline"/>
        </w:rPr>
        <w:t>！</w:t>
      </w:r>
    </w:p>
    <w:p>
      <w:pPr>
        <w:pStyle w:val="50"/>
        <w:keepNext w:val="0"/>
        <w:keepLines w:val="0"/>
        <w:pageBreakBefore w:val="0"/>
        <w:widowControl/>
        <w:suppressLineNumbers w:val="0"/>
        <w:suppressAutoHyphens w:val="0"/>
        <w:spacing w:line="200" w:lineRule="exact"/>
        <w:ind w:firstLine="0"/>
        <w:jc w:val="both"/>
        <w:textAlignment w:val="baseline"/>
        <w:rPr>
          <w:rFonts w:ascii="方正黑体_GBK" w:eastAsia="方正黑体_GBK"/>
          <w:b/>
          <w:bCs w:val="0"/>
          <w:caps w:val="0"/>
          <w:smallCaps w:val="0"/>
          <w:snapToGrid/>
          <w:vanish w:val="0"/>
          <w:color w:val="3D3D3D"/>
          <w:kern w:val="0"/>
          <w:sz w:val="15"/>
          <w:szCs w:val="15"/>
          <w:vertAlign w:val="baseline"/>
        </w:rPr>
      </w:pPr>
      <w:r>
        <w:rPr>
          <w:rFonts w:ascii="方正黑体_GBK" w:eastAsia="方正黑体_GBK" w:hint="eastAsia"/>
          <w:b/>
          <w:bCs w:val="0"/>
          <w:caps w:val="0"/>
          <w:smallCaps w:val="0"/>
          <w:snapToGrid/>
          <w:vanish w:val="0"/>
          <w:color w:val="3D3D3D"/>
          <w:kern w:val="0"/>
          <w:sz w:val="15"/>
          <w:szCs w:val="15"/>
          <w:vertAlign w:val="baseline"/>
        </w:rPr>
        <w:t>第一条</w:t>
      </w:r>
      <w:r>
        <w:rPr>
          <w:rFonts w:ascii="方正黑体_GBK" w:eastAsia="方正黑体_GBK" w:cs="Times New Roman"/>
          <w:b/>
          <w:bCs w:val="0"/>
          <w:caps w:val="0"/>
          <w:smallCaps w:val="0"/>
          <w:snapToGrid/>
          <w:vanish w:val="0"/>
          <w:color w:val="3D3D3D"/>
          <w:kern w:val="0"/>
          <w:sz w:val="15"/>
          <w:szCs w:val="15"/>
          <w:vertAlign w:val="baseline"/>
        </w:rPr>
        <w:t xml:space="preserve">  </w:t>
      </w:r>
      <w:r>
        <w:rPr>
          <w:rFonts w:ascii="方正黑体_GBK" w:eastAsia="方正黑体_GBK" w:hint="eastAsia"/>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南银理财珠联璧合安稳1903一年定开公募人民币理财产品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定期开放式、固定收益类、公募、净值型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ZC108691944590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cs="宋体" w:hint="eastAsia"/>
                <w:caps w:val="0"/>
                <w:smallCaps w:val="0"/>
                <w:snapToGrid/>
                <w:vanish w:val="0"/>
                <w:color w:val="auto"/>
                <w:kern w:val="0"/>
                <w:sz w:val="18"/>
                <w:szCs w:val="18"/>
                <w:vertAlign w:val="baseline"/>
              </w:rPr>
              <w:t>Z7003221000028(投资者可依据该编码在中国理财网www.chinawealth.com.cn查询理财产品相关信息）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A份额：Z10024</w:t>
            </w:r>
          </w:p>
          <w:p>
            <w:pPr>
              <w:spacing w:line="200" w:lineRule="exact"/>
            </w:pPr>
            <w:r>
              <w:rPr>
                <w:rFonts w:ascii="方正黑体_GBK" w:eastAsia="方正黑体_GBK" w:cs="宋体"/>
                <w:sz w:val="18"/>
                <w:szCs w:val="18"/>
              </w:rPr>
              <w:t>F份额：ZF10024</w:t>
            </w:r>
          </w:p>
          <w:p>
            <w:pPr>
              <w:spacing w:line="200" w:lineRule="exact"/>
            </w:pPr>
            <w:r>
              <w:rPr>
                <w:rFonts w:ascii="方正黑体_GBK" w:eastAsia="方正黑体_GBK" w:cs="宋体"/>
                <w:sz w:val="18"/>
                <w:szCs w:val="18"/>
              </w:rPr>
              <w:t>A2份额：Z11024</w:t>
            </w:r>
          </w:p>
          <w:p>
            <w:pPr>
              <w:spacing w:line="200" w:lineRule="exact"/>
            </w:pPr>
            <w:r>
              <w:rPr>
                <w:rFonts w:ascii="方正黑体_GBK" w:eastAsia="方正黑体_GBK" w:cs="宋体"/>
                <w:sz w:val="18"/>
                <w:szCs w:val="18"/>
              </w:rPr>
              <w:t>A3份额：Z12024</w:t>
            </w:r>
          </w:p>
          <w:p>
            <w:pPr>
              <w:spacing w:line="200" w:lineRule="exact"/>
            </w:pPr>
            <w:r>
              <w:rPr>
                <w:rFonts w:ascii="方正黑体_GBK" w:eastAsia="方正黑体_GBK" w:cs="宋体"/>
                <w:sz w:val="18"/>
                <w:szCs w:val="18"/>
              </w:rPr>
              <w:t>B4份额：NYAW001045</w:t>
            </w:r>
          </w:p>
          <w:p>
            <w:pPr>
              <w:spacing w:line="200" w:lineRule="exact"/>
            </w:pPr>
            <w:r>
              <w:rPr>
                <w:rFonts w:ascii="方正黑体_GBK" w:eastAsia="方正黑体_GBK" w:cs="宋体"/>
                <w:sz w:val="18"/>
                <w:szCs w:val="18"/>
              </w:rPr>
              <w:t>C4份额：NYAW001046</w:t>
            </w:r>
          </w:p>
          <w:p>
            <w:pPr>
              <w:spacing w:line="200" w:lineRule="exact"/>
            </w:pPr>
            <w:r>
              <w:rPr>
                <w:rFonts w:ascii="方正黑体_GBK" w:eastAsia="方正黑体_GBK" w:cs="宋体"/>
                <w:sz w:val="18"/>
                <w:szCs w:val="18"/>
              </w:rPr>
              <w:t>D4份额：NYAW001047</w:t>
            </w:r>
          </w:p>
          <w:p>
            <w:pPr>
              <w:spacing w:line="200" w:lineRule="exact"/>
            </w:pPr>
            <w:r>
              <w:rPr>
                <w:rFonts w:ascii="方正黑体_GBK" w:eastAsia="方正黑体_GBK" w:cs="宋体"/>
                <w:sz w:val="18"/>
                <w:szCs w:val="18"/>
              </w:rPr>
              <w:t>E4份额：NYAW001048</w:t>
            </w:r>
          </w:p>
          <w:p>
            <w:pPr>
              <w:spacing w:line="200" w:lineRule="exact"/>
            </w:pPr>
            <w:r>
              <w:rPr>
                <w:rFonts w:ascii="方正黑体_GBK" w:eastAsia="方正黑体_GBK" w:cs="宋体"/>
                <w:sz w:val="18"/>
                <w:szCs w:val="18"/>
              </w:rPr>
              <w:t>F2份额：ZF11024</w:t>
            </w:r>
          </w:p>
          <w:p>
            <w:pPr>
              <w:spacing w:line="200" w:lineRule="exact"/>
            </w:pPr>
            <w:r>
              <w:rPr>
                <w:rFonts w:ascii="方正黑体_GBK" w:eastAsia="方正黑体_GBK" w:cs="宋体"/>
                <w:sz w:val="18"/>
                <w:szCs w:val="18"/>
              </w:rPr>
              <w:t>F3份额：ZF12024</w:t>
            </w:r>
          </w:p>
          <w:p>
            <w:pPr>
              <w:spacing w:line="200" w:lineRule="exact"/>
            </w:pPr>
            <w:r>
              <w:rPr>
                <w:rFonts w:ascii="方正黑体_GBK" w:eastAsia="方正黑体_GBK" w:cs="宋体"/>
                <w:sz w:val="18"/>
                <w:szCs w:val="18"/>
              </w:rPr>
              <w:t>G3份额：NYAW001061</w:t>
            </w:r>
          </w:p>
          <w:p>
            <w:pPr>
              <w:spacing w:line="200" w:lineRule="exact"/>
            </w:pPr>
            <w:r>
              <w:rPr>
                <w:rFonts w:ascii="方正黑体_GBK" w:eastAsia="方正黑体_GBK" w:cs="宋体"/>
                <w:sz w:val="18"/>
                <w:szCs w:val="18"/>
              </w:rPr>
              <w:t>G4份额：NYAW001070</w:t>
            </w:r>
          </w:p>
          <w:p>
            <w:pPr>
              <w:spacing w:line="200" w:lineRule="exact"/>
            </w:pPr>
            <w:r>
              <w:rPr>
                <w:rFonts w:ascii="方正黑体_GBK" w:eastAsia="方正黑体_GBK" w:cs="宋体"/>
                <w:sz w:val="18"/>
                <w:szCs w:val="18"/>
              </w:rPr>
              <w:t>J2份额：NYAW001049</w:t>
            </w:r>
          </w:p>
          <w:p>
            <w:pPr>
              <w:spacing w:line="200" w:lineRule="exact"/>
            </w:pPr>
            <w:r>
              <w:rPr>
                <w:rFonts w:ascii="方正黑体_GBK" w:eastAsia="方正黑体_GBK" w:cs="宋体"/>
                <w:sz w:val="18"/>
                <w:szCs w:val="18"/>
              </w:rPr>
              <w:t>L2份额：NYAW001050</w:t>
            </w:r>
          </w:p>
          <w:p>
            <w:pPr>
              <w:spacing w:line="200" w:lineRule="exact"/>
            </w:pPr>
            <w:r>
              <w:rPr>
                <w:rFonts w:ascii="方正黑体_GBK" w:eastAsia="方正黑体_GBK" w:cs="宋体"/>
                <w:sz w:val="18"/>
                <w:szCs w:val="18"/>
              </w:rPr>
              <w:t>J3份额：NYAW001062</w:t>
            </w:r>
          </w:p>
          <w:p>
            <w:pPr>
              <w:spacing w:line="200" w:lineRule="exact"/>
            </w:pPr>
            <w:r>
              <w:rPr>
                <w:rFonts w:ascii="方正黑体_GBK" w:eastAsia="方正黑体_GBK" w:cs="宋体"/>
                <w:sz w:val="18"/>
                <w:szCs w:val="18"/>
              </w:rPr>
              <w:t>L3份额：NYAW001063</w:t>
            </w:r>
          </w:p>
          <w:p>
            <w:pPr>
              <w:spacing w:line="200" w:lineRule="exact"/>
            </w:pPr>
            <w:r>
              <w:rPr>
                <w:rFonts w:ascii="方正黑体_GBK" w:eastAsia="方正黑体_GBK" w:cs="宋体"/>
                <w:sz w:val="18"/>
                <w:szCs w:val="18"/>
              </w:rPr>
              <w:t>M2份额：NYAW001054</w:t>
            </w:r>
          </w:p>
          <w:p>
            <w:pPr>
              <w:spacing w:line="200" w:lineRule="exact"/>
            </w:pPr>
            <w:r>
              <w:rPr>
                <w:rFonts w:ascii="方正黑体_GBK" w:eastAsia="方正黑体_GBK" w:cs="宋体"/>
                <w:sz w:val="18"/>
                <w:szCs w:val="18"/>
              </w:rPr>
              <w:t>M3份额：NYAW001067</w:t>
            </w:r>
          </w:p>
          <w:p>
            <w:pPr>
              <w:spacing w:line="200" w:lineRule="exact"/>
            </w:pPr>
            <w:r>
              <w:rPr>
                <w:rFonts w:ascii="方正黑体_GBK" w:eastAsia="方正黑体_GBK" w:cs="宋体"/>
                <w:sz w:val="18"/>
                <w:szCs w:val="18"/>
              </w:rPr>
              <w:t>O2份额：NYAW001051</w:t>
            </w:r>
          </w:p>
          <w:p>
            <w:pPr>
              <w:spacing w:line="200" w:lineRule="exact"/>
            </w:pPr>
            <w:r>
              <w:rPr>
                <w:rFonts w:ascii="方正黑体_GBK" w:eastAsia="方正黑体_GBK" w:cs="宋体"/>
                <w:sz w:val="18"/>
                <w:szCs w:val="18"/>
              </w:rPr>
              <w:t>O3份额：NYAW001064</w:t>
            </w:r>
          </w:p>
          <w:p>
            <w:pPr>
              <w:spacing w:line="200" w:lineRule="exact"/>
            </w:pPr>
            <w:r>
              <w:rPr>
                <w:rFonts w:ascii="方正黑体_GBK" w:eastAsia="方正黑体_GBK" w:cs="宋体"/>
                <w:sz w:val="18"/>
                <w:szCs w:val="18"/>
              </w:rPr>
              <w:t>Q1份额：NYAW001043</w:t>
            </w:r>
          </w:p>
          <w:p>
            <w:pPr>
              <w:spacing w:line="200" w:lineRule="exact"/>
            </w:pPr>
            <w:r>
              <w:rPr>
                <w:rFonts w:ascii="方正黑体_GBK" w:eastAsia="方正黑体_GBK" w:cs="宋体"/>
                <w:sz w:val="18"/>
                <w:szCs w:val="18"/>
              </w:rPr>
              <w:t>R1份额：NYAW001044</w:t>
            </w:r>
          </w:p>
          <w:p>
            <w:pPr>
              <w:spacing w:line="200" w:lineRule="exact"/>
            </w:pPr>
            <w:r>
              <w:rPr>
                <w:rFonts w:ascii="方正黑体_GBK" w:eastAsia="方正黑体_GBK" w:cs="宋体"/>
                <w:sz w:val="18"/>
                <w:szCs w:val="18"/>
              </w:rPr>
              <w:t>Q2份额：NYAW001055</w:t>
            </w:r>
          </w:p>
          <w:p>
            <w:pPr>
              <w:spacing w:line="200" w:lineRule="exact"/>
            </w:pPr>
            <w:r>
              <w:rPr>
                <w:rFonts w:ascii="方正黑体_GBK" w:eastAsia="方正黑体_GBK" w:cs="宋体"/>
                <w:sz w:val="18"/>
                <w:szCs w:val="18"/>
              </w:rPr>
              <w:t>R2份额：NYAW001056</w:t>
            </w:r>
          </w:p>
          <w:p>
            <w:pPr>
              <w:spacing w:line="200" w:lineRule="exact"/>
            </w:pPr>
            <w:r>
              <w:rPr>
                <w:rFonts w:ascii="方正黑体_GBK" w:eastAsia="方正黑体_GBK" w:cs="宋体"/>
                <w:sz w:val="18"/>
                <w:szCs w:val="18"/>
              </w:rPr>
              <w:t>Q3份额：NYAW001068</w:t>
            </w:r>
          </w:p>
          <w:p>
            <w:pPr>
              <w:spacing w:line="200" w:lineRule="exact"/>
            </w:pPr>
            <w:r>
              <w:rPr>
                <w:rFonts w:ascii="方正黑体_GBK" w:eastAsia="方正黑体_GBK" w:cs="宋体"/>
                <w:sz w:val="18"/>
                <w:szCs w:val="18"/>
              </w:rPr>
              <w:t>R3份额：NYAW001069</w:t>
            </w:r>
          </w:p>
          <w:p>
            <w:pPr>
              <w:spacing w:line="200" w:lineRule="exact"/>
            </w:pPr>
            <w:r>
              <w:rPr>
                <w:rFonts w:ascii="方正黑体_GBK" w:eastAsia="方正黑体_GBK" w:cs="宋体"/>
                <w:sz w:val="18"/>
                <w:szCs w:val="18"/>
              </w:rPr>
              <w:t>B1份额：NYAW001030</w:t>
            </w:r>
          </w:p>
          <w:p>
            <w:pPr>
              <w:spacing w:line="200" w:lineRule="exact"/>
            </w:pPr>
            <w:r>
              <w:rPr>
                <w:rFonts w:ascii="方正黑体_GBK" w:eastAsia="方正黑体_GBK" w:cs="宋体"/>
                <w:sz w:val="18"/>
                <w:szCs w:val="18"/>
              </w:rPr>
              <w:t>C1份额：NYAW001031</w:t>
            </w:r>
          </w:p>
          <w:p>
            <w:pPr>
              <w:spacing w:line="200" w:lineRule="exact"/>
            </w:pPr>
            <w:r>
              <w:rPr>
                <w:rFonts w:ascii="方正黑体_GBK" w:eastAsia="方正黑体_GBK" w:cs="宋体"/>
                <w:sz w:val="18"/>
                <w:szCs w:val="18"/>
              </w:rPr>
              <w:t>D1份额：NYAW001032</w:t>
            </w:r>
          </w:p>
          <w:p>
            <w:pPr>
              <w:spacing w:line="200" w:lineRule="exact"/>
            </w:pPr>
            <w:r>
              <w:rPr>
                <w:rFonts w:ascii="方正黑体_GBK" w:eastAsia="方正黑体_GBK" w:cs="宋体"/>
                <w:sz w:val="18"/>
                <w:szCs w:val="18"/>
              </w:rPr>
              <w:t>E1份额：NYAW001033</w:t>
            </w:r>
          </w:p>
          <w:p>
            <w:pPr>
              <w:spacing w:line="200" w:lineRule="exact"/>
            </w:pPr>
            <w:r>
              <w:rPr>
                <w:rFonts w:ascii="方正黑体_GBK" w:eastAsia="方正黑体_GBK" w:cs="宋体"/>
                <w:sz w:val="18"/>
                <w:szCs w:val="18"/>
              </w:rPr>
              <w:t>G1份额：NYAW001034</w:t>
            </w:r>
          </w:p>
          <w:p>
            <w:pPr>
              <w:spacing w:line="200" w:lineRule="exact"/>
            </w:pPr>
            <w:r>
              <w:rPr>
                <w:rFonts w:ascii="方正黑体_GBK" w:eastAsia="方正黑体_GBK" w:cs="宋体"/>
                <w:sz w:val="18"/>
                <w:szCs w:val="18"/>
              </w:rPr>
              <w:t>I1份额：NYAW001035</w:t>
            </w:r>
          </w:p>
          <w:p>
            <w:pPr>
              <w:spacing w:line="200" w:lineRule="exact"/>
            </w:pPr>
            <w:r>
              <w:rPr>
                <w:rFonts w:ascii="方正黑体_GBK" w:eastAsia="方正黑体_GBK" w:cs="宋体"/>
                <w:sz w:val="18"/>
                <w:szCs w:val="18"/>
              </w:rPr>
              <w:t>J1份额：NYAW001036</w:t>
            </w:r>
          </w:p>
          <w:p>
            <w:pPr>
              <w:spacing w:line="200" w:lineRule="exact"/>
            </w:pPr>
            <w:r>
              <w:rPr>
                <w:rFonts w:ascii="方正黑体_GBK" w:eastAsia="方正黑体_GBK" w:cs="宋体"/>
                <w:sz w:val="18"/>
                <w:szCs w:val="18"/>
              </w:rPr>
              <w:t>L1份额：NYAW001037</w:t>
            </w:r>
          </w:p>
          <w:p>
            <w:pPr>
              <w:spacing w:line="200" w:lineRule="exact"/>
            </w:pPr>
            <w:r>
              <w:rPr>
                <w:rFonts w:ascii="方正黑体_GBK" w:eastAsia="方正黑体_GBK" w:cs="宋体"/>
                <w:sz w:val="18"/>
                <w:szCs w:val="18"/>
              </w:rPr>
              <w:t>M1份额：NYAW001041</w:t>
            </w:r>
          </w:p>
          <w:p>
            <w:pPr>
              <w:spacing w:line="200" w:lineRule="exact"/>
            </w:pPr>
            <w:r>
              <w:rPr>
                <w:rFonts w:ascii="方正黑体_GBK" w:eastAsia="方正黑体_GBK" w:cs="宋体"/>
                <w:sz w:val="18"/>
                <w:szCs w:val="18"/>
              </w:rPr>
              <w:t>N1份额：NYAW001042</w:t>
            </w:r>
          </w:p>
          <w:p>
            <w:pPr>
              <w:spacing w:line="200" w:lineRule="exact"/>
            </w:pPr>
            <w:r>
              <w:rPr>
                <w:rFonts w:ascii="方正黑体_GBK" w:eastAsia="方正黑体_GBK" w:cs="宋体"/>
                <w:sz w:val="18"/>
                <w:szCs w:val="18"/>
              </w:rPr>
              <w:t>O1份额：NYAW001038</w:t>
            </w:r>
          </w:p>
          <w:p>
            <w:pPr>
              <w:spacing w:line="200" w:lineRule="exact"/>
            </w:pPr>
            <w:r>
              <w:rPr>
                <w:rFonts w:ascii="方正黑体_GBK" w:eastAsia="方正黑体_GBK" w:cs="宋体"/>
                <w:sz w:val="18"/>
                <w:szCs w:val="18"/>
              </w:rPr>
              <w:t>S1份额：NYAW001039</w:t>
            </w:r>
          </w:p>
          <w:p>
            <w:pPr>
              <w:spacing w:line="200" w:lineRule="exact"/>
            </w:pPr>
            <w:r>
              <w:rPr>
                <w:rFonts w:ascii="方正黑体_GBK" w:eastAsia="方正黑体_GBK" w:cs="宋体"/>
                <w:sz w:val="18"/>
                <w:szCs w:val="18"/>
              </w:rPr>
              <w:t>S2份额：NYAW001052</w:t>
            </w:r>
          </w:p>
          <w:p>
            <w:pPr>
              <w:spacing w:line="200" w:lineRule="exact"/>
            </w:pPr>
            <w:r>
              <w:rPr>
                <w:rFonts w:ascii="方正黑体_GBK" w:eastAsia="方正黑体_GBK" w:cs="宋体"/>
                <w:sz w:val="18"/>
                <w:szCs w:val="18"/>
              </w:rPr>
              <w:t>S3份额：NYAW001065</w:t>
            </w:r>
          </w:p>
          <w:p>
            <w:pPr>
              <w:spacing w:line="200" w:lineRule="exact"/>
            </w:pPr>
            <w:r>
              <w:rPr>
                <w:rFonts w:ascii="方正黑体_GBK" w:eastAsia="方正黑体_GBK" w:cs="宋体"/>
                <w:sz w:val="18"/>
                <w:szCs w:val="18"/>
              </w:rPr>
              <w:t>T1份额：NYAW001040</w:t>
            </w:r>
          </w:p>
          <w:p>
            <w:pPr>
              <w:spacing w:line="200" w:lineRule="exact"/>
            </w:pPr>
            <w:r>
              <w:rPr>
                <w:rFonts w:ascii="方正黑体_GBK" w:eastAsia="方正黑体_GBK" w:cs="宋体"/>
                <w:sz w:val="18"/>
                <w:szCs w:val="18"/>
              </w:rPr>
              <w:t>T2份额：NYAW001053</w:t>
            </w:r>
          </w:p>
          <w:p>
            <w:pPr>
              <w:spacing w:line="200" w:lineRule="exact"/>
            </w:pPr>
            <w:r>
              <w:rPr>
                <w:rFonts w:ascii="方正黑体_GBK" w:eastAsia="方正黑体_GBK" w:cs="宋体"/>
                <w:sz w:val="18"/>
                <w:szCs w:val="18"/>
              </w:rPr>
              <w:t>T3份额：NYAW001066</w:t>
            </w:r>
          </w:p>
          <w:p>
            <w:pPr>
              <w:spacing w:line="200" w:lineRule="exact"/>
            </w:pPr>
            <w:r>
              <w:rPr>
                <w:rFonts w:ascii="方正黑体_GBK" w:eastAsia="方正黑体_GBK" w:cs="宋体"/>
                <w:sz w:val="18"/>
                <w:szCs w:val="18"/>
              </w:rPr>
              <w:t>B5份额：NYAW001057</w:t>
            </w:r>
          </w:p>
          <w:p>
            <w:pPr>
              <w:spacing w:line="200" w:lineRule="exact"/>
            </w:pPr>
            <w:r>
              <w:rPr>
                <w:rFonts w:ascii="方正黑体_GBK" w:eastAsia="方正黑体_GBK" w:cs="宋体"/>
                <w:sz w:val="18"/>
                <w:szCs w:val="18"/>
              </w:rPr>
              <w:t>C5份额：NYAW001058</w:t>
            </w:r>
          </w:p>
          <w:p>
            <w:pPr>
              <w:spacing w:line="200" w:lineRule="exact"/>
            </w:pPr>
            <w:r>
              <w:rPr>
                <w:rFonts w:ascii="方正黑体_GBK" w:eastAsia="方正黑体_GBK" w:cs="宋体"/>
                <w:sz w:val="18"/>
                <w:szCs w:val="18"/>
              </w:rPr>
              <w:t>D5份额：NYAW001059</w:t>
            </w:r>
          </w:p>
          <w:p>
            <w:pPr>
              <w:spacing w:line="200" w:lineRule="exact"/>
            </w:pPr>
            <w:r>
              <w:rPr>
                <w:rFonts w:ascii="方正黑体_GBK" w:eastAsia="方正黑体_GBK" w:cs="宋体"/>
                <w:sz w:val="18"/>
                <w:szCs w:val="18"/>
              </w:rPr>
              <w:t>E5份额：NYAW001060</w:t>
            </w:r>
          </w:p>
          <w:p>
            <w:pPr>
              <w:spacing w:line="200" w:lineRule="exact"/>
            </w:pPr>
            <w:r>
              <w:rPr>
                <w:rFonts w:ascii="方正黑体_GBK" w:eastAsia="方正黑体_GBK" w:cs="宋体"/>
                <w:b/>
                <w:sz w:val="18"/>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aps w:val="0"/>
                <w:smallCaps w:val="0"/>
                <w:snapToGrid/>
                <w:vanish w:val="0"/>
                <w:color w:val="auto"/>
                <w:kern w:val="0"/>
                <w:sz w:val="18"/>
                <w:szCs w:val="18"/>
                <w:vertAlign w:val="baseline"/>
              </w:rPr>
            </w:pPr>
            <w:r>
              <w:rPr>
                <w:rFonts w:ascii="方正黑体_GBK" w:eastAsia="方正黑体_GBK"/>
                <w:caps w:val="0"/>
                <w:smallCaps w:val="0"/>
                <w:snapToGrid/>
                <w:vanish w:val="0"/>
                <w:color w:val="auto"/>
                <w:kern w:val="0"/>
                <w:sz w:val="18"/>
                <w:szCs w:val="18"/>
                <w:vertAlign w:val="baseline"/>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sz w:val="18"/>
                <w:szCs w:val="18"/>
              </w:rPr>
              <w:t>10年</w:t>
            </w:r>
            <w:r>
              <w:rPr>
                <w:rFonts w:ascii="方正黑体_GBK" w:eastAsia="方正黑体_GBK" w:cs="宋体" w:hint="eastAsia"/>
                <w:kern w:val="0"/>
                <w:sz w:val="18"/>
                <w:szCs w:val="18"/>
                <w:lang w:val="en-US" w:eastAsia="zh-CN"/>
              </w:rPr>
              <w:t>（管理人有权提前终止或延期终止）</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本理财产品规模上限为500亿元。理财产品管理人有权对上述规模上限根据实际业务需求进行调整。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根据理财产品管理人对理财产品的内部风险评估，本理财产品风险等级为</w:t>
            </w:r>
            <w:r>
              <w:rPr>
                <w:rFonts w:ascii="方正黑体_GBK" w:eastAsia="方正黑体_GBK" w:cs="宋体"/>
                <w:b/>
                <w:sz w:val="18"/>
                <w:szCs w:val="18"/>
              </w:rPr>
              <w:t>中低风险</w:t>
            </w:r>
            <w:r>
              <w:rPr>
                <w:rFonts w:ascii="方正黑体_GBK" w:eastAsia="方正黑体_GBK" w:cs="宋体"/>
                <w:sz w:val="18"/>
                <w:szCs w:val="18"/>
              </w:rPr>
              <w:t>（本风险等级为管理人内部风险评估结果，仅供参考）。</w:t>
            </w:r>
          </w:p>
          <w:p>
            <w:pPr>
              <w:spacing w:line="200" w:lineRule="exact"/>
            </w:pPr>
            <w:r>
              <w:rPr>
                <w:rFonts w:asci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jc w:val="left"/>
            </w:pPr>
            <w:r>
              <w:rPr>
                <w:rFonts w:ascii="方正黑体_GBK" w:eastAsia="方正黑体_GBK" w:cs="宋体"/>
                <w:sz w:val="18"/>
                <w:szCs w:val="18"/>
              </w:rPr>
              <w:t>符合相关法律法规、监管规定要求的，经销售机构的风险承受能力评估体系评定为适合的个人和机构投资者。</w:t>
            </w:r>
          </w:p>
          <w:p>
            <w:pPr>
              <w:spacing w:line="200" w:lineRule="exact"/>
            </w:pPr>
            <w:r>
              <w:rPr>
                <w:rFonts w:ascii="方正黑体_GBK" w:eastAsia="方正黑体_GBK" w:cs="宋体"/>
                <w:sz w:val="18"/>
                <w:szCs w:val="18"/>
              </w:rPr>
              <w:t>A份额：南京银行股份有限公司（除镇江分行(新客或新资金5万或代发客户)、私行客户、钻石客户、新晋私行客户、新晋钻石户及南京银行认定的其他符合标准的客户外的其他客户）、南银理财有限责任公司、昆山鹿城村镇银行股份有限公司、日照银行股份有限公司、秦皇岛银行股份有限公司、泰安银行股份有限公司、齐鲁银行股份有限公司、深圳前海微众银行股份有限公司、九江银行股份有限公司、无锡锡商银行股份有限公司、江苏江阴农村商业银行股份有限公司。</w:t>
            </w:r>
          </w:p>
          <w:p>
            <w:pPr>
              <w:spacing w:line="200" w:lineRule="exact"/>
            </w:pPr>
            <w:r>
              <w:rPr>
                <w:rFonts w:ascii="方正黑体_GBK" w:eastAsia="方正黑体_GBK" w:cs="宋体"/>
                <w:sz w:val="18"/>
                <w:szCs w:val="18"/>
              </w:rPr>
              <w:t>F份额：南京银行私行客户、钻石客户、新晋私行客户、新晋钻石户及南京银行认定的其他符合标准的客户。</w:t>
            </w:r>
          </w:p>
          <w:p>
            <w:pPr>
              <w:spacing w:line="200" w:lineRule="exact"/>
            </w:pPr>
            <w:r>
              <w:rPr>
                <w:rFonts w:ascii="方正黑体_GBK" w:eastAsia="方正黑体_GBK" w:cs="宋体"/>
                <w:sz w:val="18"/>
                <w:szCs w:val="18"/>
              </w:rPr>
              <w:t>A2份额：南京银行股份有限公司（除私行客户、钻石客户、新晋私行客户、新晋钻石户及南京银行认定的其他符合标准的客户外的其他客户）、南银理财有限责任公司。</w:t>
            </w:r>
          </w:p>
          <w:p>
            <w:pPr>
              <w:spacing w:line="200" w:lineRule="exact"/>
            </w:pPr>
            <w:r>
              <w:rPr>
                <w:rFonts w:ascii="方正黑体_GBK" w:eastAsia="方正黑体_GBK" w:cs="宋体"/>
                <w:sz w:val="18"/>
                <w:szCs w:val="18"/>
              </w:rPr>
              <w:t>A3份额：南京银行股份有限公司（除私行客户、钻石客户、新晋私行客户、新晋钻石户及南京银行认定的其他符合标准的客户外的其他客户）、南银理财有限责任公司。</w:t>
            </w:r>
          </w:p>
          <w:p>
            <w:pPr>
              <w:spacing w:line="200" w:lineRule="exact"/>
            </w:pPr>
            <w:r>
              <w:rPr>
                <w:rFonts w:ascii="方正黑体_GBK" w:eastAsia="方正黑体_GBK" w:cs="宋体"/>
                <w:sz w:val="18"/>
                <w:szCs w:val="18"/>
              </w:rPr>
              <w:t>B4份额：江苏常熟农村商业银行股份有限公司、江苏苏州农村商业银行股份有限公司、齐鲁银行股份有限公司、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pPr>
              <w:spacing w:line="200" w:lineRule="exact"/>
            </w:pPr>
            <w:r>
              <w:rPr>
                <w:rFonts w:ascii="方正黑体_GBK" w:eastAsia="方正黑体_GBK" w:cs="宋体"/>
                <w:sz w:val="18"/>
                <w:szCs w:val="18"/>
              </w:rPr>
              <w:t>C4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w:t>
            </w:r>
          </w:p>
          <w:p>
            <w:pPr>
              <w:spacing w:line="200" w:lineRule="exact"/>
            </w:pPr>
            <w:r>
              <w:rPr>
                <w:rFonts w:ascii="方正黑体_GBK" w:eastAsia="方正黑体_GBK" w:cs="宋体"/>
                <w:sz w:val="18"/>
                <w:szCs w:val="18"/>
              </w:rPr>
              <w:t>D4份额：南京银行股份有限公司(新客、新资金(20万))、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pPr>
              <w:spacing w:line="200" w:lineRule="exact"/>
            </w:pPr>
            <w:r>
              <w:rPr>
                <w:rFonts w:ascii="方正黑体_GBK" w:eastAsia="方正黑体_GBK" w:cs="宋体"/>
                <w:sz w:val="18"/>
                <w:szCs w:val="18"/>
              </w:rPr>
              <w:t>E4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pPr>
              <w:spacing w:line="200" w:lineRule="exact"/>
            </w:pPr>
            <w:r>
              <w:rPr>
                <w:rFonts w:ascii="方正黑体_GBK" w:eastAsia="方正黑体_GBK" w:cs="宋体"/>
                <w:sz w:val="18"/>
                <w:szCs w:val="18"/>
              </w:rPr>
              <w:t>F2份额：南京银行私行客户、钻石客户、新晋私行客户、新晋钻石户及南京银行认定的其他符合标准的客户。</w:t>
            </w:r>
          </w:p>
          <w:p>
            <w:pPr>
              <w:spacing w:line="200" w:lineRule="exact"/>
            </w:pPr>
            <w:r>
              <w:rPr>
                <w:rFonts w:ascii="方正黑体_GBK" w:eastAsia="方正黑体_GBK" w:cs="宋体"/>
                <w:sz w:val="18"/>
                <w:szCs w:val="18"/>
              </w:rPr>
              <w:t>F3份额：南京银行私行客户、钻石客户、新晋私行客户、新晋钻石户及南京银行认定的其他符合标准的客户。</w:t>
            </w:r>
          </w:p>
          <w:p>
            <w:pPr>
              <w:spacing w:line="200" w:lineRule="exact"/>
            </w:pPr>
            <w:r>
              <w:rPr>
                <w:rFonts w:ascii="方正黑体_GBK" w:eastAsia="方正黑体_GBK" w:cs="宋体"/>
                <w:sz w:val="18"/>
                <w:szCs w:val="18"/>
              </w:rPr>
              <w:t>G3份额：成都银行股份有限公司。</w:t>
            </w:r>
          </w:p>
          <w:p>
            <w:pPr>
              <w:spacing w:line="200" w:lineRule="exact"/>
            </w:pPr>
            <w:r>
              <w:rPr>
                <w:rFonts w:ascii="方正黑体_GBK" w:eastAsia="方正黑体_GBK" w:cs="宋体"/>
                <w:sz w:val="18"/>
                <w:szCs w:val="18"/>
              </w:rPr>
              <w:t>G4份额：成都银行股份有限公司。</w:t>
            </w:r>
          </w:p>
          <w:p>
            <w:pPr>
              <w:spacing w:line="200" w:lineRule="exact"/>
            </w:pPr>
            <w:r>
              <w:rPr>
                <w:rFonts w:ascii="方正黑体_GBK" w:eastAsia="方正黑体_GBK" w:cs="宋体"/>
                <w:sz w:val="18"/>
                <w:szCs w:val="18"/>
              </w:rPr>
              <w:t>J2份额：兴业银行股份有限公司（私行客户1万元起购）。</w:t>
            </w:r>
          </w:p>
          <w:p>
            <w:pPr>
              <w:spacing w:line="200" w:lineRule="exact"/>
            </w:pPr>
            <w:r>
              <w:rPr>
                <w:rFonts w:ascii="方正黑体_GBK" w:eastAsia="方正黑体_GBK" w:cs="宋体"/>
                <w:sz w:val="18"/>
                <w:szCs w:val="18"/>
              </w:rPr>
              <w:t>L2份额：兴业银行股份有限公司（私行客户100万元起购）。</w:t>
            </w:r>
          </w:p>
          <w:p>
            <w:pPr>
              <w:spacing w:line="200" w:lineRule="exact"/>
            </w:pPr>
            <w:r>
              <w:rPr>
                <w:rFonts w:ascii="方正黑体_GBK" w:eastAsia="方正黑体_GBK" w:cs="宋体"/>
                <w:sz w:val="18"/>
                <w:szCs w:val="18"/>
              </w:rPr>
              <w:t>J3份额：兴业银行股份有限公司（私行客户1万元起购）。</w:t>
            </w:r>
          </w:p>
          <w:p>
            <w:pPr>
              <w:spacing w:line="200" w:lineRule="exact"/>
            </w:pPr>
            <w:r>
              <w:rPr>
                <w:rFonts w:ascii="方正黑体_GBK" w:eastAsia="方正黑体_GBK" w:cs="宋体"/>
                <w:sz w:val="18"/>
                <w:szCs w:val="18"/>
              </w:rPr>
              <w:t>L3份额：兴业银行股份有限公司（私行客户100万元起购）。</w:t>
            </w:r>
          </w:p>
          <w:p>
            <w:pPr>
              <w:spacing w:line="200" w:lineRule="exact"/>
            </w:pPr>
            <w:r>
              <w:rPr>
                <w:rFonts w:ascii="方正黑体_GBK" w:eastAsia="方正黑体_GBK" w:cs="宋体"/>
                <w:sz w:val="18"/>
                <w:szCs w:val="18"/>
              </w:rPr>
              <w:t>M2份额：浙江民泰商业银行股份有限公司、嘉兴银行股份有限公司、苏州银行股份有限公司、福建海峡银行股份有限公司、宁波通商银行股份有限公司。</w:t>
            </w:r>
          </w:p>
          <w:p>
            <w:pPr>
              <w:spacing w:line="200" w:lineRule="exact"/>
            </w:pPr>
            <w:r>
              <w:rPr>
                <w:rFonts w:ascii="方正黑体_GBK" w:eastAsia="方正黑体_GBK" w:cs="宋体"/>
                <w:sz w:val="18"/>
                <w:szCs w:val="18"/>
              </w:rPr>
              <w:t>M3份额：浙江民泰商业银行股份有限公司、嘉兴银行股份有限公司、苏州银行股份有限公司、福建海峡银行股份有限公司、宁波通商银行股份有限公司。</w:t>
            </w:r>
          </w:p>
          <w:p>
            <w:pPr>
              <w:spacing w:line="200" w:lineRule="exact"/>
            </w:pPr>
            <w:r>
              <w:rPr>
                <w:rFonts w:ascii="方正黑体_GBK" w:eastAsia="方正黑体_GBK" w:cs="宋体"/>
                <w:sz w:val="18"/>
                <w:szCs w:val="18"/>
              </w:rPr>
              <w:t>O2份额：广发银行股份有限公司所有个人客户。</w:t>
            </w:r>
          </w:p>
          <w:p>
            <w:pPr>
              <w:spacing w:line="200" w:lineRule="exact"/>
            </w:pPr>
            <w:r>
              <w:rPr>
                <w:rFonts w:ascii="方正黑体_GBK" w:eastAsia="方正黑体_GBK" w:cs="宋体"/>
                <w:sz w:val="18"/>
                <w:szCs w:val="18"/>
              </w:rPr>
              <w:t>O3份额：广发银行股份有限公司所有个人客户。</w:t>
            </w:r>
          </w:p>
          <w:p>
            <w:pPr>
              <w:spacing w:line="200" w:lineRule="exact"/>
            </w:pPr>
            <w:r>
              <w:rPr>
                <w:rFonts w:ascii="方正黑体_GBK" w:eastAsia="方正黑体_GBK" w:cs="宋体"/>
                <w:sz w:val="18"/>
                <w:szCs w:val="18"/>
              </w:rPr>
              <w:t>Q1份额：台州银行股份有限公司（除白名单客户外的其他客户）</w:t>
            </w:r>
          </w:p>
          <w:p>
            <w:pPr>
              <w:spacing w:line="200" w:lineRule="exact"/>
            </w:pPr>
            <w:r>
              <w:rPr>
                <w:rFonts w:ascii="方正黑体_GBK" w:eastAsia="方正黑体_GBK" w:cs="宋体"/>
                <w:sz w:val="18"/>
                <w:szCs w:val="18"/>
              </w:rPr>
              <w:t>R1份额：台州银行股份有限公司白名单客户。</w:t>
            </w:r>
          </w:p>
          <w:p>
            <w:pPr>
              <w:spacing w:line="200" w:lineRule="exact"/>
            </w:pPr>
            <w:r>
              <w:rPr>
                <w:rFonts w:ascii="方正黑体_GBK" w:eastAsia="方正黑体_GBK" w:cs="宋体"/>
                <w:sz w:val="18"/>
                <w:szCs w:val="18"/>
              </w:rPr>
              <w:t>Q2份额：台州银行股份有限公司（除白名单客户外的其他客户）</w:t>
            </w:r>
          </w:p>
          <w:p>
            <w:pPr>
              <w:spacing w:line="200" w:lineRule="exact"/>
            </w:pPr>
            <w:r>
              <w:rPr>
                <w:rFonts w:ascii="方正黑体_GBK" w:eastAsia="方正黑体_GBK" w:cs="宋体"/>
                <w:sz w:val="18"/>
                <w:szCs w:val="18"/>
              </w:rPr>
              <w:t>R2份额：台州银行股份有限公司白名单客户。</w:t>
            </w:r>
          </w:p>
          <w:p>
            <w:pPr>
              <w:spacing w:line="200" w:lineRule="exact"/>
            </w:pPr>
            <w:r>
              <w:rPr>
                <w:rFonts w:ascii="方正黑体_GBK" w:eastAsia="方正黑体_GBK" w:cs="宋体"/>
                <w:sz w:val="18"/>
                <w:szCs w:val="18"/>
              </w:rPr>
              <w:t>Q3份额：台州银行股份有限公司（除白名单客户外的其他客户）</w:t>
            </w:r>
          </w:p>
          <w:p>
            <w:pPr>
              <w:spacing w:line="200" w:lineRule="exact"/>
            </w:pPr>
            <w:r>
              <w:rPr>
                <w:rFonts w:ascii="方正黑体_GBK" w:eastAsia="方正黑体_GBK" w:cs="宋体"/>
                <w:sz w:val="18"/>
                <w:szCs w:val="18"/>
              </w:rPr>
              <w:t>R3份额：台州银行股份有限公司白名单客户。</w:t>
            </w:r>
          </w:p>
          <w:p>
            <w:pPr>
              <w:spacing w:line="200" w:lineRule="exact"/>
            </w:pPr>
            <w:r>
              <w:rPr>
                <w:rFonts w:ascii="方正黑体_GBK" w:eastAsia="方正黑体_GBK" w:cs="宋体"/>
                <w:sz w:val="18"/>
                <w:szCs w:val="18"/>
              </w:rPr>
              <w:t>B1份额：江苏常熟农村商业银行股份有限公司、江苏苏州农村商业银行股份有限公司、齐鲁银行股份有限公司、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pPr>
              <w:spacing w:line="200" w:lineRule="exact"/>
            </w:pPr>
            <w:r>
              <w:rPr>
                <w:rFonts w:ascii="方正黑体_GBK" w:eastAsia="方正黑体_GBK" w:cs="宋体"/>
                <w:sz w:val="18"/>
                <w:szCs w:val="18"/>
              </w:rPr>
              <w:t>C1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w:t>
            </w:r>
          </w:p>
          <w:p>
            <w:pPr>
              <w:spacing w:line="200" w:lineRule="exact"/>
            </w:pPr>
            <w:r>
              <w:rPr>
                <w:rFonts w:ascii="方正黑体_GBK" w:eastAsia="方正黑体_GBK" w:cs="宋体"/>
                <w:sz w:val="18"/>
                <w:szCs w:val="18"/>
              </w:rPr>
              <w:t>D1份额：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pPr>
              <w:spacing w:line="200" w:lineRule="exact"/>
            </w:pPr>
            <w:r>
              <w:rPr>
                <w:rFonts w:ascii="方正黑体_GBK" w:eastAsia="方正黑体_GBK" w:cs="宋体"/>
                <w:sz w:val="18"/>
                <w:szCs w:val="18"/>
              </w:rPr>
              <w:t>E1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pPr>
              <w:spacing w:line="200" w:lineRule="exact"/>
            </w:pPr>
            <w:r>
              <w:rPr>
                <w:rFonts w:ascii="方正黑体_GBK" w:eastAsia="方正黑体_GBK" w:cs="宋体"/>
                <w:sz w:val="18"/>
                <w:szCs w:val="18"/>
              </w:rPr>
              <w:t>G1份额：成都银行股份有限公司。</w:t>
            </w:r>
          </w:p>
          <w:p>
            <w:pPr>
              <w:spacing w:line="200" w:lineRule="exact"/>
            </w:pPr>
            <w:r>
              <w:rPr>
                <w:rFonts w:ascii="方正黑体_GBK" w:eastAsia="方正黑体_GBK" w:cs="宋体"/>
                <w:sz w:val="18"/>
                <w:szCs w:val="18"/>
              </w:rPr>
              <w:t>I1份额：南京银行股份有限公司镇江分行(新客或新资金5万或代发客户)</w:t>
            </w:r>
          </w:p>
          <w:p>
            <w:pPr>
              <w:spacing w:line="200" w:lineRule="exact"/>
            </w:pPr>
            <w:r>
              <w:rPr>
                <w:rFonts w:ascii="方正黑体_GBK" w:eastAsia="方正黑体_GBK" w:cs="宋体"/>
                <w:sz w:val="18"/>
                <w:szCs w:val="18"/>
              </w:rPr>
              <w:t>J1份额：兴业银行股份有限公司（私行客户1万元起购）。</w:t>
            </w:r>
          </w:p>
          <w:p>
            <w:pPr>
              <w:spacing w:line="200" w:lineRule="exact"/>
            </w:pPr>
            <w:r>
              <w:rPr>
                <w:rFonts w:ascii="方正黑体_GBK" w:eastAsia="方正黑体_GBK" w:cs="宋体"/>
                <w:sz w:val="18"/>
                <w:szCs w:val="18"/>
              </w:rPr>
              <w:t>L1份额：兴业银行股份有限公司（私行客户100万元起购）。</w:t>
            </w:r>
          </w:p>
          <w:p>
            <w:pPr>
              <w:spacing w:line="200" w:lineRule="exact"/>
            </w:pPr>
            <w:r>
              <w:rPr>
                <w:rFonts w:ascii="方正黑体_GBK" w:eastAsia="方正黑体_GBK" w:cs="宋体"/>
                <w:sz w:val="18"/>
                <w:szCs w:val="18"/>
              </w:rPr>
              <w:t>M1份额：浙江民泰商业银行股份有限公司、嘉兴银行股份有限公司、苏州银行股份有限公司（除代发与新资金外的其他客户）、福建海峡银行股份有限公司、宁波通商银行股份有限公司。</w:t>
            </w:r>
          </w:p>
          <w:p>
            <w:pPr>
              <w:spacing w:line="200" w:lineRule="exact"/>
            </w:pPr>
            <w:r>
              <w:rPr>
                <w:rFonts w:ascii="方正黑体_GBK" w:eastAsia="方正黑体_GBK" w:cs="宋体"/>
                <w:sz w:val="18"/>
                <w:szCs w:val="18"/>
              </w:rPr>
              <w:t>N1份额：苏州银行股份有限公司（代发与新资金客户）。</w:t>
            </w:r>
          </w:p>
          <w:p>
            <w:pPr>
              <w:spacing w:line="200" w:lineRule="exact"/>
            </w:pPr>
            <w:r>
              <w:rPr>
                <w:rFonts w:ascii="方正黑体_GBK" w:eastAsia="方正黑体_GBK" w:cs="宋体"/>
                <w:sz w:val="18"/>
                <w:szCs w:val="18"/>
              </w:rPr>
              <w:t>O1份额：广发银行股份有限公司所有个人客户。</w:t>
            </w:r>
          </w:p>
          <w:p>
            <w:pPr>
              <w:spacing w:line="200" w:lineRule="exact"/>
            </w:pPr>
            <w:r>
              <w:rPr>
                <w:rFonts w:ascii="方正黑体_GBK" w:eastAsia="方正黑体_GBK" w:cs="宋体"/>
                <w:sz w:val="18"/>
                <w:szCs w:val="18"/>
              </w:rPr>
              <w:t>S1份额：成都农村商业银行股份有限公司。</w:t>
            </w:r>
          </w:p>
          <w:p>
            <w:pPr>
              <w:spacing w:line="200" w:lineRule="exact"/>
            </w:pPr>
            <w:r>
              <w:rPr>
                <w:rFonts w:ascii="方正黑体_GBK" w:eastAsia="方正黑体_GBK" w:cs="宋体"/>
                <w:sz w:val="18"/>
                <w:szCs w:val="18"/>
              </w:rPr>
              <w:t>S2份额：成都农村商业银行股份有限公司。</w:t>
            </w:r>
          </w:p>
          <w:p>
            <w:pPr>
              <w:spacing w:line="200" w:lineRule="exact"/>
            </w:pPr>
            <w:r>
              <w:rPr>
                <w:rFonts w:ascii="方正黑体_GBK" w:eastAsia="方正黑体_GBK" w:cs="宋体"/>
                <w:sz w:val="18"/>
                <w:szCs w:val="18"/>
              </w:rPr>
              <w:t>S3份额：成都农村商业银行股份有限公司。</w:t>
            </w:r>
          </w:p>
          <w:p>
            <w:pPr>
              <w:spacing w:line="200" w:lineRule="exact"/>
            </w:pPr>
            <w:r>
              <w:rPr>
                <w:rFonts w:ascii="方正黑体_GBK" w:eastAsia="方正黑体_GBK" w:cs="宋体"/>
                <w:sz w:val="18"/>
                <w:szCs w:val="18"/>
              </w:rPr>
              <w:t>T1份额：河北银行股份有限公司（除分行财富客户外的其他客户）、桂林银行股份有限公司（高净值客户）。</w:t>
            </w:r>
          </w:p>
          <w:p>
            <w:pPr>
              <w:spacing w:line="200" w:lineRule="exact"/>
            </w:pPr>
            <w:r>
              <w:rPr>
                <w:rFonts w:ascii="方正黑体_GBK" w:eastAsia="方正黑体_GBK" w:cs="宋体"/>
                <w:sz w:val="18"/>
                <w:szCs w:val="18"/>
              </w:rPr>
              <w:t>T2份额：河北银行股份有限公司（除分行财富客户外的其他客户）、桂林银行股份有限公司（高净值客户）。</w:t>
            </w:r>
          </w:p>
          <w:p>
            <w:pPr>
              <w:spacing w:line="200" w:lineRule="exact"/>
            </w:pPr>
            <w:r>
              <w:rPr>
                <w:rFonts w:ascii="方正黑体_GBK" w:eastAsia="方正黑体_GBK" w:cs="宋体"/>
                <w:sz w:val="18"/>
                <w:szCs w:val="18"/>
              </w:rPr>
              <w:t>T3份额：河北银行股份有限公司（除分行财富客户外的其他客户）、桂林银行股份有限公司（高净值客户）。</w:t>
            </w:r>
          </w:p>
          <w:p>
            <w:pPr>
              <w:spacing w:line="200" w:lineRule="exact"/>
            </w:pPr>
            <w:r>
              <w:rPr>
                <w:rFonts w:ascii="方正黑体_GBK" w:eastAsia="方正黑体_GBK" w:cs="宋体"/>
                <w:sz w:val="18"/>
                <w:szCs w:val="18"/>
              </w:rPr>
              <w:t>B5份额：江苏常熟农村商业银行股份有限公司、江苏苏州农村商业银行股份有限公司、齐鲁银行股份有限公司、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pPr>
              <w:spacing w:line="200" w:lineRule="exact"/>
            </w:pPr>
            <w:r>
              <w:rPr>
                <w:rFonts w:ascii="方正黑体_GBK" w:eastAsia="方正黑体_GBK" w:cs="宋体"/>
                <w:sz w:val="18"/>
                <w:szCs w:val="18"/>
              </w:rPr>
              <w:t>C5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w:t>
            </w:r>
          </w:p>
          <w:p>
            <w:pPr>
              <w:spacing w:line="200" w:lineRule="exact"/>
            </w:pPr>
            <w:r>
              <w:rPr>
                <w:rFonts w:ascii="方正黑体_GBK" w:eastAsia="方正黑体_GBK" w:cs="宋体"/>
                <w:sz w:val="18"/>
                <w:szCs w:val="18"/>
              </w:rPr>
              <w:t>D5份额：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pPr>
              <w:spacing w:line="200" w:lineRule="exact"/>
            </w:pPr>
            <w:r>
              <w:rPr>
                <w:rFonts w:ascii="方正黑体_GBK" w:eastAsia="方正黑体_GBK" w:cs="宋体"/>
                <w:sz w:val="18"/>
                <w:szCs w:val="18"/>
              </w:rPr>
              <w:t>E5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pPr>
              <w:spacing w:line="200" w:lineRule="exact"/>
            </w:pPr>
            <w:r>
              <w:rPr>
                <w:rFonts w:ascii="方正黑体_GBK" w:eastAsia="方正黑体_GBK" w:cs="宋体"/>
                <w:b/>
                <w:sz w:val="18"/>
                <w:szCs w:val="18"/>
              </w:rPr>
              <w:t>注：本产品不同份额针对不同的销售机构及客群进行销售，设置有不同的销售费和管理费。</w:t>
            </w:r>
          </w:p>
          <w:p>
            <w:pPr>
              <w:spacing w:line="200" w:lineRule="exact"/>
              <w:jc w:val="left"/>
            </w:pPr>
            <w:r>
              <w:rPr>
                <w:rFonts w:ascii="方正黑体_GBK" w:eastAsia="方正黑体_GBK" w:cs="宋体"/>
                <w:sz w:val="18"/>
                <w:szCs w:val="18"/>
              </w:rPr>
              <w:t xml:space="preserve"> </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A份额/F份额/A2份额/A3份额/B4份额/C4份额/D4份额/E4份额/F2份额/F3份额/G3份额/G4份额/J2份额/L2份额/J3份额/L3份额/M2份额/M3份额/Q1份额/R1份额/Q2份额/R2份额/Q3份额/R3份额/B1份额/C1份额/D1份额/E1份额/G1份额/I1份额/J1份额/L1份额/M1份额/N1份额/S1份额/S2份额/S3份额/T1份额/T2份额/T3份额/B5份额/C5份额/D5份额/E5份额：</w:t>
            </w:r>
          </w:p>
          <w:p>
            <w:pPr>
              <w:spacing w:line="200" w:lineRule="exact"/>
            </w:pPr>
            <w:r>
              <w:rPr>
                <w:rFonts w:ascii="方正黑体_GBK" w:eastAsia="方正黑体_GBK" w:cs="宋体"/>
                <w:sz w:val="18"/>
                <w:szCs w:val="18"/>
              </w:rPr>
              <w:t>个人投资者投资起点金额1元人民币，以1元的整数倍递增；</w:t>
            </w:r>
          </w:p>
          <w:p>
            <w:pPr>
              <w:spacing w:line="200" w:lineRule="exact"/>
            </w:pPr>
            <w:r>
              <w:rPr>
                <w:rFonts w:ascii="方正黑体_GBK" w:eastAsia="方正黑体_GBK" w:cs="宋体"/>
                <w:sz w:val="18"/>
                <w:szCs w:val="18"/>
              </w:rPr>
              <w:t>机构投资者投资起点金额1元人民币，以1元的整数倍递增；</w:t>
            </w:r>
          </w:p>
          <w:p>
            <w:pPr>
              <w:spacing w:line="200" w:lineRule="exact"/>
            </w:pPr>
            <w:r>
              <w:rPr>
                <w:rFonts w:ascii="方正黑体_GBK" w:eastAsia="方正黑体_GBK" w:cs="宋体"/>
                <w:sz w:val="18"/>
                <w:szCs w:val="18"/>
              </w:rPr>
              <w:t>O2份额/O3份额/O1份额：</w:t>
            </w:r>
          </w:p>
          <w:p>
            <w:pPr>
              <w:spacing w:line="200" w:lineRule="exact"/>
            </w:pPr>
            <w:r>
              <w:rPr>
                <w:rFonts w:ascii="方正黑体_GBK" w:eastAsia="方正黑体_GBK" w:cs="宋体"/>
                <w:sz w:val="18"/>
                <w:szCs w:val="18"/>
              </w:rPr>
              <w:t>个人投资者投资起点金额1元人民币，以1元的整数倍递增；</w:t>
            </w:r>
          </w:p>
          <w:p>
            <w:pPr>
              <w:spacing w:line="200" w:lineRule="exact"/>
            </w:pPr>
            <w:r>
              <w:rPr>
                <w:rFonts w:ascii="方正黑体_GBK" w:eastAsia="方正黑体_GBK" w:cs="宋体"/>
                <w:sz w:val="18"/>
                <w:szCs w:val="18"/>
              </w:rPr>
              <w:t>后续在符合监管政策规定的条件下，理财产品管理人有权对上述投资起点金额和递增金额进行调整，并在调整日前至少3个工作日进行信息披露。</w:t>
            </w:r>
          </w:p>
          <w:p>
            <w:pPr>
              <w:spacing w:line="200" w:lineRule="exact"/>
            </w:pPr>
            <w:r>
              <w:rPr>
                <w:rFonts w:asci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jc w:val="left"/>
            </w:pPr>
            <w:r>
              <w:rPr>
                <w:rFonts w:asci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pPr>
              <w:spacing w:line="200" w:lineRule="exact"/>
              <w:jc w:val="left"/>
            </w:pPr>
            <w:r>
              <w:rPr>
                <w:rFonts w:asci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color w:val="000000"/>
                <w:sz w:val="18"/>
                <w:szCs w:val="18"/>
              </w:rPr>
              <w:t>2019年02月27日 09:00—2019年03月05日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aps w:val="0"/>
                <w:smallCaps w:val="0"/>
                <w:snapToGrid/>
                <w:vanish w:val="0"/>
                <w:color w:val="auto"/>
                <w:kern w:val="0"/>
                <w:sz w:val="18"/>
                <w:szCs w:val="18"/>
                <w:vertAlign w:val="baseline"/>
              </w:rPr>
            </w:pPr>
            <w:r>
              <w:rPr>
                <w:rFonts w:ascii="方正黑体_GBK" w:eastAsia="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认购份额=确认认购金额/1。（认购份额以去尾法保留两位小数）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本理财产品每期封闭期为一年，当期封闭期起止时间以公告为准。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eastAsia="方正黑体_GBK"/>
                <w:color w:val="000000"/>
                <w:kern w:val="0"/>
                <w:sz w:val="18"/>
                <w:szCs w:val="18"/>
              </w:rPr>
            </w:pPr>
            <w:r>
              <w:rPr>
                <w:rFonts w:ascii="方正黑体_GBK" w:eastAsia="方正黑体_GBK" w:hint="eastAsia"/>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eastAsia="方正黑体_GBK" w:hint="eastAsia"/>
                <w:kern w:val="0"/>
                <w:sz w:val="18"/>
                <w:szCs w:val="18"/>
              </w:rPr>
              <w:t>2019年03月06日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2019年03月06日—实际到期日（若本理财产品未被提前终止或延期终止，则实际到期日即为名义到期日，存续期限10年；若本理财产品被提前终止或延期终止，则实际到期日为提前终止日或延期终止日。</w:t>
            </w:r>
            <w:r>
              <w:rPr>
                <w:rFonts w:ascii="方正黑体_GBK" w:eastAsia="方正黑体_GBK" w:cs="宋体"/>
                <w:b/>
                <w:sz w:val="18"/>
                <w:szCs w:val="18"/>
              </w:rPr>
              <w:t>理财产品管理人有权根据市场变化情况调整产品存续期，届时管理人将调整相关日期并进行信息披露。）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2029年12月28日</w:t>
            </w:r>
            <w:r>
              <w:rPr>
                <w:rFonts w:ascii="方正黑体_GBK" w:eastAsia="方正黑体_GBK" w:cs="Times New Roman" w:hint="eastAsia"/>
                <w:b/>
                <w:bCs/>
                <w:caps w:val="0"/>
                <w:smallCaps w:val="0"/>
                <w:snapToGrid/>
                <w:vanish w:val="0"/>
                <w:color w:val="auto"/>
                <w:kern w:val="0"/>
                <w:sz w:val="18"/>
                <w:szCs w:val="18"/>
                <w:vertAlign w:val="baseline"/>
              </w:rPr>
              <w:t>（如遇国家法定节假日，管理人可结合国家法定节假日安排进行调整，并进行</w:t>
            </w:r>
            <w:r>
              <w:rPr>
                <w:rFonts w:ascii="方正黑体_GBK" w:eastAsia="方正黑体_GBK" w:hint="eastAsia"/>
                <w:b/>
                <w:bCs/>
                <w:caps w:val="0"/>
                <w:smallCaps w:val="0"/>
                <w:snapToGrid/>
                <w:vanish w:val="0"/>
                <w:color w:val="auto"/>
                <w:kern w:val="0"/>
                <w:sz w:val="18"/>
                <w:szCs w:val="18"/>
                <w:vertAlign w:val="baseline"/>
              </w:rPr>
              <w:t>信息披露</w:t>
            </w:r>
            <w:r>
              <w:rPr>
                <w:rFonts w:ascii="方正黑体_GBK" w:eastAsia="方正黑体_GBK" w:cs="Times New Roman" w:hint="eastAsia"/>
                <w:b/>
                <w:bCs/>
                <w:caps w:val="0"/>
                <w:smallCaps w:val="0"/>
                <w:snapToGrid/>
                <w:vanish w:val="0"/>
                <w:color w:val="auto"/>
                <w:kern w:val="0"/>
                <w:sz w:val="18"/>
                <w:szCs w:val="18"/>
                <w:vertAlign w:val="baseline"/>
              </w:rPr>
              <w:t>）</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本理财产品存续期内按每一年开放申购，如遇节假日调整，申购开放日和申购确认日以公告为准。</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aps w:val="0"/>
                <w:smallCaps w:val="0"/>
                <w:snapToGrid/>
                <w:vanish w:val="0"/>
                <w:color w:val="auto"/>
                <w:kern w:val="0"/>
                <w:sz w:val="18"/>
                <w:szCs w:val="18"/>
                <w:vertAlign w:val="baseline"/>
              </w:rPr>
            </w:pPr>
            <w:r>
              <w:rPr>
                <w:rFonts w:ascii="方正黑体_GBK" w:eastAsia="方正黑体_GBK"/>
                <w:caps w:val="0"/>
                <w:smallCaps w:val="0"/>
                <w:snapToGrid/>
                <w:vanish w:val="0"/>
                <w:color w:val="auto"/>
                <w:kern w:val="0"/>
                <w:sz w:val="18"/>
                <w:szCs w:val="18"/>
                <w:vertAlign w:val="baseline"/>
              </w:rPr>
              <w:t>申购/赎回规则</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jc w:val="left"/>
            </w:pPr>
            <w:r>
              <w:rPr>
                <w:rFonts w:ascii="方正黑体_GBK" w:eastAsia="方正黑体_GBK" w:cs="宋体"/>
                <w:sz w:val="18"/>
                <w:szCs w:val="18"/>
                <w:shd w:val="clear" w:color="auto" w:fill="FFFFFF"/>
              </w:rPr>
              <w:t>A份额/F份额/Q1份额/R1份额：本次开放期为</w:t>
            </w:r>
            <w:r>
              <w:rPr>
                <w:rFonts w:ascii="方正黑体_GBK" w:eastAsia="方正黑体_GBK" w:cs="宋体"/>
                <w:sz w:val="18"/>
                <w:szCs w:val="18"/>
              </w:rPr>
              <w:t>2026年5月26日9：00至2026年6月1日17：00</w:t>
            </w:r>
            <w:r>
              <w:rPr>
                <w:rFonts w:ascii="方正黑体_GBK" w:eastAsia="方正黑体_GBK" w:cs="宋体"/>
                <w:sz w:val="18"/>
                <w:szCs w:val="18"/>
                <w:shd w:val="clear" w:color="auto" w:fill="FFFFFF"/>
              </w:rPr>
              <w:t>,下一个开放期为2027年6月24日9：00至2027年6月30日17：00，投资者可以提交或撤销认购/申购/赎回申请。</w:t>
            </w:r>
          </w:p>
          <w:p>
            <w:pPr>
              <w:spacing w:line="200" w:lineRule="exact"/>
              <w:jc w:val="left"/>
            </w:pPr>
            <w:r>
              <w:rPr>
                <w:rFonts w:ascii="方正黑体_GBK" w:eastAsia="方正黑体_GBK" w:cs="宋体"/>
                <w:sz w:val="18"/>
                <w:szCs w:val="18"/>
                <w:shd w:val="clear" w:color="auto" w:fill="FFFFFF"/>
              </w:rPr>
              <w:t>A2份额/F2份额/A3份额/F3份额:开放期</w:t>
            </w:r>
            <w:r>
              <w:rPr>
                <w:rFonts w:ascii="方正黑体_GBK" w:eastAsia="方正黑体_GBK" w:cs="宋体"/>
                <w:sz w:val="18"/>
                <w:szCs w:val="18"/>
              </w:rPr>
              <w:t>2026年5月26日9：00至2026年6月1日17：00，</w:t>
            </w:r>
            <w:r>
              <w:rPr>
                <w:rFonts w:ascii="方正黑体_GBK" w:eastAsia="方正黑体_GBK" w:cs="宋体"/>
                <w:sz w:val="18"/>
                <w:szCs w:val="18"/>
                <w:shd w:val="clear" w:color="auto" w:fill="FFFFFF"/>
              </w:rPr>
              <w:t>投资者可以提交或撤销赎回申请</w:t>
            </w:r>
          </w:p>
          <w:p>
            <w:pPr>
              <w:spacing w:line="200" w:lineRule="exact"/>
              <w:jc w:val="left"/>
            </w:pPr>
            <w:r>
              <w:rPr>
                <w:rFonts w:ascii="方正黑体_GBK" w:eastAsia="方正黑体_GBK" w:cs="宋体"/>
                <w:sz w:val="18"/>
                <w:szCs w:val="18"/>
                <w:shd w:val="clear" w:color="auto" w:fill="FFFFFF"/>
              </w:rPr>
              <w:t>B1份额/C1份额/D1份额/E1份额/G1份额/I1份额/J1份额/L1份额/M1份额/N1份额/O1份额/S1份额/T1份额：本次开放期为</w:t>
            </w:r>
            <w:r>
              <w:rPr>
                <w:rFonts w:ascii="方正黑体_GBK" w:eastAsia="方正黑体_GBK" w:cs="宋体"/>
                <w:sz w:val="18"/>
                <w:szCs w:val="18"/>
              </w:rPr>
              <w:t>2026年5月26日9：00至2026年6月1日17：00</w:t>
            </w:r>
            <w:r>
              <w:rPr>
                <w:rFonts w:ascii="方正黑体_GBK" w:eastAsia="方正黑体_GBK" w:cs="宋体"/>
                <w:sz w:val="18"/>
                <w:szCs w:val="18"/>
                <w:shd w:val="clear" w:color="auto" w:fill="FFFFFF"/>
              </w:rPr>
              <w:t>，投资者可以提交或撤销认购/申购申请；确认成功的份额均将于下一个开放期（2027年6月24日9：00至2027年6月30日17：00）由系统自动发起赎回申请。</w:t>
            </w:r>
          </w:p>
          <w:p>
            <w:pPr>
              <w:spacing w:line="200" w:lineRule="exact"/>
              <w:jc w:val="left"/>
            </w:pPr>
            <w:r>
              <w:rPr>
                <w:rFonts w:ascii="方正黑体_GBK" w:eastAsia="方正黑体_GBK" w:cs="宋体"/>
                <w:sz w:val="18"/>
                <w:szCs w:val="18"/>
                <w:shd w:val="clear" w:color="auto" w:fill="FFFFFF"/>
              </w:rPr>
              <w:t>A2份额/F2份额/Q2份额/R2份额：本次开放期为2026年6月2日9：00至2026年6月8日17：00,下一个开放期为2027年7月1日9：00至2027年7月7日17：00，投资者可以提交或撤销认购/申购/赎回申请。</w:t>
            </w:r>
          </w:p>
          <w:p>
            <w:pPr>
              <w:spacing w:line="200" w:lineRule="exact"/>
              <w:jc w:val="left"/>
            </w:pPr>
            <w:r>
              <w:rPr>
                <w:rFonts w:ascii="方正黑体_GBK" w:eastAsia="方正黑体_GBK" w:cs="宋体"/>
                <w:sz w:val="18"/>
                <w:szCs w:val="18"/>
                <w:shd w:val="clear" w:color="auto" w:fill="FFFFFF"/>
              </w:rPr>
              <w:t>B4份额/C4份额/D4份额/E4份额/G5份额/J2份额/L2份额/M2份额/O2份额/S2份额/T2份额：本次开放期为2026年6月2日9：00至2026年6月8日17：00，投资者可以提交或撤销认购/申购申请；确认成功的份额均将于下一个开放期（2027年7月1日9：00至2027年7月7日17：00）由系统自动发起赎回申请。</w:t>
            </w:r>
          </w:p>
          <w:p>
            <w:pPr>
              <w:spacing w:line="200" w:lineRule="exact"/>
              <w:jc w:val="left"/>
            </w:pPr>
            <w:r>
              <w:rPr>
                <w:rFonts w:ascii="方正黑体_GBK" w:eastAsia="方正黑体_GBK" w:cs="宋体"/>
                <w:sz w:val="18"/>
                <w:szCs w:val="18"/>
                <w:shd w:val="clear" w:color="auto" w:fill="FFFFFF"/>
              </w:rPr>
              <w:t>A3份额/F3份额/Q3份额/R3份额：本次开放期为2026年6月9日9：00至2026年6月15日17：00,下一个开放期为2027年7月8日9：00至2027年7月14日17：00，投资者可以提交或撤销认购/申购/赎回申请。</w:t>
            </w:r>
          </w:p>
          <w:p>
            <w:pPr>
              <w:spacing w:line="200" w:lineRule="exact"/>
              <w:jc w:val="left"/>
            </w:pPr>
            <w:r>
              <w:rPr>
                <w:rFonts w:ascii="方正黑体_GBK" w:eastAsia="方正黑体_GBK" w:cs="宋体"/>
                <w:sz w:val="18"/>
                <w:szCs w:val="18"/>
                <w:shd w:val="clear" w:color="auto" w:fill="FFFFFF"/>
              </w:rPr>
              <w:t>B5份额/C5份额/D5份额/E5份额/G3份额/J3份额L3份额/M3份额/O3份额/S3份额/T3份额：本次开放期为2026年6月9日9：00至2026年6月15日17：00，投资者可以提交或撤销认购/申购申请；确认成功的份额均将于下一个开放期（2027年7月8日9：00至2027年7月14日17：00）由系统自动发起赎回申请。产品开放期如有调整以管理人公告为准。</w:t>
            </w:r>
          </w:p>
          <w:p>
            <w:pPr>
              <w:spacing w:line="200" w:lineRule="exact"/>
              <w:jc w:val="left"/>
            </w:pPr>
            <w:r>
              <w:rPr>
                <w:rFonts w:ascii="方正黑体_GBK" w:eastAsia="方正黑体_GBK" w:cs="宋体"/>
                <w:sz w:val="18"/>
                <w:szCs w:val="18"/>
                <w:shd w:val="clear" w:color="auto" w:fill="FFFFFF"/>
              </w:rPr>
              <w:t>在销售机构支持的前提下，认购/申购/赎回开放期末日17:00前可以撤销申请。</w:t>
            </w:r>
          </w:p>
          <w:p>
            <w:pPr>
              <w:spacing w:line="200" w:lineRule="exact"/>
              <w:jc w:val="left"/>
            </w:pPr>
            <w:r>
              <w:rPr>
                <w:rFonts w:ascii="方正黑体_GBK" w:eastAsia="方正黑体_GBK" w:cs="宋体"/>
                <w:sz w:val="18"/>
                <w:szCs w:val="18"/>
                <w:shd w:val="clear" w:color="auto" w:fill="FFFFFF"/>
              </w:rPr>
              <w:t>代销机构可根据其销售需要在管理人设定的认购/申购/赎回时间范围内对认购/申购/赎回时间进行重新设定，投资者通过代销机构购买本理财产品的，以该代销机构最终披露的时间为准。</w:t>
            </w:r>
          </w:p>
        </w:tc>
      </w:tr>
      <w:tr>
        <w:trPr>
          <w:trHeight w:val="28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申购</w:t>
            </w:r>
            <w:r>
              <w:rPr>
                <w:rFonts w:ascii="方正黑体_GBK" w:eastAsia="方正黑体_GBK" w:hint="eastAsia"/>
                <w:caps w:val="0"/>
                <w:smallCaps w:val="0"/>
                <w:snapToGrid/>
                <w:vanish w:val="0"/>
                <w:color w:val="auto"/>
                <w:kern w:val="0"/>
                <w:sz w:val="18"/>
                <w:szCs w:val="18"/>
                <w:vertAlign w:val="baseline"/>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申购份额=确认申购金额/S。S为申购确认日理财产品单位净值（已扣除相关费用）。申购份额以去尾法保留两位小数。</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赎回金额=确认赎回份额×R。 R为赎回确认日理财产品单位净值（已扣除相关费用，赎回金额以去尾法保留两位小数）</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caps w:val="0"/>
                <w:smallCaps w:val="0"/>
                <w:snapToGrid/>
                <w:vanish w:val="0"/>
                <w:color w:val="auto"/>
                <w:kern w:val="0"/>
                <w:sz w:val="18"/>
                <w:szCs w:val="18"/>
                <w:vertAlign w:val="baseline"/>
              </w:rPr>
            </w:pPr>
            <w:r>
              <w:rPr>
                <w:rFonts w:ascii="方正黑体_GBK" w:eastAsia="方正黑体_GBK"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color w:val="000000"/>
                <w:sz w:val="18"/>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pPr>
              <w:spacing w:line="200" w:lineRule="exact"/>
            </w:pPr>
            <w:r>
              <w:rPr>
                <w:rFonts w:ascii="方正黑体_GBK" w:eastAsia="方正黑体_GBK" w:cs="宋体"/>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jc w:val="left"/>
            </w:pPr>
            <w:r>
              <w:rPr>
                <w:rFonts w:asci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pPr>
              <w:spacing w:line="200" w:lineRule="exact"/>
              <w:jc w:val="left"/>
            </w:pPr>
            <w:r>
              <w:rPr>
                <w:rFonts w:ascii="方正黑体_GBK" w:eastAsia="方正黑体_GBK" w:cs="宋体"/>
                <w:sz w:val="18"/>
                <w:szCs w:val="18"/>
              </w:rPr>
              <w:t>分红权益登记日指管理人确认投资者所持份额是否享受本次分红的日期。</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jc w:val="left"/>
            </w:pPr>
            <w:r>
              <w:rPr>
                <w:rFonts w:ascii="方正黑体_GBK" w:eastAsia="方正黑体_GBK" w:cs="宋体"/>
                <w:sz w:val="18"/>
                <w:szCs w:val="18"/>
              </w:rPr>
              <w:t>本理财产品募集的资金投资于以下金融资产和金融工具，包括但不限于：</w:t>
            </w:r>
          </w:p>
          <w:p>
            <w:pPr>
              <w:spacing w:line="200" w:lineRule="exact"/>
              <w:jc w:val="left"/>
            </w:pPr>
            <w:r>
              <w:rPr>
                <w:rFonts w:ascii="方正黑体_GBK" w:eastAsia="方正黑体_GBK" w:cs="宋体"/>
                <w:sz w:val="18"/>
                <w:szCs w:val="18"/>
              </w:rPr>
              <w:t>1.现金、银行存款、银行承兑汇票、同业存款、大额存单、同业存单、债券回购、货币基金等货币市场工具；</w:t>
            </w:r>
          </w:p>
          <w:p>
            <w:pPr>
              <w:spacing w:line="200" w:lineRule="exact"/>
              <w:jc w:val="left"/>
            </w:pPr>
            <w:r>
              <w:rPr>
                <w:rFonts w:asci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spacing w:line="200" w:lineRule="exact"/>
              <w:jc w:val="left"/>
            </w:pPr>
            <w:r>
              <w:rPr>
                <w:rFonts w:asci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spacing w:line="200" w:lineRule="exact"/>
              <w:jc w:val="left"/>
            </w:pPr>
            <w:r>
              <w:rPr>
                <w:rFonts w:ascii="方正黑体_GBK" w:eastAsia="方正黑体_GBK" w:cs="宋体"/>
                <w:sz w:val="18"/>
                <w:szCs w:val="18"/>
              </w:rPr>
              <w:t>4.投资范围为上述资产的信托计划、资产管理计划等资产管理产品；</w:t>
            </w:r>
          </w:p>
          <w:p>
            <w:pPr>
              <w:spacing w:line="200" w:lineRule="exact"/>
              <w:jc w:val="left"/>
            </w:pPr>
            <w:r>
              <w:rPr>
                <w:rFonts w:ascii="方正黑体_GBK" w:eastAsia="方正黑体_GBK" w:cs="宋体"/>
                <w:sz w:val="18"/>
                <w:szCs w:val="18"/>
              </w:rPr>
              <w:t>5.法律法规或监管机构允许投资的符合本理财产品投资性质的其他金融工具；</w:t>
            </w:r>
          </w:p>
          <w:p>
            <w:pPr>
              <w:spacing w:line="200" w:lineRule="exact"/>
              <w:jc w:val="left"/>
            </w:pPr>
            <w:r>
              <w:rPr>
                <w:rFonts w:asci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本理财产品投资于固定收益类资产的比例不低于80%,投资于非标准化债权类资产的比例不高于50%。</w:t>
            </w:r>
          </w:p>
          <w:p>
            <w:pPr>
              <w:spacing w:line="200" w:lineRule="exact"/>
            </w:pPr>
            <w:r>
              <w:rPr>
                <w:rFonts w:asci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b/>
                <w:sz w:val="18"/>
                <w:szCs w:val="18"/>
              </w:rPr>
              <w:t>本理财产品拟投资以下备选非标准化债权类资产：</w:t>
            </w:r>
          </w:p>
          <w:p>
            <w:pPr>
              <w:spacing w:line="200" w:lineRule="exact"/>
            </w:pPr>
            <w:r>
              <w:rPr>
                <w:rFonts w:ascii="方正黑体_GBK" w:eastAsia="方正黑体_GBK" w:cs="宋体"/>
                <w:sz w:val="18"/>
                <w:szCs w:val="18"/>
              </w:rPr>
              <w:t>1.信托贷款：资产类型为信托公司设立的固定收益类信托计划，底层资产为向融资人南京江北新区科技投资集团有限公司发放信托贷款，资产到期日不超过理财产品最近一次开放日。融资人评级为AA（评级机构为中证鹏元资信评估股份有限公司），融资人第一大股东为南京扬子国资投资集团有限责任公司，持股比例为73.36%。经营范围包括：技术咨询及售后服务;科学技术成果转让;技术研发机构办公用房的出租及物业管理;开发、生产计算机软件、硬件;开发智能仪器仪表、网络安全设备、应用系统;停车场管理;住宿服务;餐饮服务;会务服务;酒店管理与酒店管理咨询;计算机系统集成;预包装食品零售;承接服务外包业务;销售自产产品;日用百货出售;图书服装销售;花卉苗木销售;公共技术平台运营与管理、基因科技、生物科技领域内的技术开发、技术咨询、技术服务、技术转让;仪器仪表、试剂耗材、计算机软硬件及辅助设备销售和租赁服务;自营和代理各类商品和技术的进出口业务;房屋租赁;会务会展、技术培训、咨询服务、检测服务。创业投资;投资管理服务、投资管理咨询;增值电信业务。(依法须经批准的项目,经相关部门批准后方可开展经营活动)</w:t>
            </w:r>
          </w:p>
          <w:p>
            <w:pPr>
              <w:spacing w:line="200" w:lineRule="exact"/>
            </w:pPr>
            <w:r>
              <w:rPr>
                <w:rFonts w:ascii="方正黑体_GBK" w:eastAsia="方正黑体_GBK" w:cs="宋体"/>
                <w:sz w:val="18"/>
                <w:szCs w:val="18"/>
              </w:rPr>
              <w:t>2.信托贷款：资产类型为信托公司设立的固定收益类信托计划，底层资产为向融资人邳州市产业投资控股集团有限公司发放信托贷款，资产到期日不超过理财产品最近一次开放日。融资人评级为AA+（评级机构为东方金诚国际信用评估有限公司），融资人第一大股东为邳州市财政局，持股比例为100%。经营范围包括：许可项目:建筑物拆除作业(爆破作业除外);发电业务、输电业务、供(配)电业务;水利工程建设监理;城市建筑垃圾处置(清运);建设工程施工;住宅室内装饰装修(依法须经批准的项目,经相关部门批准后方可开展经营活动,具体经营项目以审批结果为准)一般项目:土地整治服务;融资咨询服务;规划设计管理;市政设施管理;城市绿化管理;园区管理服务;养老服务;与农业生产经营有关的技术、信息、设施建设运营等服务;园林绿化工程施工;水污染治理;热力生产和供应(除依法须经批准的项目外,凭营业执照依法自主开展经营活动)</w:t>
            </w:r>
          </w:p>
          <w:p>
            <w:pPr>
              <w:spacing w:line="200" w:lineRule="exact"/>
            </w:pPr>
            <w:r>
              <w:rPr>
                <w:rFonts w:ascii="方正黑体_GBK" w:eastAsia="方正黑体_GBK" w:cs="宋体"/>
                <w:sz w:val="18"/>
                <w:szCs w:val="18"/>
              </w:rPr>
              <w:t>3.信托贷款：资产类型为信托公司设立的固定收益类信托计划，底层资产为向融资人南京江宁滨江物流有限公司发放信托贷款，资产到期日不超过理财产品最近一次开放日。融资人评级为AA+（评级机构为中证鹏元资信评估股份有限公司），融资人第一大股东为南京江宁滨江经济开发区管理委员会，持股比例为60%。经营范围包括：物流业相关基础设施建设及相关服务；仓储服务、货运代理（代办）、货运配载、搬运装卸、货物仓储设施的租赁；承办海运、陆运、空运、快递进出口货物的国际运输代理业务（国际船舶运输及国际班轮运输代理除外）；物流咨询；经济信息咨询；物业管理；金属制品加工；金属材料及制品、建筑材料、电器机械销售；其他建筑工程施工及服务；自营和代理各类商品和技术的进出口业务（国家限定公司经营或禁止进出口的商品和技术除外）。（依法须经批准的项目，经相关部门批准后方可开展经营活动）</w:t>
            </w:r>
          </w:p>
          <w:p>
            <w:pPr>
              <w:spacing w:line="200" w:lineRule="exact"/>
            </w:pPr>
            <w:r>
              <w:rPr>
                <w:rFonts w:ascii="方正黑体_GBK" w:eastAsia="方正黑体_GBK" w:cs="宋体"/>
                <w:sz w:val="18"/>
                <w:szCs w:val="18"/>
              </w:rPr>
              <w:t>4.信托贷款：资产类型为信托公司设立的固定收益类信托计划，底层资产为向融资人南京创启科技发展有限公司发放信托贷款，资产到期日不超过理财产品最近一次开放日。融资人评级为AA-（评级机构为东方金诚国际信用评估有限公司），融资人第一大股东为南京吉山国有资产运营集团有限公司，持股比例为51%。经营范围包括：高新技术企业孵化；建筑安装工程施工；房屋租赁；物业管理；停车场服务；企业管理服务；会务服务；展览展示服务。（依法须经批准的项目，经相关部门批准后方可开展经营活动） 一般项目：新材料技术研发；软件开发；园区管理服务；电子元器件制造；电子元器件批发；电子元器件零售（除依法须经批准的项目外，凭营业执照依法自主开展经营活动）</w:t>
            </w:r>
          </w:p>
          <w:p>
            <w:pPr>
              <w:spacing w:line="200" w:lineRule="exact"/>
            </w:pPr>
            <w:r>
              <w:rPr>
                <w:rFonts w:ascii="方正黑体_GBK" w:eastAsia="方正黑体_GBK" w:cs="宋体"/>
                <w:sz w:val="18"/>
                <w:szCs w:val="18"/>
              </w:rPr>
              <w:t>5.信托贷款：资产类型为信托公司设立的固定收益类信托计划，底层资产为向融资人宜兴市科产城人融合建设发展有限公司发放信托贷款，资产到期日不超过理财产品最近一次开放日。融资人无外部评级，融资人第一大股东为宜兴市人民政府国有资产监督管理办公室，持股比例为50%。经营范围包括：许可项目：建设工程施工；建设工程设计；建筑物拆除作业(爆破作业除外)；房屋建筑和市政基础设施项目工程总承包；旅游业务；道路货物运输(不含危险货物)；电线、电缆制造；职业中介活动(依法须经批准的项目，经相关部门批准后方可开展经营活动，具体经营项目以审批结果为准)一般项目：园林绿化工程施工；房屋拆迁服务；土地整治服务；股权投资；以自有资金从事投资活动；自有资金投资的资产管理服务；物业管理；工程管理服务；企业管理；供应链管理服务；公共事业管理服务；园区管理服务；土地使用权租赁；住房租赁；非居住房地产租赁；建筑材料销售；建筑装饰材料销售；建筑用石加工；社会经济咨询服务；融资咨询服务；财务咨询；技术服务、技术开发、技术咨询、技术交流、技术转让、技术推广；信息咨询服务(不含许可类信息咨询服务)；信息技术咨询服务；企业管理咨询；劳务服务(不含劳务派遣)；软件开发；网络技术服务；信息系统集成服务；计算机系统服务；数据处理和存储支持服务；科技推广和应用服务；物联网技术服务；大数据服务；互联网数据服务；数据处理服务；普通货物仓储服务(不含危险化学品等需许可审批的项目)；装卸搬运；货物进出口；技术进出口；进出口代理；锻件及粉末冶金制品销售；高性能有色金属及合金材料销售；金属材料销售；有色金属合金销售；有色金属压延加工；金属丝绳及其制品制造；金属丝绳及其制品销售；五金产品研发；五金产品制造；五金产品零售；电线、电缆经营；通用设备制造(不含特种设备制造)；机械设备销售；专用设备修理；环境保护专用设备销售；花卉种植；树木种植经营；医学研究和试验发展；市场营销策划；日用百货销售；人力资源服务(不含职业中介活动、劳务派遣服务)(除依法须经批准的项目外，凭营业执照依法自主开展经营活动)</w:t>
            </w:r>
          </w:p>
          <w:p>
            <w:pPr>
              <w:spacing w:line="200" w:lineRule="exact"/>
            </w:pPr>
            <w:r>
              <w:rPr>
                <w:rFonts w:ascii="方正黑体_GBK" w:eastAsia="方正黑体_GBK" w:cs="宋体"/>
                <w:sz w:val="18"/>
                <w:szCs w:val="18"/>
              </w:rPr>
              <w:t>6.信托贷款：资产类型为信托公司设立的固定收益类信托计划，底层资产为向融资人宜兴市阳羡新农村建设有限公司发放信托贷款，资产到期日不超过理财产品最近一次开放日。融资人无外部评级，融资人第一大股东为宜兴市城市发展投资有限公司，持股比例为100%。经营范围包括：许可项目：建设工程施工；建设工程设计；住宅室内装饰装修；建筑物拆除作业(爆破作业除外)(依法须经批准的项目，经相关部门批准后方可开展经营活动，具体经营项目以审批结果为准) 一般项目：工程管理服务；土地整治服务；自有资金投资的资产管理服务；供应链管理服务；公共事业管理服务；园区管理服务；技术服务、技术开发、技术咨询、技术交流、技术转让、技术推广；土地使用权租赁；住宅水电安装维护服务；劳务服务(不含劳务派遣)；土石方工程施工；园林绿化工程施工；物业管理；规划设计管理；城市绿化管理；花卉种植；花卉绿植租借与代管理；礼品花卉销售；树木种植经营；建筑材料销售；建筑装饰材料销售；金属材料销售；环境保护专用设备销售；机械设备销售；日用百货销售；住房租赁；非居住房地产租赁(除依法须经批准的项目外，凭营业执照依法自主开展经营活动)</w:t>
            </w:r>
          </w:p>
          <w:p>
            <w:pPr>
              <w:spacing w:line="200" w:lineRule="exact"/>
            </w:pPr>
            <w:r>
              <w:rPr>
                <w:rFonts w:ascii="方正黑体_GBK" w:eastAsia="方正黑体_GBK" w:cs="宋体"/>
                <w:sz w:val="18"/>
                <w:szCs w:val="18"/>
              </w:rPr>
              <w:t>7.信托贷款：资产类型为信托公司设立的固定收益类信托计划，底层资产为向融资人镇江铁路投资发展有限公司发放信托贷款，资产到期日不超过理财产品最近一次开放日。融资人无外部评级，融资人第一大股东为镇江市人民政府国有资产监督管理委员会，持股比例为100%。经营范围包括：铁路、城际交通工程项目的投资、运营管理；铁路、城际交通客运项目、仓储项目以及沿线土地综合资源开发；房地产业、现代服务业的投资与管理；国内贸易，自营和代理各类商品及技术的进出口业务；资产投资管理；金属材料、建筑材料、装饰材料(危险品除外)、化工产品及原料(危险品除外)、炉料、机械产品、电器产品、金属制品、日用百货、办公用品的批发和零售；仓储服务(危险品除外)，普通道路货物运输；金属材料加工及货物配送。(依法须经批准的项目，经相关部门批准后方可开展经营活动)</w:t>
            </w:r>
          </w:p>
          <w:p>
            <w:pPr>
              <w:spacing w:line="200" w:lineRule="exact"/>
            </w:pPr>
            <w:r>
              <w:rPr>
                <w:rFonts w:ascii="方正黑体_GBK" w:eastAsia="方正黑体_GBK" w:cs="宋体"/>
                <w:sz w:val="18"/>
                <w:szCs w:val="18"/>
              </w:rPr>
              <w:t>8.信托贷款：资产类型为信托公司设立的固定收益类信托计划，底层资产为向融资人盐城市海兴集团有限公司发放信托贷款，资产到期日不超过理财产品最近一次开放日。融资人评级为AA+（评级机构为上海新世纪资信评估投资服务有限公司），融资人第一大股东为盐城市海兴控股集团有限公司，持股比例为100%。经营范围包括：实业投资;政府授权的沿海滩涂资源开发利用、国有资产经营与管理;土地开发经营;投资服务;信息咨询;沿海城市基础设施建设;物业服务。(以上项目有专项审批规定的项目除外)。(依法须经批准的项目,经相关部门批准后方可开展经营活动)许可项目:房地产开发经营;各类工程建设活动;旅游业务;港口经营;道路货物运输(不含危险货物)(依法须经批准的项目,经相关部门批准后方可开展经营活动,具体经营项目以审批结果为准)一般项目:住房租赁;园区管理服务;普通货物仓储服务(不含危险化学品等需许可审批的项目);建筑材料销售;金属材料销售;以自有资金从事投资活动;市政设施管理(除依法须经批准的项目外,凭营业执照依法自主开展经营活动)</w:t>
            </w:r>
          </w:p>
          <w:p>
            <w:pPr>
              <w:spacing w:line="200" w:lineRule="exact"/>
            </w:pPr>
            <w:r>
              <w:rPr>
                <w:rFonts w:ascii="方正黑体_GBK" w:eastAsia="方正黑体_GBK" w:cs="宋体"/>
                <w:sz w:val="18"/>
                <w:szCs w:val="18"/>
              </w:rPr>
              <w:t>9.信托贷款：资产类型为信托公司设立的固定收益类信托计划，底层资产为向融资人盐城市盐都区国有资产控股集团有限公司发放信托贷款，资产到期日不超过理财产品最近一次开放日。融资人无外部评级，融资人第一大股东为盐城市盐都区政府国有资产监督管理办公室，持股比例为100%。经营范围包括：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p>
            <w:pPr>
              <w:spacing w:line="200" w:lineRule="exact"/>
            </w:pPr>
            <w:r>
              <w:rPr>
                <w:rFonts w:ascii="方正黑体_GBK" w:eastAsia="方正黑体_GBK" w:cs="宋体"/>
                <w:sz w:val="18"/>
                <w:szCs w:val="18"/>
              </w:rPr>
              <w:t>10.信托贷款：资产类型为信托公司设立的固定收益类信托计划，底层资产为向融资人盐城市东亭产业发展集团有限公司发放信托贷款，资产到期日不超过理财产品最近一次开放日。融资人无外部评级，融资人第一大股东为盐城市人民政府，持股比例为100%。经营范围包括：许可项目：建设工程施工(依法须经批准的项目，经相关部门批准后方可开展经营活动，具体经营项目以审批结果为准)一般项目：土地整治服务；市政设施管理；自然生态系统保护管理；生态保护区管理服务；生态恢复及生态保护服务；以自有资金从事投资活动；自有资金投资的资产管理服务；股权投资；科技推广和应用服务；信息咨询服务(不含许可类信息咨询服务)；建筑用钢筋产品销售；树木种植经营；林业产品销售；谷物种植；蔬菜种植；水果种植；食用农产品批发；非居住房地产租赁(除依法须经批准的项目外，凭营业执照依法自主开展经营活动)</w:t>
            </w:r>
          </w:p>
          <w:p>
            <w:pPr>
              <w:spacing w:line="200" w:lineRule="exact"/>
            </w:pPr>
            <w:r>
              <w:rPr>
                <w:rFonts w:ascii="方正黑体_GBK" w:eastAsia="方正黑体_GBK" w:cs="宋体"/>
                <w:sz w:val="18"/>
                <w:szCs w:val="18"/>
              </w:rPr>
              <w:t>11.信托贷款：资产类型为信托公司设立的固定收益类信托计划，底层资产为向融资人如东县民泰城乡建设工程有限公司发放信托贷款，资产到期日不超过理财产品最近一次开放日。融资人评级为AA（评级机构为东方金诚国际信用评估有限公司），融资人第一大股东为如东县金鑫交通工程建设投资有限公司，持股比例为100%。经营范围包括：房地产开发经营;为城市基础建设投资、开发、服务;房屋建筑工程、市政公用工程、公路工程、建筑智能化工程、园林绿化工程、水利工程施工;房屋征收劳务服务;房屋拆除;供应生活饮用水;自来水管网建设、安装、维护;污水处理设施、环保基础设施投资建设;苗木种植;自有房屋租赁服务;建材销售;水利工程投资;水利基础设施建设;地下综合管廊规划、投资、建设、运营、维护、咨询及项目管理。(依法须批准的项目,经相关部门批准后方可开展经营活动)</w:t>
            </w:r>
          </w:p>
          <w:p>
            <w:pPr>
              <w:spacing w:line="200" w:lineRule="exact"/>
            </w:pPr>
            <w:r>
              <w:rPr>
                <w:rFonts w:ascii="方正黑体_GBK" w:eastAsia="方正黑体_GBK" w:cs="宋体"/>
                <w:sz w:val="18"/>
                <w:szCs w:val="18"/>
              </w:rPr>
              <w:t>12.信托贷款：资产类型为信托公司设立的固定收益类信托计划，底层资产为向融资人富皋万泰集团有限公司发放信托贷款，资产到期日不超过理财产品最近一次开放日。融资人评级为AA+（评级机构为联合资信评估股份有限公司），融资人第一大股东为如皋市人民政府，持股比例为100%。经营范围包括：实业投资;投资管理;资产管理;城市基础设施建设;工程管理服务;房地产开发经营;房屋租赁;物业管理;土地整理服务;棚户区改造。(依法须经批准的项目,经相关部门批准后方可开展经营活动)</w:t>
            </w:r>
          </w:p>
          <w:p>
            <w:pPr>
              <w:spacing w:line="200" w:lineRule="exact"/>
            </w:pPr>
            <w:r>
              <w:rPr>
                <w:rFonts w:ascii="方正黑体_GBK" w:eastAsia="方正黑体_GBK" w:cs="宋体"/>
                <w:sz w:val="18"/>
                <w:szCs w:val="18"/>
              </w:rPr>
              <w:t>13.信托贷款：资产类型为信托公司设立的固定收益类信托计划，底层资产为向融资人江苏武进绿色建筑产业投资有限公司发放信托贷款，资产到期日不超过理财产品最近一次开放日。融资人评级为AA（评级机构为上海新世纪资信评估投资服务有限公司），融资人第一大股东为常州市武进建设资产经营有限公司，持股比例为100%。经营范围包括：绿色建筑产业投资;土地整理;基础设施开发;绿色建材与环保设备研发、销售;节能改造工程施工;太阳能光伏发电;合同能源管理;绿色科技服务;会展服务。(依法须经批准的项目,经相关部门批准后方可开展经营活动)</w:t>
            </w:r>
          </w:p>
          <w:p>
            <w:pPr>
              <w:spacing w:line="200" w:lineRule="exact"/>
            </w:pPr>
            <w:r>
              <w:rPr>
                <w:rFonts w:ascii="方正黑体_GBK" w:eastAsia="方正黑体_GBK" w:cs="宋体"/>
                <w:sz w:val="18"/>
                <w:szCs w:val="18"/>
              </w:rPr>
              <w:t>14.信托贷款：资产类型为信托公司设立的固定收益类信托计划，底层资产为向融资人泰州市古城建设投资有限公司发放信托贷款，资产到期日不超过理财产品最近一次开放日。融资人无外部评级，融资人第一大股东为泰州海陵城市发展集团有限公司，持股比例为100%。经营范围包括：建设项目投资、管理，历史文化街区修缮、改造、重建，房屋租赁，物业管理，房地产开发经营，城市基础设施建设工程、园林绿化工程施工，建筑材料销售(不仓储)。(依法须经批准的项目，经相关部门批准后方可开展经营活动)&gt;&gt;##许可项目：测绘服务；水产养殖；建设工程施工；文物保护工程施工；住宅室内装饰装修；建筑物拆除作业(爆破作业除外)；住宿服务；水利工程建设监理(依法须经批准的项目，经相关部门批准后方可开展经营活动，具体经营项目以审批结果为准)一般项目：水产品批发；蔬菜种植；农副产品销售；谷物种植；房屋拆迁服务；土地整治服务；公园、景区小型设施娱乐活动(除依法须经批准的项目外，凭营业执照依法自主开展经营活动)</w:t>
            </w:r>
          </w:p>
          <w:p>
            <w:pPr>
              <w:spacing w:line="200" w:lineRule="exact"/>
            </w:pPr>
            <w:r>
              <w:rPr>
                <w:rFonts w:ascii="方正黑体_GBK" w:eastAsia="方正黑体_GBK" w:cs="宋体"/>
                <w:sz w:val="18"/>
                <w:szCs w:val="18"/>
              </w:rPr>
              <w:t>15.信托贷款：资产类型为信托公司设立的固定收益类信托计划，底层资产为向融资人泰州市泰政交通投资有限公司发放信托贷款，资产到期日不超过理财产品最近一次开放日。融资人无外部评级，融资人第一大股东为泰州市交通产业集团有限公司，持股比例为100%。经营范围包括：交通基础设施建设、投资、开发、经营管理；房产经纪、物业管理(凭资质证书经营)。房地产开发经营。(依法须经批准的项目，经相关部门批准后方可开展经营活动)</w:t>
            </w:r>
          </w:p>
          <w:p>
            <w:pPr>
              <w:spacing w:line="200" w:lineRule="exact"/>
            </w:pPr>
            <w:r>
              <w:rPr>
                <w:rFonts w:ascii="方正黑体_GBK" w:eastAsia="方正黑体_GBK" w:cs="宋体"/>
                <w:sz w:val="18"/>
                <w:szCs w:val="18"/>
              </w:rPr>
              <w:t>16.信托贷款：资产类型为信托公司设立的固定收益类信托计划，底层资产为向融资人泰州市城市建设投资控股有限公司发放信托贷款，资产到期日不超过理财产品最近一次开放日。融资人评级为AA+（评级机构为上海新世纪资信评估投资服务有限公司），融资人第一大股东为泰州市城市建设投资集团有限公司，持股比例为100%。经营范围包括：许可项目:建设工程施工;餐饮服务;烟草制品零售;出版物零售;食品销售(依法须经批准的项目,经相关部门批准后方可开展经营活动,具体经营项目以审批结果为准)一般项目:以自有资金从事投资活动;股权投资;物业管理;商业综合体管理服务;建筑材料销售;住房租赁;非居住房地产租赁;机械设备租赁;新鲜水果零售;打字复印;润滑油销售;石油制品销售(不含危险化学品);化工产品销售(不含许可类化工产品);煤炭及制品销售(禁燃区内不得含有原煤、散煤、煤矸石、煤泥、煤粉、水煤浆、型煤、焦炭、兰炭等)(除依法须经批准的项目外,凭营业执照依法自主开展经营活动)</w:t>
            </w:r>
          </w:p>
          <w:p>
            <w:pPr>
              <w:spacing w:line="200" w:lineRule="exact"/>
            </w:pPr>
            <w:r>
              <w:rPr>
                <w:rFonts w:ascii="方正黑体_GBK" w:eastAsia="方正黑体_GBK" w:cs="宋体"/>
                <w:sz w:val="18"/>
                <w:szCs w:val="18"/>
              </w:rPr>
              <w:t>17.信托贷款：资产类型为信托公司设立的固定收益类信托计划，底层资产为向融资人泰州东方中国医药城控股集团有限公司发放信托贷款，资产到期日不超过理财产品最近一次开放日。融资人评级为AA（评级机构为上海新世纪资信评估投资服务有限公司），融资人第一大股东为泰州医药城控股集团有限公司，持股比例为96.21%。经营范围包括：市场管理,医药会展服务,房屋、机械设备租赁,对外投资,医药技术开发服务,疫苗、生物药、化学药、医疗器械的技术研发(不含药品、医疗器械的生产销售),经济信息咨询服务,物业管理,从事授权范围内的国有资产的经营、资本运作,房屋建筑工程施工,城市基础设施建设,市政工程施工,土地整理,城市防洪工程建设的投资、建设、管理、维护,水土资源开发利用,水利工程设备物资采购、供应。(依法须经批准的项目,经相关部门批准后方可开展经营活动)许可项目:发电业务、输电业务、供(配)电业务;供电业务;输电、供电、受电电力设施的安装、维修和试验(依法须经批准的项目,经相关部门批准后方可开展经营活动,具体经营项目以审批结果为准)一般项目:金属材料销售;新型金属功能材料销售;有色金属合金销售;金属结构销售;建筑用钢筋产品销售;建筑用金属配件销售;房屋拆迁服务(除依法须经批准的项目外,凭营业执照依法自主开展经营活动)</w:t>
            </w:r>
          </w:p>
          <w:p>
            <w:pPr>
              <w:spacing w:line="200" w:lineRule="exact"/>
              <w:jc w:val="left"/>
            </w:pPr>
            <w:r>
              <w:rPr>
                <w:rFonts w:ascii="方正黑体_GBK" w:eastAsia="方正黑体_GBK" w:cs="宋体"/>
                <w:sz w:val="18"/>
                <w:szCs w:val="18"/>
              </w:rPr>
              <w:t>18.  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pPr>
              <w:spacing w:line="200" w:lineRule="exact"/>
              <w:jc w:val="left"/>
            </w:pPr>
            <w:r>
              <w:rPr>
                <w:rFonts w:ascii="方正黑体_GBK" w:eastAsia="方正黑体_GBK" w:cs="宋体"/>
                <w:sz w:val="18"/>
                <w:szCs w:val="18"/>
              </w:rPr>
              <w:t>19.  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pPr>
              <w:spacing w:line="200" w:lineRule="exact"/>
              <w:jc w:val="left"/>
            </w:pPr>
            <w:r>
              <w:rPr>
                <w:rFonts w:ascii="方正黑体_GBK" w:eastAsia="方正黑体_GBK" w:cs="宋体"/>
                <w:sz w:val="18"/>
                <w:szCs w:val="18"/>
              </w:rPr>
              <w:t>20.  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pPr>
              <w:spacing w:line="200" w:lineRule="exact"/>
              <w:jc w:val="left"/>
            </w:pPr>
            <w:r>
              <w:rPr>
                <w:rFonts w:ascii="方正黑体_GBK" w:eastAsia="方正黑体_GBK" w:cs="宋体"/>
                <w:sz w:val="18"/>
                <w:szCs w:val="18"/>
              </w:rPr>
              <w:t>21.  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pPr>
              <w:spacing w:line="200" w:lineRule="exact"/>
              <w:jc w:val="left"/>
            </w:pPr>
            <w:r>
              <w:rPr>
                <w:rFonts w:ascii="方正黑体_GBK" w:eastAsia="方正黑体_GBK" w:cs="宋体"/>
                <w:sz w:val="18"/>
                <w:szCs w:val="18"/>
              </w:rPr>
              <w:t>22.  资产支持计划：资产类型为保险资产管理公司设立的资产支持计划，底层资产为抖音及信托公司双重审核、信托公司自主风控后发放的“放心借”贷款资产，资产到期日不超过理财产品最近一次开放日，仅投资优先级。</w:t>
            </w:r>
          </w:p>
          <w:p>
            <w:pPr>
              <w:spacing w:line="200" w:lineRule="exact"/>
              <w:jc w:val="left"/>
            </w:pPr>
            <w:r>
              <w:rPr>
                <w:rFonts w:ascii="方正黑体_GBK" w:eastAsia="方正黑体_GBK" w:cs="宋体"/>
                <w:sz w:val="18"/>
                <w:szCs w:val="18"/>
              </w:rPr>
              <w:t>23.  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pPr>
              <w:spacing w:line="200" w:lineRule="exact"/>
              <w:jc w:val="left"/>
            </w:pPr>
            <w:r>
              <w:rPr>
                <w:rFonts w:ascii="方正黑体_GBK" w:eastAsia="方正黑体_GBK" w:cs="宋体"/>
                <w:sz w:val="18"/>
                <w:szCs w:val="18"/>
              </w:rPr>
              <w:t>24.  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pPr>
              <w:spacing w:line="200" w:lineRule="exact"/>
              <w:jc w:val="left"/>
            </w:pPr>
            <w:r>
              <w:rPr>
                <w:rFonts w:ascii="方正黑体_GBK" w:eastAsia="方正黑体_GBK" w:cs="宋体"/>
                <w:sz w:val="18"/>
                <w:szCs w:val="18"/>
              </w:rPr>
              <w:t>25.  信托贷款：资产类型为信托公司设立的资金信托计划，底层资产为京东及信托公司双重审核、信托公司自主风控后发放的“白条”个人消费贷款债权，资产到期日不超过理财产品最近一次开放日。</w:t>
            </w:r>
          </w:p>
          <w:p>
            <w:pPr>
              <w:spacing w:line="200" w:lineRule="exact"/>
              <w:jc w:val="left"/>
            </w:pPr>
            <w:r>
              <w:rPr>
                <w:rFonts w:ascii="方正黑体_GBK" w:eastAsia="方正黑体_GBK" w:cs="宋体"/>
                <w:sz w:val="18"/>
                <w:szCs w:val="18"/>
              </w:rPr>
              <w:t>26.  信托贷款：资产类型为信托公司设立的资金信托计划，底层资产为京东及信托公司双重审核、信托公司自主风控后发放的“金条”个人消费贷款债权，资产到期日不超过理财产品最近一次开放日。</w:t>
            </w:r>
          </w:p>
          <w:p>
            <w:pPr>
              <w:spacing w:line="200" w:lineRule="exact"/>
              <w:jc w:val="left"/>
            </w:pPr>
            <w:r>
              <w:rPr>
                <w:rFonts w:ascii="方正黑体_GBK" w:eastAsia="方正黑体_GBK" w:cs="宋体"/>
                <w:sz w:val="18"/>
                <w:szCs w:val="18"/>
              </w:rPr>
              <w:t>27.  信托贷款：资产类型为信托公司设立的资金信托计划，底层资产为京东及信托公司双重审核、信托公司自主风控后发放的“白条取现”个人消费贷款债权，资产到期日不超过理财产品最近一次开放日。</w:t>
            </w:r>
          </w:p>
          <w:p>
            <w:pPr>
              <w:spacing w:line="200" w:lineRule="exact"/>
              <w:jc w:val="left"/>
            </w:pPr>
            <w:r>
              <w:rPr>
                <w:rFonts w:ascii="方正黑体_GBK" w:eastAsia="方正黑体_GBK" w:cs="宋体"/>
                <w:sz w:val="18"/>
                <w:szCs w:val="18"/>
              </w:rPr>
              <w:t>28.  信托贷款：资产类型为信托公司设立的资金信托计划，底层资产为抖音及信托公司双重审核、信托公司自主风控后发放的“月付”个人消费贷款债权，资产到期日不超过理财产品最近一次开放日。</w:t>
            </w:r>
          </w:p>
          <w:p>
            <w:pPr>
              <w:spacing w:line="200" w:lineRule="exact"/>
              <w:jc w:val="left"/>
            </w:pPr>
            <w:r>
              <w:rPr>
                <w:rFonts w:ascii="方正黑体_GBK" w:eastAsia="方正黑体_GBK" w:cs="宋体"/>
                <w:sz w:val="18"/>
                <w:szCs w:val="18"/>
              </w:rPr>
              <w:t>29.  信托贷款：资产类型为信托公司设立的资金信托计划，底层资产为抖音及信托公司双重审核、信托公司自主风控后发放的“放心借”贷款资产，资产到期日不超过理财产品最近一次开放日。</w:t>
            </w:r>
          </w:p>
          <w:p>
            <w:pPr>
              <w:spacing w:line="200" w:lineRule="exact"/>
              <w:jc w:val="left"/>
            </w:pPr>
            <w:r>
              <w:rPr>
                <w:rFonts w:ascii="方正黑体_GBK" w:eastAsia="方正黑体_GBK" w:cs="宋体"/>
                <w:sz w:val="18"/>
                <w:szCs w:val="18"/>
              </w:rPr>
              <w:t>30.  信托贷款：资产类型为信托公司设立的资金信托计划，底层资产为蚂蚁及信托公司双重审核、信托公司自主风控后发放的“花呗”个人消费贷款债权，资产到期日不超过理财产品最近一次开放日。</w:t>
            </w:r>
          </w:p>
          <w:p>
            <w:pPr>
              <w:spacing w:line="200" w:lineRule="exact"/>
              <w:jc w:val="left"/>
            </w:pPr>
            <w:r>
              <w:rPr>
                <w:rFonts w:ascii="方正黑体_GBK" w:eastAsia="方正黑体_GBK" w:cs="宋体"/>
                <w:sz w:val="18"/>
                <w:szCs w:val="18"/>
              </w:rPr>
              <w:t>31.  信托贷款：资产类型为信托公司设立的资金信托计划，底层资产为蚂蚁及信托公司双重审核、信托公司自主风控后发放的“借呗”个人消费贷款债权，资产到期日不超过理财产品最近一次开放日。</w:t>
            </w:r>
          </w:p>
          <w:p>
            <w:pPr>
              <w:spacing w:line="200" w:lineRule="exact"/>
              <w:jc w:val="left"/>
            </w:pPr>
            <w:r>
              <w:rPr>
                <w:rFonts w:ascii="方正黑体_GBK" w:eastAsia="方正黑体_GBK" w:cs="宋体"/>
                <w:sz w:val="18"/>
                <w:szCs w:val="18"/>
              </w:rPr>
              <w:t>32.  信托贷款：资产类型为信托公司设立的资金信托计划，底层资产为微信及信托公司双重审核、信托公司自主风控后发放的“分付”个人消费贷款债权，资产到期日不超过理财产品最近一次开放日。</w:t>
            </w:r>
          </w:p>
          <w:p>
            <w:pPr>
              <w:spacing w:line="200" w:lineRule="exact"/>
              <w:jc w:val="left"/>
            </w:pPr>
            <w:r>
              <w:rPr>
                <w:rFonts w:ascii="方正黑体_GBK" w:eastAsia="方正黑体_GBK" w:cs="宋体"/>
                <w:sz w:val="18"/>
                <w:szCs w:val="18"/>
              </w:rPr>
              <w:t>33.  券商收益凭证：资产类型为证券公司发行的收益凭证，资产到期日不超过理财产品最近一次开放日，融资人为华宝证券股份有限公司，融资人评级为AA+（评级机构为联合资信评估股份有限公司）。</w:t>
            </w:r>
          </w:p>
          <w:p>
            <w:pPr>
              <w:spacing w:line="200" w:lineRule="exact"/>
              <w:jc w:val="left"/>
            </w:pPr>
            <w:r>
              <w:rPr>
                <w:rFonts w:ascii="方正黑体_GBK" w:eastAsia="方正黑体_GBK" w:cs="宋体"/>
                <w:sz w:val="18"/>
                <w:szCs w:val="18"/>
              </w:rPr>
              <w:t>34.  券商收益凭证：资产类型为证券公司发行的收益凭证，资产到期日不超过理财产品最近一次开放日，融资人为上海证券有限责任公司，融资人评级为AAA（评级机构为上海新世纪资信评估投资服务有限公司）。</w:t>
            </w:r>
          </w:p>
          <w:p>
            <w:pPr>
              <w:spacing w:line="200" w:lineRule="exact"/>
              <w:jc w:val="left"/>
            </w:pPr>
            <w:r>
              <w:rPr>
                <w:rFonts w:ascii="方正黑体_GBK" w:eastAsia="方正黑体_GBK" w:cs="宋体"/>
                <w:sz w:val="18"/>
                <w:szCs w:val="18"/>
              </w:rPr>
              <w:t>35.  券商收益凭证：资产类型为证券公司发行的收益凭证，资产到期日不超过理财产品最近一次开放日，融资人为山西证券股份有限公司，融资人评级为AAA（评级机构为中诚信国际信用评级有限责任公司）。</w:t>
            </w:r>
          </w:p>
          <w:p>
            <w:pPr>
              <w:spacing w:line="200" w:lineRule="exact"/>
              <w:jc w:val="left"/>
            </w:pPr>
            <w:r>
              <w:rPr>
                <w:rFonts w:ascii="方正黑体_GBK" w:eastAsia="方正黑体_GBK" w:cs="宋体"/>
                <w:sz w:val="18"/>
                <w:szCs w:val="18"/>
              </w:rPr>
              <w:t>36.  券商收益凭证：资产类型为证券公司发行的收益凭证，资产到期日不超过理财产品最近一次开放日，融资人为中银国际证券股份有限公司，融资人评级为AAA（评级机构为中诚信国际信用评级有限责任公司）。</w:t>
            </w:r>
          </w:p>
          <w:p>
            <w:pPr>
              <w:spacing w:line="200" w:lineRule="exact"/>
              <w:jc w:val="left"/>
            </w:pPr>
            <w:r>
              <w:rPr>
                <w:rFonts w:ascii="方正黑体_GBK" w:eastAsia="方正黑体_GBK" w:cs="宋体"/>
                <w:sz w:val="18"/>
                <w:szCs w:val="18"/>
              </w:rPr>
              <w:t>37.  券商收益凭证：资产类型为证券公司发行的收益凭证，资产到期日不超过理财产品最近一次开放日，融资人为首创证券股份有限公司，融资人评级为AAA（评级机构为中诚信国际信用评级有限责任公司）。</w:t>
            </w:r>
          </w:p>
          <w:p>
            <w:pPr>
              <w:spacing w:line="200" w:lineRule="exact"/>
              <w:jc w:val="left"/>
            </w:pPr>
            <w:r>
              <w:rPr>
                <w:rFonts w:ascii="方正黑体_GBK" w:eastAsia="方正黑体_GBK" w:cs="宋体"/>
                <w:sz w:val="18"/>
                <w:szCs w:val="18"/>
              </w:rPr>
              <w:t>38.  券商收益凭证：资产类型为证券公司发行的收益凭证，资产到期日不超过理财产品最近一次开放日，融资人为平安证券股份有限公司，融资人评级为AAA（评级机构为中诚信国际信用评级有限责任公司）。</w:t>
            </w:r>
          </w:p>
          <w:p>
            <w:pPr>
              <w:spacing w:line="200" w:lineRule="exact"/>
              <w:jc w:val="left"/>
            </w:pPr>
            <w:r>
              <w:rPr>
                <w:rFonts w:ascii="方正黑体_GBK" w:eastAsia="方正黑体_GBK" w:cs="宋体"/>
                <w:sz w:val="18"/>
                <w:szCs w:val="18"/>
              </w:rPr>
              <w:t>39.  同业借款：资产类型为南银理财有限责任公司向持牌金融机构发放的同业借款，资产到期日不超过理财产品最近一次开放日，融资人为中国中信金融资产管理股份有限公司。</w:t>
            </w:r>
          </w:p>
          <w:p>
            <w:pPr>
              <w:spacing w:line="200" w:lineRule="exact"/>
              <w:jc w:val="left"/>
            </w:pPr>
            <w:r>
              <w:rPr>
                <w:rFonts w:ascii="方正黑体_GBK" w:eastAsia="方正黑体_GBK" w:cs="宋体"/>
                <w:sz w:val="18"/>
                <w:szCs w:val="18"/>
              </w:rPr>
              <w:t>40.  同业借款：资产类型为南银理财有限责任公司向持牌金融机构发放的同业借款，资产到期日不超过理财产品最近一次开放日，融资人为中国东方资产管理股份有限公司。</w:t>
            </w:r>
          </w:p>
          <w:p>
            <w:pPr>
              <w:spacing w:line="200" w:lineRule="exact"/>
              <w:jc w:val="left"/>
            </w:pPr>
            <w:r>
              <w:rPr>
                <w:rFonts w:ascii="方正黑体_GBK" w:eastAsia="方正黑体_GBK" w:cs="宋体"/>
                <w:sz w:val="18"/>
                <w:szCs w:val="18"/>
              </w:rPr>
              <w:t>41.  同业借款：资产类型为南银理财有限责任公司向持牌金融机构发放的同业借款，资产到期日不超过理财产品最近一次开放日，融资人为中国信达资产管理股份有限公司。</w:t>
            </w:r>
          </w:p>
          <w:p>
            <w:pPr>
              <w:spacing w:line="200" w:lineRule="exact"/>
              <w:jc w:val="left"/>
            </w:pPr>
            <w:r>
              <w:rPr>
                <w:rFonts w:ascii="方正黑体_GBK" w:eastAsia="方正黑体_GBK" w:cs="宋体"/>
                <w:sz w:val="18"/>
                <w:szCs w:val="18"/>
              </w:rPr>
              <w:t>42.  同业借款：资产类型为南银理财有限责任公司向持牌金融机构发放的同业借款，资产到期日不超过理财产品最近一次开放日，融资人为中国长城资产管理股份有限公司。</w:t>
            </w:r>
          </w:p>
          <w:p>
            <w:pPr>
              <w:spacing w:line="200" w:lineRule="exact"/>
            </w:pPr>
            <w:r>
              <w:rPr>
                <w:rFonts w:ascii="方正黑体_GBK" w:eastAsia="方正黑体_GBK" w:cs="宋体"/>
                <w:b/>
                <w:sz w:val="18"/>
                <w:szCs w:val="18"/>
              </w:rPr>
              <w:t>以上资产剩余期限均不超过产品期限。</w:t>
            </w:r>
            <w:r>
              <w:rPr>
                <w:rFonts w:ascii="方正黑体_GBK" w:eastAsia="方正黑体_GBK"/>
              </w:rPr>
              <w:br/>
            </w:r>
            <w:r>
              <w:rPr>
                <w:rFonts w:asci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caps w:val="0"/>
                <w:smallCaps w:val="0"/>
                <w:snapToGrid/>
                <w:vanish w:val="0"/>
                <w:color w:val="auto"/>
                <w:kern w:val="0"/>
                <w:sz w:val="18"/>
                <w:szCs w:val="18"/>
                <w:vertAlign w:val="baseline"/>
              </w:rPr>
            </w:pPr>
            <w:r>
              <w:rPr>
                <w:rFonts w:ascii="方正黑体_GBK" w:eastAsia="方正黑体_GBK" w:cs="Times New Roman" w:hint="eastAsia"/>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A份额：业绩比较基准为年化2.45%-2.7% 。</w:t>
            </w:r>
          </w:p>
          <w:p>
            <w:pPr>
              <w:spacing w:line="200" w:lineRule="exact"/>
            </w:pPr>
            <w:r>
              <w:rPr>
                <w:rFonts w:ascii="方正黑体_GBK" w:eastAsia="方正黑体_GBK" w:cs="宋体"/>
                <w:sz w:val="18"/>
                <w:szCs w:val="18"/>
              </w:rPr>
              <w:t>F份额：业绩比较基准为年化2.55%-2.8% 。</w:t>
            </w:r>
          </w:p>
          <w:p>
            <w:pPr>
              <w:spacing w:line="200" w:lineRule="exact"/>
            </w:pPr>
            <w:r>
              <w:rPr>
                <w:rFonts w:ascii="方正黑体_GBK" w:eastAsia="方正黑体_GBK" w:cs="宋体"/>
                <w:sz w:val="18"/>
                <w:szCs w:val="18"/>
              </w:rPr>
              <w:t>A2份额：业绩比较基准为年化2.45%-2.7% 。</w:t>
            </w:r>
          </w:p>
          <w:p>
            <w:pPr>
              <w:spacing w:line="200" w:lineRule="exact"/>
            </w:pPr>
            <w:r>
              <w:rPr>
                <w:rFonts w:ascii="方正黑体_GBK" w:eastAsia="方正黑体_GBK" w:cs="宋体"/>
                <w:sz w:val="18"/>
                <w:szCs w:val="18"/>
              </w:rPr>
              <w:t>A3份额：业绩比较基准为年化2.45%-2.7% 。</w:t>
            </w:r>
          </w:p>
          <w:p>
            <w:pPr>
              <w:spacing w:line="200" w:lineRule="exact"/>
            </w:pPr>
            <w:r>
              <w:rPr>
                <w:rFonts w:ascii="方正黑体_GBK" w:eastAsia="方正黑体_GBK" w:cs="宋体"/>
                <w:sz w:val="18"/>
                <w:szCs w:val="18"/>
              </w:rPr>
              <w:t>B4份额：业绩比较基准为年化2.45%-2.7% 。</w:t>
            </w:r>
          </w:p>
          <w:p>
            <w:pPr>
              <w:spacing w:line="200" w:lineRule="exact"/>
            </w:pPr>
            <w:r>
              <w:rPr>
                <w:rFonts w:ascii="方正黑体_GBK" w:eastAsia="方正黑体_GBK" w:cs="宋体"/>
                <w:sz w:val="18"/>
                <w:szCs w:val="18"/>
              </w:rPr>
              <w:t>C4份额：业绩比较基准为年化2.5%-2.75% 。</w:t>
            </w:r>
          </w:p>
          <w:p>
            <w:pPr>
              <w:spacing w:line="200" w:lineRule="exact"/>
            </w:pPr>
            <w:r>
              <w:rPr>
                <w:rFonts w:ascii="方正黑体_GBK" w:eastAsia="方正黑体_GBK" w:cs="宋体"/>
                <w:sz w:val="18"/>
                <w:szCs w:val="18"/>
              </w:rPr>
              <w:t>D4份额：业绩比较基准为年化2.55%-2.8% 。</w:t>
            </w:r>
          </w:p>
          <w:p>
            <w:pPr>
              <w:spacing w:line="200" w:lineRule="exact"/>
            </w:pPr>
            <w:r>
              <w:rPr>
                <w:rFonts w:ascii="方正黑体_GBK" w:eastAsia="方正黑体_GBK" w:cs="宋体"/>
                <w:sz w:val="18"/>
                <w:szCs w:val="18"/>
              </w:rPr>
              <w:t>E4份额：业绩比较基准为年化2.65%-2.9% 。</w:t>
            </w:r>
          </w:p>
          <w:p>
            <w:pPr>
              <w:spacing w:line="200" w:lineRule="exact"/>
            </w:pPr>
            <w:r>
              <w:rPr>
                <w:rFonts w:ascii="方正黑体_GBK" w:eastAsia="方正黑体_GBK" w:cs="宋体"/>
                <w:sz w:val="18"/>
                <w:szCs w:val="18"/>
              </w:rPr>
              <w:t>F2份额：业绩比较基准为年化2.55%-2.8% 。</w:t>
            </w:r>
          </w:p>
          <w:p>
            <w:pPr>
              <w:spacing w:line="200" w:lineRule="exact"/>
            </w:pPr>
            <w:r>
              <w:rPr>
                <w:rFonts w:ascii="方正黑体_GBK" w:eastAsia="方正黑体_GBK" w:cs="宋体"/>
                <w:sz w:val="18"/>
                <w:szCs w:val="18"/>
              </w:rPr>
              <w:t>F3份额：业绩比较基准为年化2.55%-2.8% 。</w:t>
            </w:r>
          </w:p>
          <w:p>
            <w:pPr>
              <w:spacing w:line="200" w:lineRule="exact"/>
            </w:pPr>
            <w:r>
              <w:rPr>
                <w:rFonts w:ascii="方正黑体_GBK" w:eastAsia="方正黑体_GBK" w:cs="宋体"/>
                <w:sz w:val="18"/>
                <w:szCs w:val="18"/>
              </w:rPr>
              <w:t>G3份额：业绩比较基准为年化2.6%-2.85% 。</w:t>
            </w:r>
          </w:p>
          <w:p>
            <w:pPr>
              <w:spacing w:line="200" w:lineRule="exact"/>
            </w:pPr>
            <w:r>
              <w:rPr>
                <w:rFonts w:ascii="方正黑体_GBK" w:eastAsia="方正黑体_GBK" w:cs="宋体"/>
                <w:sz w:val="18"/>
                <w:szCs w:val="18"/>
              </w:rPr>
              <w:t>G4份额：业绩比较基准为年化2.6%-2.85% 。</w:t>
            </w:r>
          </w:p>
          <w:p>
            <w:pPr>
              <w:spacing w:line="200" w:lineRule="exact"/>
            </w:pPr>
            <w:r>
              <w:rPr>
                <w:rFonts w:ascii="方正黑体_GBK" w:eastAsia="方正黑体_GBK" w:cs="宋体"/>
                <w:sz w:val="18"/>
                <w:szCs w:val="18"/>
              </w:rPr>
              <w:t>J2份额：业绩比较基准为年化2.5%-2.75% 。</w:t>
            </w:r>
          </w:p>
          <w:p>
            <w:pPr>
              <w:spacing w:line="200" w:lineRule="exact"/>
            </w:pPr>
            <w:r>
              <w:rPr>
                <w:rFonts w:ascii="方正黑体_GBK" w:eastAsia="方正黑体_GBK" w:cs="宋体"/>
                <w:sz w:val="18"/>
                <w:szCs w:val="18"/>
              </w:rPr>
              <w:t>L2份额：业绩比较基准为年化2.6%-2.85% 。</w:t>
            </w:r>
          </w:p>
          <w:p>
            <w:pPr>
              <w:spacing w:line="200" w:lineRule="exact"/>
            </w:pPr>
            <w:r>
              <w:rPr>
                <w:rFonts w:ascii="方正黑体_GBK" w:eastAsia="方正黑体_GBK" w:cs="宋体"/>
                <w:sz w:val="18"/>
                <w:szCs w:val="18"/>
              </w:rPr>
              <w:t>J3份额：业绩比较基准为年化2.5%-2.75% 。</w:t>
            </w:r>
          </w:p>
          <w:p>
            <w:pPr>
              <w:spacing w:line="200" w:lineRule="exact"/>
            </w:pPr>
            <w:r>
              <w:rPr>
                <w:rFonts w:ascii="方正黑体_GBK" w:eastAsia="方正黑体_GBK" w:cs="宋体"/>
                <w:sz w:val="18"/>
                <w:szCs w:val="18"/>
              </w:rPr>
              <w:t>L3份额：业绩比较基准为年化2.6%-2.85% 。</w:t>
            </w:r>
          </w:p>
          <w:p>
            <w:pPr>
              <w:spacing w:line="200" w:lineRule="exact"/>
            </w:pPr>
            <w:r>
              <w:rPr>
                <w:rFonts w:ascii="方正黑体_GBK" w:eastAsia="方正黑体_GBK" w:cs="宋体"/>
                <w:sz w:val="18"/>
                <w:szCs w:val="18"/>
              </w:rPr>
              <w:t>M2份额：业绩比较基准为年化2.45%-2.7% 。</w:t>
            </w:r>
          </w:p>
          <w:p>
            <w:pPr>
              <w:spacing w:line="200" w:lineRule="exact"/>
            </w:pPr>
            <w:r>
              <w:rPr>
                <w:rFonts w:ascii="方正黑体_GBK" w:eastAsia="方正黑体_GBK" w:cs="宋体"/>
                <w:sz w:val="18"/>
                <w:szCs w:val="18"/>
              </w:rPr>
              <w:t>M3份额：业绩比较基准为年化2.45%-2.7% 。</w:t>
            </w:r>
          </w:p>
          <w:p>
            <w:pPr>
              <w:spacing w:line="200" w:lineRule="exact"/>
            </w:pPr>
            <w:r>
              <w:rPr>
                <w:rFonts w:ascii="方正黑体_GBK" w:eastAsia="方正黑体_GBK" w:cs="宋体"/>
                <w:sz w:val="18"/>
                <w:szCs w:val="18"/>
              </w:rPr>
              <w:t>O2份额：业绩比较基准为年化2.55%-2.8% 。</w:t>
            </w:r>
          </w:p>
          <w:p>
            <w:pPr>
              <w:spacing w:line="200" w:lineRule="exact"/>
            </w:pPr>
            <w:r>
              <w:rPr>
                <w:rFonts w:ascii="方正黑体_GBK" w:eastAsia="方正黑体_GBK" w:cs="宋体"/>
                <w:sz w:val="18"/>
                <w:szCs w:val="18"/>
              </w:rPr>
              <w:t>O3份额：业绩比较基准为年化2.55%-2.8% 。</w:t>
            </w:r>
          </w:p>
          <w:p>
            <w:pPr>
              <w:spacing w:line="200" w:lineRule="exact"/>
            </w:pPr>
            <w:r>
              <w:rPr>
                <w:rFonts w:ascii="方正黑体_GBK" w:eastAsia="方正黑体_GBK" w:cs="宋体"/>
                <w:sz w:val="18"/>
                <w:szCs w:val="18"/>
              </w:rPr>
              <w:t>Q1份额：业绩比较基准为年化2.45%-2.7% 。</w:t>
            </w:r>
          </w:p>
          <w:p>
            <w:pPr>
              <w:spacing w:line="200" w:lineRule="exact"/>
            </w:pPr>
            <w:r>
              <w:rPr>
                <w:rFonts w:ascii="方正黑体_GBK" w:eastAsia="方正黑体_GBK" w:cs="宋体"/>
                <w:sz w:val="18"/>
                <w:szCs w:val="18"/>
              </w:rPr>
              <w:t>R1份额：业绩比较基准为年化2.65%-2.9% 。</w:t>
            </w:r>
          </w:p>
          <w:p>
            <w:pPr>
              <w:spacing w:line="200" w:lineRule="exact"/>
            </w:pPr>
            <w:r>
              <w:rPr>
                <w:rFonts w:ascii="方正黑体_GBK" w:eastAsia="方正黑体_GBK" w:cs="宋体"/>
                <w:sz w:val="18"/>
                <w:szCs w:val="18"/>
              </w:rPr>
              <w:t>Q2份额：业绩比较基准为年化2.45%-2.7% 。</w:t>
            </w:r>
          </w:p>
          <w:p>
            <w:pPr>
              <w:spacing w:line="200" w:lineRule="exact"/>
            </w:pPr>
            <w:r>
              <w:rPr>
                <w:rFonts w:ascii="方正黑体_GBK" w:eastAsia="方正黑体_GBK" w:cs="宋体"/>
                <w:sz w:val="18"/>
                <w:szCs w:val="18"/>
              </w:rPr>
              <w:t>R2份额：业绩比较基准为年化2.65%-2.9% 。</w:t>
            </w:r>
          </w:p>
          <w:p>
            <w:pPr>
              <w:spacing w:line="200" w:lineRule="exact"/>
            </w:pPr>
            <w:r>
              <w:rPr>
                <w:rFonts w:ascii="方正黑体_GBK" w:eastAsia="方正黑体_GBK" w:cs="宋体"/>
                <w:sz w:val="18"/>
                <w:szCs w:val="18"/>
              </w:rPr>
              <w:t>Q3份额：业绩比较基准为年化2.45%-2.7% 。</w:t>
            </w:r>
          </w:p>
          <w:p>
            <w:pPr>
              <w:spacing w:line="200" w:lineRule="exact"/>
            </w:pPr>
            <w:r>
              <w:rPr>
                <w:rFonts w:ascii="方正黑体_GBK" w:eastAsia="方正黑体_GBK" w:cs="宋体"/>
                <w:sz w:val="18"/>
                <w:szCs w:val="18"/>
              </w:rPr>
              <w:t>R3份额：业绩比较基准为年化2.65%-2.9% 。</w:t>
            </w:r>
          </w:p>
          <w:p>
            <w:pPr>
              <w:spacing w:line="200" w:lineRule="exact"/>
            </w:pPr>
            <w:r>
              <w:rPr>
                <w:rFonts w:ascii="方正黑体_GBK" w:eastAsia="方正黑体_GBK" w:cs="宋体"/>
                <w:sz w:val="18"/>
                <w:szCs w:val="18"/>
              </w:rPr>
              <w:t>B1份额：业绩比较基准为年化2.45%-2.7% 。</w:t>
            </w:r>
          </w:p>
          <w:p>
            <w:pPr>
              <w:spacing w:line="200" w:lineRule="exact"/>
            </w:pPr>
            <w:r>
              <w:rPr>
                <w:rFonts w:ascii="方正黑体_GBK" w:eastAsia="方正黑体_GBK" w:cs="宋体"/>
                <w:sz w:val="18"/>
                <w:szCs w:val="18"/>
              </w:rPr>
              <w:t>C1份额：业绩比较基准为年化2.5%-2.75% 。</w:t>
            </w:r>
          </w:p>
          <w:p>
            <w:pPr>
              <w:spacing w:line="200" w:lineRule="exact"/>
            </w:pPr>
            <w:r>
              <w:rPr>
                <w:rFonts w:ascii="方正黑体_GBK" w:eastAsia="方正黑体_GBK" w:cs="宋体"/>
                <w:sz w:val="18"/>
                <w:szCs w:val="18"/>
              </w:rPr>
              <w:t>D1份额：业绩比较基准为年化2.55%-2.8% 。</w:t>
            </w:r>
          </w:p>
          <w:p>
            <w:pPr>
              <w:spacing w:line="200" w:lineRule="exact"/>
            </w:pPr>
            <w:r>
              <w:rPr>
                <w:rFonts w:ascii="方正黑体_GBK" w:eastAsia="方正黑体_GBK" w:cs="宋体"/>
                <w:sz w:val="18"/>
                <w:szCs w:val="18"/>
              </w:rPr>
              <w:t>E1份额：业绩比较基准为年化2.65%-2.9% 。</w:t>
            </w:r>
          </w:p>
          <w:p>
            <w:pPr>
              <w:spacing w:line="200" w:lineRule="exact"/>
            </w:pPr>
            <w:r>
              <w:rPr>
                <w:rFonts w:ascii="方正黑体_GBK" w:eastAsia="方正黑体_GBK" w:cs="宋体"/>
                <w:sz w:val="18"/>
                <w:szCs w:val="18"/>
              </w:rPr>
              <w:t>G1份额：业绩比较基准为年化2.6%-2.85% 。</w:t>
            </w:r>
          </w:p>
          <w:p>
            <w:pPr>
              <w:spacing w:line="200" w:lineRule="exact"/>
            </w:pPr>
            <w:r>
              <w:rPr>
                <w:rFonts w:ascii="方正黑体_GBK" w:eastAsia="方正黑体_GBK" w:cs="宋体"/>
                <w:sz w:val="18"/>
                <w:szCs w:val="18"/>
              </w:rPr>
              <w:t>I1份额：业绩比较基准为年化2.55%-2.8% 。</w:t>
            </w:r>
          </w:p>
          <w:p>
            <w:pPr>
              <w:spacing w:line="200" w:lineRule="exact"/>
            </w:pPr>
            <w:r>
              <w:rPr>
                <w:rFonts w:ascii="方正黑体_GBK" w:eastAsia="方正黑体_GBK" w:cs="宋体"/>
                <w:sz w:val="18"/>
                <w:szCs w:val="18"/>
              </w:rPr>
              <w:t>J1份额：业绩比较基准为年化2.5%-2.75% 。</w:t>
            </w:r>
          </w:p>
          <w:p>
            <w:pPr>
              <w:spacing w:line="200" w:lineRule="exact"/>
            </w:pPr>
            <w:r>
              <w:rPr>
                <w:rFonts w:ascii="方正黑体_GBK" w:eastAsia="方正黑体_GBK" w:cs="宋体"/>
                <w:sz w:val="18"/>
                <w:szCs w:val="18"/>
              </w:rPr>
              <w:t>L1份额：业绩比较基准为年化2.6%-2.85% 。</w:t>
            </w:r>
          </w:p>
          <w:p>
            <w:pPr>
              <w:spacing w:line="200" w:lineRule="exact"/>
            </w:pPr>
            <w:r>
              <w:rPr>
                <w:rFonts w:ascii="方正黑体_GBK" w:eastAsia="方正黑体_GBK" w:cs="宋体"/>
                <w:sz w:val="18"/>
                <w:szCs w:val="18"/>
              </w:rPr>
              <w:t>M1份额：业绩比较基准为年化2.45%-2.7% 。</w:t>
            </w:r>
          </w:p>
          <w:p>
            <w:pPr>
              <w:spacing w:line="200" w:lineRule="exact"/>
            </w:pPr>
            <w:r>
              <w:rPr>
                <w:rFonts w:ascii="方正黑体_GBK" w:eastAsia="方正黑体_GBK" w:cs="宋体"/>
                <w:sz w:val="18"/>
                <w:szCs w:val="18"/>
              </w:rPr>
              <w:t>N1份额：业绩比较基准为年化2.7%-2.95% 。</w:t>
            </w:r>
          </w:p>
          <w:p>
            <w:pPr>
              <w:spacing w:line="200" w:lineRule="exact"/>
            </w:pPr>
            <w:r>
              <w:rPr>
                <w:rFonts w:ascii="方正黑体_GBK" w:eastAsia="方正黑体_GBK" w:cs="宋体"/>
                <w:sz w:val="18"/>
                <w:szCs w:val="18"/>
              </w:rPr>
              <w:t>O1份额：业绩比较基准为年化2.55%-2.8% 。</w:t>
            </w:r>
          </w:p>
          <w:p>
            <w:pPr>
              <w:spacing w:line="200" w:lineRule="exact"/>
            </w:pPr>
            <w:r>
              <w:rPr>
                <w:rFonts w:ascii="方正黑体_GBK" w:eastAsia="方正黑体_GBK" w:cs="宋体"/>
                <w:sz w:val="18"/>
                <w:szCs w:val="18"/>
              </w:rPr>
              <w:t>S1份额：业绩比较基准为年化2.6%-2.85% 。</w:t>
            </w:r>
          </w:p>
          <w:p>
            <w:pPr>
              <w:spacing w:line="200" w:lineRule="exact"/>
            </w:pPr>
            <w:r>
              <w:rPr>
                <w:rFonts w:ascii="方正黑体_GBK" w:eastAsia="方正黑体_GBK" w:cs="宋体"/>
                <w:sz w:val="18"/>
                <w:szCs w:val="18"/>
              </w:rPr>
              <w:t>S2份额：业绩比较基准为年化2.6%-2.85% 。</w:t>
            </w:r>
          </w:p>
          <w:p>
            <w:pPr>
              <w:spacing w:line="200" w:lineRule="exact"/>
            </w:pPr>
            <w:r>
              <w:rPr>
                <w:rFonts w:ascii="方正黑体_GBK" w:eastAsia="方正黑体_GBK" w:cs="宋体"/>
                <w:sz w:val="18"/>
                <w:szCs w:val="18"/>
              </w:rPr>
              <w:t>S3份额：业绩比较基准为年化2.6%-2.85% 。</w:t>
            </w:r>
          </w:p>
          <w:p>
            <w:pPr>
              <w:spacing w:line="200" w:lineRule="exact"/>
            </w:pPr>
            <w:r>
              <w:rPr>
                <w:rFonts w:ascii="方正黑体_GBK" w:eastAsia="方正黑体_GBK" w:cs="宋体"/>
                <w:sz w:val="18"/>
                <w:szCs w:val="18"/>
              </w:rPr>
              <w:t>T1份额：业绩比较基准为年化2.6%-2.85% 。</w:t>
            </w:r>
          </w:p>
          <w:p>
            <w:pPr>
              <w:spacing w:line="200" w:lineRule="exact"/>
            </w:pPr>
            <w:r>
              <w:rPr>
                <w:rFonts w:ascii="方正黑体_GBK" w:eastAsia="方正黑体_GBK" w:cs="宋体"/>
                <w:sz w:val="18"/>
                <w:szCs w:val="18"/>
              </w:rPr>
              <w:t>T2份额：业绩比较基准为年化2.6%-2.85% 。</w:t>
            </w:r>
          </w:p>
          <w:p>
            <w:pPr>
              <w:spacing w:line="200" w:lineRule="exact"/>
            </w:pPr>
            <w:r>
              <w:rPr>
                <w:rFonts w:ascii="方正黑体_GBK" w:eastAsia="方正黑体_GBK" w:cs="宋体"/>
                <w:sz w:val="18"/>
                <w:szCs w:val="18"/>
              </w:rPr>
              <w:t>T3份额：业绩比较基准为年化2.6%-2.85% 。</w:t>
            </w:r>
          </w:p>
          <w:p>
            <w:pPr>
              <w:spacing w:line="200" w:lineRule="exact"/>
            </w:pPr>
            <w:r>
              <w:rPr>
                <w:rFonts w:ascii="方正黑体_GBK" w:eastAsia="方正黑体_GBK" w:cs="宋体"/>
                <w:sz w:val="18"/>
                <w:szCs w:val="18"/>
              </w:rPr>
              <w:t>B5份额：业绩比较基准为年化2.45%-2.7% 。</w:t>
            </w:r>
          </w:p>
          <w:p>
            <w:pPr>
              <w:spacing w:line="200" w:lineRule="exact"/>
            </w:pPr>
            <w:r>
              <w:rPr>
                <w:rFonts w:ascii="方正黑体_GBK" w:eastAsia="方正黑体_GBK" w:cs="宋体"/>
                <w:sz w:val="18"/>
                <w:szCs w:val="18"/>
              </w:rPr>
              <w:t>C5份额：业绩比较基准为年化2.5%-2.75% 。</w:t>
            </w:r>
          </w:p>
          <w:p>
            <w:pPr>
              <w:spacing w:line="200" w:lineRule="exact"/>
            </w:pPr>
            <w:r>
              <w:rPr>
                <w:rFonts w:ascii="方正黑体_GBK" w:eastAsia="方正黑体_GBK" w:cs="宋体"/>
                <w:sz w:val="18"/>
                <w:szCs w:val="18"/>
              </w:rPr>
              <w:t>D5份额：业绩比较基准为年化2.55%-2.8% 。</w:t>
            </w:r>
          </w:p>
          <w:p>
            <w:pPr>
              <w:spacing w:line="200" w:lineRule="exact"/>
            </w:pPr>
            <w:r>
              <w:rPr>
                <w:rFonts w:ascii="方正黑体_GBK" w:eastAsia="方正黑体_GBK" w:cs="宋体"/>
                <w:sz w:val="18"/>
                <w:szCs w:val="18"/>
              </w:rPr>
              <w:t>E5份额：业绩比较基准为年化2.65%-2.9% 。</w:t>
            </w:r>
          </w:p>
          <w:p>
            <w:pPr>
              <w:spacing w:line="200" w:lineRule="exact"/>
              <w:jc w:val="left"/>
            </w:pPr>
            <w:r>
              <w:rPr>
                <w:rFonts w:asci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pPr>
              <w:spacing w:line="200" w:lineRule="exact"/>
              <w:jc w:val="left"/>
            </w:pPr>
            <w:r>
              <w:rPr>
                <w:rFonts w:ascii="方正黑体_GBK" w:eastAsia="方正黑体_GBK" w:cs="宋体"/>
                <w:sz w:val="18"/>
                <w:szCs w:val="18"/>
              </w:rPr>
              <w:t>注：管理人可根据市场情况对业绩比较基准进行适当调整，如有调整，将至少于调整前3个工作日公布调整方案。</w:t>
            </w:r>
          </w:p>
          <w:p>
            <w:pPr>
              <w:spacing w:line="200" w:lineRule="exact"/>
            </w:pPr>
            <w:r>
              <w:rPr>
                <w:rFonts w:ascii="方正黑体_GBK" w:eastAsia="方正黑体_GBK" w:cs="宋体"/>
                <w:b/>
                <w:sz w:val="18"/>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bCs/>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产品</w:t>
            </w:r>
            <w:r>
              <w:rPr>
                <w:rFonts w:ascii="方正黑体_GBK" w:eastAsia="方正黑体_GBK" w:hint="eastAsia"/>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b/>
                <w:sz w:val="18"/>
                <w:szCs w:val="18"/>
              </w:rPr>
              <w:t>认/申购费：本理财产品暂不收取认/申购费。</w:t>
            </w:r>
          </w:p>
          <w:p>
            <w:pPr>
              <w:spacing w:line="200" w:lineRule="exact"/>
            </w:pPr>
            <w:r>
              <w:rPr>
                <w:rFonts w:ascii="方正黑体_GBK" w:eastAsia="方正黑体_GBK" w:cs="宋体"/>
                <w:b/>
                <w:sz w:val="18"/>
                <w:szCs w:val="18"/>
              </w:rPr>
              <w:t>赎回费：本理财产品暂不收取赎回费。</w:t>
            </w:r>
          </w:p>
          <w:p>
            <w:pPr>
              <w:spacing w:line="200" w:lineRule="exact"/>
            </w:pPr>
            <w:r>
              <w:rPr>
                <w:rFonts w:ascii="方正黑体_GBK" w:eastAsia="方正黑体_GBK" w:cs="宋体"/>
                <w:b/>
                <w:sz w:val="18"/>
                <w:szCs w:val="18"/>
              </w:rPr>
              <w:t>销售费：本理财产品按前一日理财产品资产净值收取销售费，按日计提。</w:t>
            </w:r>
          </w:p>
          <w:p>
            <w:pPr>
              <w:spacing w:line="200" w:lineRule="exact"/>
            </w:pPr>
            <w:r>
              <w:rPr>
                <w:rFonts w:ascii="方正黑体_GBK" w:eastAsia="方正黑体_GBK" w:cs="宋体"/>
                <w:b/>
                <w:sz w:val="18"/>
                <w:szCs w:val="18"/>
              </w:rPr>
              <w:t>A份额：销售费年化0.2%</w:t>
            </w:r>
          </w:p>
          <w:p>
            <w:pPr>
              <w:spacing w:line="200" w:lineRule="exact"/>
            </w:pPr>
            <w:r>
              <w:rPr>
                <w:rFonts w:ascii="方正黑体_GBK" w:eastAsia="方正黑体_GBK" w:cs="宋体"/>
                <w:b/>
                <w:sz w:val="18"/>
                <w:szCs w:val="18"/>
              </w:rPr>
              <w:t>F份额：销售费年化0.15%</w:t>
            </w:r>
          </w:p>
          <w:p>
            <w:pPr>
              <w:spacing w:line="200" w:lineRule="exact"/>
            </w:pPr>
            <w:r>
              <w:rPr>
                <w:rFonts w:ascii="方正黑体_GBK" w:eastAsia="方正黑体_GBK" w:cs="宋体"/>
                <w:b/>
                <w:sz w:val="18"/>
                <w:szCs w:val="18"/>
              </w:rPr>
              <w:t>A2份额：销售费年化0.2%</w:t>
            </w:r>
          </w:p>
          <w:p>
            <w:pPr>
              <w:spacing w:line="200" w:lineRule="exact"/>
            </w:pPr>
            <w:r>
              <w:rPr>
                <w:rFonts w:ascii="方正黑体_GBK" w:eastAsia="方正黑体_GBK" w:cs="宋体"/>
                <w:b/>
                <w:sz w:val="18"/>
                <w:szCs w:val="18"/>
              </w:rPr>
              <w:t>A3份额：销售费年化0.2%</w:t>
            </w:r>
          </w:p>
          <w:p>
            <w:pPr>
              <w:spacing w:line="200" w:lineRule="exact"/>
            </w:pPr>
            <w:r>
              <w:rPr>
                <w:rFonts w:ascii="方正黑体_GBK" w:eastAsia="方正黑体_GBK" w:cs="宋体"/>
                <w:b/>
                <w:sz w:val="18"/>
                <w:szCs w:val="18"/>
              </w:rPr>
              <w:t>B4份额：销售费年化0.2%</w:t>
            </w:r>
          </w:p>
          <w:p>
            <w:pPr>
              <w:spacing w:line="200" w:lineRule="exact"/>
            </w:pPr>
            <w:r>
              <w:rPr>
                <w:rFonts w:ascii="方正黑体_GBK" w:eastAsia="方正黑体_GBK" w:cs="宋体"/>
                <w:b/>
                <w:sz w:val="18"/>
                <w:szCs w:val="18"/>
              </w:rPr>
              <w:t>C4份额：销售费年化0.15%</w:t>
            </w:r>
          </w:p>
          <w:p>
            <w:pPr>
              <w:spacing w:line="200" w:lineRule="exact"/>
            </w:pPr>
            <w:r>
              <w:rPr>
                <w:rFonts w:ascii="方正黑体_GBK" w:eastAsia="方正黑体_GBK" w:cs="宋体"/>
                <w:b/>
                <w:sz w:val="18"/>
                <w:szCs w:val="18"/>
              </w:rPr>
              <w:t>D4份额：销售费年化0.15%</w:t>
            </w:r>
          </w:p>
          <w:p>
            <w:pPr>
              <w:spacing w:line="200" w:lineRule="exact"/>
            </w:pPr>
            <w:r>
              <w:rPr>
                <w:rFonts w:ascii="方正黑体_GBK" w:eastAsia="方正黑体_GBK" w:cs="宋体"/>
                <w:b/>
                <w:sz w:val="18"/>
                <w:szCs w:val="18"/>
              </w:rPr>
              <w:t>E4份额：销售费年化0.05%</w:t>
            </w:r>
          </w:p>
          <w:p>
            <w:pPr>
              <w:spacing w:line="200" w:lineRule="exact"/>
            </w:pPr>
            <w:r>
              <w:rPr>
                <w:rFonts w:ascii="方正黑体_GBK" w:eastAsia="方正黑体_GBK" w:cs="宋体"/>
                <w:b/>
                <w:sz w:val="18"/>
                <w:szCs w:val="18"/>
              </w:rPr>
              <w:t>F2份额：销售费年化0.15%</w:t>
            </w:r>
          </w:p>
          <w:p>
            <w:pPr>
              <w:spacing w:line="200" w:lineRule="exact"/>
            </w:pPr>
            <w:r>
              <w:rPr>
                <w:rFonts w:ascii="方正黑体_GBK" w:eastAsia="方正黑体_GBK" w:cs="宋体"/>
                <w:b/>
                <w:sz w:val="18"/>
                <w:szCs w:val="18"/>
              </w:rPr>
              <w:t>F3份额：销售费年化0.15%</w:t>
            </w:r>
          </w:p>
          <w:p>
            <w:pPr>
              <w:spacing w:line="200" w:lineRule="exact"/>
            </w:pPr>
            <w:r>
              <w:rPr>
                <w:rFonts w:ascii="方正黑体_GBK" w:eastAsia="方正黑体_GBK" w:cs="宋体"/>
                <w:b/>
                <w:sz w:val="18"/>
                <w:szCs w:val="18"/>
              </w:rPr>
              <w:t>G3份额：销售费年化0.1%</w:t>
            </w:r>
          </w:p>
          <w:p>
            <w:pPr>
              <w:spacing w:line="200" w:lineRule="exact"/>
            </w:pPr>
            <w:r>
              <w:rPr>
                <w:rFonts w:ascii="方正黑体_GBK" w:eastAsia="方正黑体_GBK" w:cs="宋体"/>
                <w:b/>
                <w:sz w:val="18"/>
                <w:szCs w:val="18"/>
              </w:rPr>
              <w:t>G4份额：销售费年化0.1%</w:t>
            </w:r>
          </w:p>
          <w:p>
            <w:pPr>
              <w:spacing w:line="200" w:lineRule="exact"/>
            </w:pPr>
            <w:r>
              <w:rPr>
                <w:rFonts w:ascii="方正黑体_GBK" w:eastAsia="方正黑体_GBK" w:cs="宋体"/>
                <w:b/>
                <w:sz w:val="18"/>
                <w:szCs w:val="18"/>
              </w:rPr>
              <w:t>J2份额：销售费年化0.25%</w:t>
            </w:r>
          </w:p>
          <w:p>
            <w:pPr>
              <w:spacing w:line="200" w:lineRule="exact"/>
            </w:pPr>
            <w:r>
              <w:rPr>
                <w:rFonts w:ascii="方正黑体_GBK" w:eastAsia="方正黑体_GBK" w:cs="宋体"/>
                <w:b/>
                <w:sz w:val="18"/>
                <w:szCs w:val="18"/>
              </w:rPr>
              <w:t>L2份额：销售费年化0.15%</w:t>
            </w:r>
          </w:p>
          <w:p>
            <w:pPr>
              <w:spacing w:line="200" w:lineRule="exact"/>
            </w:pPr>
            <w:r>
              <w:rPr>
                <w:rFonts w:ascii="方正黑体_GBK" w:eastAsia="方正黑体_GBK" w:cs="宋体"/>
                <w:b/>
                <w:sz w:val="18"/>
                <w:szCs w:val="18"/>
              </w:rPr>
              <w:t>J3份额：销售费年化0.25%</w:t>
            </w:r>
          </w:p>
          <w:p>
            <w:pPr>
              <w:spacing w:line="200" w:lineRule="exact"/>
            </w:pPr>
            <w:r>
              <w:rPr>
                <w:rFonts w:ascii="方正黑体_GBK" w:eastAsia="方正黑体_GBK" w:cs="宋体"/>
                <w:b/>
                <w:sz w:val="18"/>
                <w:szCs w:val="18"/>
              </w:rPr>
              <w:t>L3份额：销售费年化0.15%</w:t>
            </w:r>
          </w:p>
          <w:p>
            <w:pPr>
              <w:spacing w:line="200" w:lineRule="exact"/>
            </w:pPr>
            <w:r>
              <w:rPr>
                <w:rFonts w:ascii="方正黑体_GBK" w:eastAsia="方正黑体_GBK" w:cs="宋体"/>
                <w:b/>
                <w:sz w:val="18"/>
                <w:szCs w:val="18"/>
              </w:rPr>
              <w:t>M2份额：销售费年化0.2%</w:t>
            </w:r>
          </w:p>
          <w:p>
            <w:pPr>
              <w:spacing w:line="200" w:lineRule="exact"/>
            </w:pPr>
            <w:r>
              <w:rPr>
                <w:rFonts w:ascii="方正黑体_GBK" w:eastAsia="方正黑体_GBK" w:cs="宋体"/>
                <w:b/>
                <w:sz w:val="18"/>
                <w:szCs w:val="18"/>
              </w:rPr>
              <w:t>M3份额：销售费年化0.2%</w:t>
            </w:r>
          </w:p>
          <w:p>
            <w:pPr>
              <w:spacing w:line="200" w:lineRule="exact"/>
            </w:pPr>
            <w:r>
              <w:rPr>
                <w:rFonts w:ascii="方正黑体_GBK" w:eastAsia="方正黑体_GBK" w:cs="宋体"/>
                <w:b/>
                <w:sz w:val="18"/>
                <w:szCs w:val="18"/>
              </w:rPr>
              <w:t>O2份额：销售费年化0.2%</w:t>
            </w:r>
          </w:p>
          <w:p>
            <w:pPr>
              <w:spacing w:line="200" w:lineRule="exact"/>
            </w:pPr>
            <w:r>
              <w:rPr>
                <w:rFonts w:ascii="方正黑体_GBK" w:eastAsia="方正黑体_GBK" w:cs="宋体"/>
                <w:b/>
                <w:sz w:val="18"/>
                <w:szCs w:val="18"/>
              </w:rPr>
              <w:t>O3份额：销售费年化0.2%</w:t>
            </w:r>
          </w:p>
          <w:p>
            <w:pPr>
              <w:spacing w:line="200" w:lineRule="exact"/>
            </w:pPr>
            <w:r>
              <w:rPr>
                <w:rFonts w:ascii="方正黑体_GBK" w:eastAsia="方正黑体_GBK" w:cs="宋体"/>
                <w:b/>
                <w:sz w:val="18"/>
                <w:szCs w:val="18"/>
              </w:rPr>
              <w:t>Q1份额：销售费年化0.2%</w:t>
            </w:r>
          </w:p>
          <w:p>
            <w:pPr>
              <w:spacing w:line="200" w:lineRule="exact"/>
            </w:pPr>
            <w:r>
              <w:rPr>
                <w:rFonts w:ascii="方正黑体_GBK" w:eastAsia="方正黑体_GBK" w:cs="宋体"/>
                <w:b/>
                <w:sz w:val="18"/>
                <w:szCs w:val="18"/>
              </w:rPr>
              <w:t>R1份额：销售费年化0.05%</w:t>
            </w:r>
          </w:p>
          <w:p>
            <w:pPr>
              <w:spacing w:line="200" w:lineRule="exact"/>
            </w:pPr>
            <w:r>
              <w:rPr>
                <w:rFonts w:ascii="方正黑体_GBK" w:eastAsia="方正黑体_GBK" w:cs="宋体"/>
                <w:b/>
                <w:sz w:val="18"/>
                <w:szCs w:val="18"/>
              </w:rPr>
              <w:t>Q2份额：销售费年化0.2%</w:t>
            </w:r>
          </w:p>
          <w:p>
            <w:pPr>
              <w:spacing w:line="200" w:lineRule="exact"/>
            </w:pPr>
            <w:r>
              <w:rPr>
                <w:rFonts w:ascii="方正黑体_GBK" w:eastAsia="方正黑体_GBK" w:cs="宋体"/>
                <w:b/>
                <w:sz w:val="18"/>
                <w:szCs w:val="18"/>
              </w:rPr>
              <w:t>R2份额：销售费年化0.05%</w:t>
            </w:r>
          </w:p>
          <w:p>
            <w:pPr>
              <w:spacing w:line="200" w:lineRule="exact"/>
            </w:pPr>
            <w:r>
              <w:rPr>
                <w:rFonts w:ascii="方正黑体_GBK" w:eastAsia="方正黑体_GBK" w:cs="宋体"/>
                <w:b/>
                <w:sz w:val="18"/>
                <w:szCs w:val="18"/>
              </w:rPr>
              <w:t>Q3份额：销售费年化0.2%</w:t>
            </w:r>
          </w:p>
          <w:p>
            <w:pPr>
              <w:spacing w:line="200" w:lineRule="exact"/>
            </w:pPr>
            <w:r>
              <w:rPr>
                <w:rFonts w:ascii="方正黑体_GBK" w:eastAsia="方正黑体_GBK" w:cs="宋体"/>
                <w:b/>
                <w:sz w:val="18"/>
                <w:szCs w:val="18"/>
              </w:rPr>
              <w:t>R3份额：销售费年化0.05%</w:t>
            </w:r>
          </w:p>
          <w:p>
            <w:pPr>
              <w:spacing w:line="200" w:lineRule="exact"/>
            </w:pPr>
            <w:r>
              <w:rPr>
                <w:rFonts w:ascii="方正黑体_GBK" w:eastAsia="方正黑体_GBK" w:cs="宋体"/>
                <w:b/>
                <w:sz w:val="18"/>
                <w:szCs w:val="18"/>
              </w:rPr>
              <w:t>B1份额：销售费年化0.2%</w:t>
            </w:r>
          </w:p>
          <w:p>
            <w:pPr>
              <w:spacing w:line="200" w:lineRule="exact"/>
            </w:pPr>
            <w:r>
              <w:rPr>
                <w:rFonts w:ascii="方正黑体_GBK" w:eastAsia="方正黑体_GBK" w:cs="宋体"/>
                <w:b/>
                <w:sz w:val="18"/>
                <w:szCs w:val="18"/>
              </w:rPr>
              <w:t>C1份额：销售费年化0.15%</w:t>
            </w:r>
          </w:p>
          <w:p>
            <w:pPr>
              <w:spacing w:line="200" w:lineRule="exact"/>
            </w:pPr>
            <w:r>
              <w:rPr>
                <w:rFonts w:ascii="方正黑体_GBK" w:eastAsia="方正黑体_GBK" w:cs="宋体"/>
                <w:b/>
                <w:sz w:val="18"/>
                <w:szCs w:val="18"/>
              </w:rPr>
              <w:t>D1份额：销售费年化0.15%</w:t>
            </w:r>
          </w:p>
          <w:p>
            <w:pPr>
              <w:spacing w:line="200" w:lineRule="exact"/>
            </w:pPr>
            <w:r>
              <w:rPr>
                <w:rFonts w:ascii="方正黑体_GBK" w:eastAsia="方正黑体_GBK" w:cs="宋体"/>
                <w:b/>
                <w:sz w:val="18"/>
                <w:szCs w:val="18"/>
              </w:rPr>
              <w:t>E1份额：销售费年化0.05%</w:t>
            </w:r>
          </w:p>
          <w:p>
            <w:pPr>
              <w:spacing w:line="200" w:lineRule="exact"/>
            </w:pPr>
            <w:r>
              <w:rPr>
                <w:rFonts w:ascii="方正黑体_GBK" w:eastAsia="方正黑体_GBK" w:cs="宋体"/>
                <w:b/>
                <w:sz w:val="18"/>
                <w:szCs w:val="18"/>
              </w:rPr>
              <w:t>G1份额：销售费年化0.1%</w:t>
            </w:r>
          </w:p>
          <w:p>
            <w:pPr>
              <w:spacing w:line="200" w:lineRule="exact"/>
            </w:pPr>
            <w:r>
              <w:rPr>
                <w:rFonts w:ascii="方正黑体_GBK" w:eastAsia="方正黑体_GBK" w:cs="宋体"/>
                <w:b/>
                <w:sz w:val="18"/>
                <w:szCs w:val="18"/>
              </w:rPr>
              <w:t>I1份额：销售费年化0.15%</w:t>
            </w:r>
          </w:p>
          <w:p>
            <w:pPr>
              <w:spacing w:line="200" w:lineRule="exact"/>
            </w:pPr>
            <w:r>
              <w:rPr>
                <w:rFonts w:ascii="方正黑体_GBK" w:eastAsia="方正黑体_GBK" w:cs="宋体"/>
                <w:b/>
                <w:sz w:val="18"/>
                <w:szCs w:val="18"/>
              </w:rPr>
              <w:t>J1份额：销售费年化0.25%</w:t>
            </w:r>
          </w:p>
          <w:p>
            <w:pPr>
              <w:spacing w:line="200" w:lineRule="exact"/>
            </w:pPr>
            <w:r>
              <w:rPr>
                <w:rFonts w:ascii="方正黑体_GBK" w:eastAsia="方正黑体_GBK" w:cs="宋体"/>
                <w:b/>
                <w:sz w:val="18"/>
                <w:szCs w:val="18"/>
              </w:rPr>
              <w:t>L1份额：销售费年化0.15%</w:t>
            </w:r>
          </w:p>
          <w:p>
            <w:pPr>
              <w:spacing w:line="200" w:lineRule="exact"/>
            </w:pPr>
            <w:r>
              <w:rPr>
                <w:rFonts w:ascii="方正黑体_GBK" w:eastAsia="方正黑体_GBK" w:cs="宋体"/>
                <w:b/>
                <w:sz w:val="18"/>
                <w:szCs w:val="18"/>
              </w:rPr>
              <w:t>M1份额：销售费年化0.2%</w:t>
            </w:r>
          </w:p>
          <w:p>
            <w:pPr>
              <w:spacing w:line="200" w:lineRule="exact"/>
            </w:pPr>
            <w:r>
              <w:rPr>
                <w:rFonts w:ascii="方正黑体_GBK" w:eastAsia="方正黑体_GBK" w:cs="宋体"/>
                <w:b/>
                <w:sz w:val="18"/>
                <w:szCs w:val="18"/>
              </w:rPr>
              <w:t>N1份额：销售费年化0.05%</w:t>
            </w:r>
          </w:p>
          <w:p>
            <w:pPr>
              <w:spacing w:line="200" w:lineRule="exact"/>
            </w:pPr>
            <w:r>
              <w:rPr>
                <w:rFonts w:ascii="方正黑体_GBK" w:eastAsia="方正黑体_GBK" w:cs="宋体"/>
                <w:b/>
                <w:sz w:val="18"/>
                <w:szCs w:val="18"/>
              </w:rPr>
              <w:t>O1份额：销售费年化0.2%</w:t>
            </w:r>
          </w:p>
          <w:p>
            <w:pPr>
              <w:spacing w:line="200" w:lineRule="exact"/>
            </w:pPr>
            <w:r>
              <w:rPr>
                <w:rFonts w:ascii="方正黑体_GBK" w:eastAsia="方正黑体_GBK" w:cs="宋体"/>
                <w:b/>
                <w:sz w:val="18"/>
                <w:szCs w:val="18"/>
              </w:rPr>
              <w:t>S1份额：销售费年化0.1%</w:t>
            </w:r>
          </w:p>
          <w:p>
            <w:pPr>
              <w:spacing w:line="200" w:lineRule="exact"/>
            </w:pPr>
            <w:r>
              <w:rPr>
                <w:rFonts w:ascii="方正黑体_GBK" w:eastAsia="方正黑体_GBK" w:cs="宋体"/>
                <w:b/>
                <w:sz w:val="18"/>
                <w:szCs w:val="18"/>
              </w:rPr>
              <w:t>S2份额：销售费年化0.1%</w:t>
            </w:r>
          </w:p>
          <w:p>
            <w:pPr>
              <w:spacing w:line="200" w:lineRule="exact"/>
            </w:pPr>
            <w:r>
              <w:rPr>
                <w:rFonts w:ascii="方正黑体_GBK" w:eastAsia="方正黑体_GBK" w:cs="宋体"/>
                <w:b/>
                <w:sz w:val="18"/>
                <w:szCs w:val="18"/>
              </w:rPr>
              <w:t>S3份额：销售费年化0.1%</w:t>
            </w:r>
          </w:p>
          <w:p>
            <w:pPr>
              <w:spacing w:line="200" w:lineRule="exact"/>
            </w:pPr>
            <w:r>
              <w:rPr>
                <w:rFonts w:ascii="方正黑体_GBK" w:eastAsia="方正黑体_GBK" w:cs="宋体"/>
                <w:b/>
                <w:sz w:val="18"/>
                <w:szCs w:val="18"/>
              </w:rPr>
              <w:t>T1份额：销售费年化0.1%</w:t>
            </w:r>
          </w:p>
          <w:p>
            <w:pPr>
              <w:spacing w:line="200" w:lineRule="exact"/>
            </w:pPr>
            <w:r>
              <w:rPr>
                <w:rFonts w:ascii="方正黑体_GBK" w:eastAsia="方正黑体_GBK" w:cs="宋体"/>
                <w:b/>
                <w:sz w:val="18"/>
                <w:szCs w:val="18"/>
              </w:rPr>
              <w:t>T2份额：销售费年化0.1%</w:t>
            </w:r>
          </w:p>
          <w:p>
            <w:pPr>
              <w:spacing w:line="200" w:lineRule="exact"/>
            </w:pPr>
            <w:r>
              <w:rPr>
                <w:rFonts w:ascii="方正黑体_GBK" w:eastAsia="方正黑体_GBK" w:cs="宋体"/>
                <w:b/>
                <w:sz w:val="18"/>
                <w:szCs w:val="18"/>
              </w:rPr>
              <w:t>T3份额：销售费年化0.1%</w:t>
            </w:r>
          </w:p>
          <w:p>
            <w:pPr>
              <w:spacing w:line="200" w:lineRule="exact"/>
            </w:pPr>
            <w:r>
              <w:rPr>
                <w:rFonts w:ascii="方正黑体_GBK" w:eastAsia="方正黑体_GBK" w:cs="宋体"/>
                <w:b/>
                <w:sz w:val="18"/>
                <w:szCs w:val="18"/>
              </w:rPr>
              <w:t>B5份额：销售费年化0.2%</w:t>
            </w:r>
          </w:p>
          <w:p>
            <w:pPr>
              <w:spacing w:line="200" w:lineRule="exact"/>
            </w:pPr>
            <w:r>
              <w:rPr>
                <w:rFonts w:ascii="方正黑体_GBK" w:eastAsia="方正黑体_GBK" w:cs="宋体"/>
                <w:b/>
                <w:sz w:val="18"/>
                <w:szCs w:val="18"/>
              </w:rPr>
              <w:t>C5份额：销售费年化0.15%</w:t>
            </w:r>
          </w:p>
          <w:p>
            <w:pPr>
              <w:spacing w:line="200" w:lineRule="exact"/>
            </w:pPr>
            <w:r>
              <w:rPr>
                <w:rFonts w:ascii="方正黑体_GBK" w:eastAsia="方正黑体_GBK" w:cs="宋体"/>
                <w:b/>
                <w:sz w:val="18"/>
                <w:szCs w:val="18"/>
              </w:rPr>
              <w:t>D5份额：销售费年化0.15%</w:t>
            </w:r>
          </w:p>
          <w:p>
            <w:pPr>
              <w:spacing w:line="200" w:lineRule="exact"/>
            </w:pPr>
            <w:r>
              <w:rPr>
                <w:rFonts w:ascii="方正黑体_GBK" w:eastAsia="方正黑体_GBK" w:cs="宋体"/>
                <w:b/>
                <w:sz w:val="18"/>
                <w:szCs w:val="18"/>
              </w:rPr>
              <w:t>E5份额：销售费年化0.05%</w:t>
            </w:r>
          </w:p>
          <w:p>
            <w:pPr>
              <w:spacing w:line="200" w:lineRule="exact"/>
            </w:pPr>
            <w:r>
              <w:rPr>
                <w:rFonts w:ascii="方正黑体_GBK" w:eastAsia="方正黑体_GBK" w:cs="宋体"/>
                <w:b/>
                <w:sz w:val="18"/>
                <w:szCs w:val="18"/>
              </w:rPr>
              <w:t>每日计提的销售费=前一日理财产品资产净值×年化销售费率÷365</w:t>
            </w:r>
          </w:p>
          <w:p>
            <w:pPr>
              <w:spacing w:line="200" w:lineRule="exact"/>
            </w:pPr>
            <w:r>
              <w:rPr>
                <w:rFonts w:ascii="方正黑体_GBK" w:eastAsia="方正黑体_GBK" w:cs="宋体"/>
                <w:b/>
                <w:sz w:val="18"/>
                <w:szCs w:val="18"/>
              </w:rPr>
              <w:t>固定管理费：本理财产品按前一日理财产品资产净值收取固定管理费，按日计提。</w:t>
            </w:r>
          </w:p>
          <w:p>
            <w:pPr>
              <w:spacing w:line="200" w:lineRule="exact"/>
            </w:pPr>
            <w:r>
              <w:rPr>
                <w:rFonts w:ascii="方正黑体_GBK" w:eastAsia="方正黑体_GBK" w:cs="宋体"/>
                <w:b/>
                <w:sz w:val="18"/>
                <w:szCs w:val="18"/>
              </w:rPr>
              <w:t>A份额：固定管理费年化0.2%</w:t>
            </w:r>
          </w:p>
          <w:p>
            <w:pPr>
              <w:spacing w:line="200" w:lineRule="exact"/>
            </w:pPr>
            <w:r>
              <w:rPr>
                <w:rFonts w:ascii="方正黑体_GBK" w:eastAsia="方正黑体_GBK" w:cs="宋体"/>
                <w:b/>
                <w:sz w:val="18"/>
                <w:szCs w:val="18"/>
              </w:rPr>
              <w:t>F份额：固定管理费年化0.15%</w:t>
            </w:r>
          </w:p>
          <w:p>
            <w:pPr>
              <w:spacing w:line="200" w:lineRule="exact"/>
            </w:pPr>
            <w:r>
              <w:rPr>
                <w:rFonts w:ascii="方正黑体_GBK" w:eastAsia="方正黑体_GBK" w:cs="宋体"/>
                <w:b/>
                <w:sz w:val="18"/>
                <w:szCs w:val="18"/>
              </w:rPr>
              <w:t>A2份额：固定管理费年化0.2%</w:t>
            </w:r>
          </w:p>
          <w:p>
            <w:pPr>
              <w:spacing w:line="200" w:lineRule="exact"/>
            </w:pPr>
            <w:r>
              <w:rPr>
                <w:rFonts w:ascii="方正黑体_GBK" w:eastAsia="方正黑体_GBK" w:cs="宋体"/>
                <w:b/>
                <w:sz w:val="18"/>
                <w:szCs w:val="18"/>
              </w:rPr>
              <w:t>A3份额：固定管理费年化0.2%</w:t>
            </w:r>
          </w:p>
          <w:p>
            <w:pPr>
              <w:spacing w:line="200" w:lineRule="exact"/>
            </w:pPr>
            <w:r>
              <w:rPr>
                <w:rFonts w:ascii="方正黑体_GBK" w:eastAsia="方正黑体_GBK" w:cs="宋体"/>
                <w:b/>
                <w:sz w:val="18"/>
                <w:szCs w:val="18"/>
              </w:rPr>
              <w:t>B4份额：固定管理费年化0.2%</w:t>
            </w:r>
          </w:p>
          <w:p>
            <w:pPr>
              <w:spacing w:line="200" w:lineRule="exact"/>
            </w:pPr>
            <w:r>
              <w:rPr>
                <w:rFonts w:ascii="方正黑体_GBK" w:eastAsia="方正黑体_GBK" w:cs="宋体"/>
                <w:b/>
                <w:sz w:val="18"/>
                <w:szCs w:val="18"/>
              </w:rPr>
              <w:t>C4份额：固定管理费年化0.2%</w:t>
            </w:r>
          </w:p>
          <w:p>
            <w:pPr>
              <w:spacing w:line="200" w:lineRule="exact"/>
            </w:pPr>
            <w:r>
              <w:rPr>
                <w:rFonts w:ascii="方正黑体_GBK" w:eastAsia="方正黑体_GBK" w:cs="宋体"/>
                <w:b/>
                <w:sz w:val="18"/>
                <w:szCs w:val="18"/>
              </w:rPr>
              <w:t>D4份额：固定管理费年化0.15%</w:t>
            </w:r>
          </w:p>
          <w:p>
            <w:pPr>
              <w:spacing w:line="200" w:lineRule="exact"/>
            </w:pPr>
            <w:r>
              <w:rPr>
                <w:rFonts w:ascii="方正黑体_GBK" w:eastAsia="方正黑体_GBK" w:cs="宋体"/>
                <w:b/>
                <w:sz w:val="18"/>
                <w:szCs w:val="18"/>
              </w:rPr>
              <w:t>E4份额：固定管理费年化0.15%</w:t>
            </w:r>
          </w:p>
          <w:p>
            <w:pPr>
              <w:spacing w:line="200" w:lineRule="exact"/>
            </w:pPr>
            <w:r>
              <w:rPr>
                <w:rFonts w:ascii="方正黑体_GBK" w:eastAsia="方正黑体_GBK" w:cs="宋体"/>
                <w:b/>
                <w:sz w:val="18"/>
                <w:szCs w:val="18"/>
              </w:rPr>
              <w:t>F2份额：固定管理费年化0.15%</w:t>
            </w:r>
          </w:p>
          <w:p>
            <w:pPr>
              <w:spacing w:line="200" w:lineRule="exact"/>
            </w:pPr>
            <w:r>
              <w:rPr>
                <w:rFonts w:ascii="方正黑体_GBK" w:eastAsia="方正黑体_GBK" w:cs="宋体"/>
                <w:b/>
                <w:sz w:val="18"/>
                <w:szCs w:val="18"/>
              </w:rPr>
              <w:t>F3份额：固定管理费年化0.15%</w:t>
            </w:r>
          </w:p>
          <w:p>
            <w:pPr>
              <w:spacing w:line="200" w:lineRule="exact"/>
            </w:pPr>
            <w:r>
              <w:rPr>
                <w:rFonts w:ascii="方正黑体_GBK" w:eastAsia="方正黑体_GBK" w:cs="宋体"/>
                <w:b/>
                <w:sz w:val="18"/>
                <w:szCs w:val="18"/>
              </w:rPr>
              <w:t>G3份额：固定管理费年化0.15%</w:t>
            </w:r>
          </w:p>
          <w:p>
            <w:pPr>
              <w:spacing w:line="200" w:lineRule="exact"/>
            </w:pPr>
            <w:r>
              <w:rPr>
                <w:rFonts w:ascii="方正黑体_GBK" w:eastAsia="方正黑体_GBK" w:cs="宋体"/>
                <w:b/>
                <w:sz w:val="18"/>
                <w:szCs w:val="18"/>
              </w:rPr>
              <w:t>G4份额：固定管理费年化0.15%</w:t>
            </w:r>
          </w:p>
          <w:p>
            <w:pPr>
              <w:spacing w:line="200" w:lineRule="exact"/>
            </w:pPr>
            <w:r>
              <w:rPr>
                <w:rFonts w:ascii="方正黑体_GBK" w:eastAsia="方正黑体_GBK" w:cs="宋体"/>
                <w:b/>
                <w:sz w:val="18"/>
                <w:szCs w:val="18"/>
              </w:rPr>
              <w:t>J2份额：固定管理费年化0.1%</w:t>
            </w:r>
          </w:p>
          <w:p>
            <w:pPr>
              <w:spacing w:line="200" w:lineRule="exact"/>
            </w:pPr>
            <w:r>
              <w:rPr>
                <w:rFonts w:ascii="方正黑体_GBK" w:eastAsia="方正黑体_GBK" w:cs="宋体"/>
                <w:b/>
                <w:sz w:val="18"/>
                <w:szCs w:val="18"/>
              </w:rPr>
              <w:t>L2份额：固定管理费年化0.1%</w:t>
            </w:r>
          </w:p>
          <w:p>
            <w:pPr>
              <w:spacing w:line="200" w:lineRule="exact"/>
            </w:pPr>
            <w:r>
              <w:rPr>
                <w:rFonts w:ascii="方正黑体_GBK" w:eastAsia="方正黑体_GBK" w:cs="宋体"/>
                <w:b/>
                <w:sz w:val="18"/>
                <w:szCs w:val="18"/>
              </w:rPr>
              <w:t>J3份额：固定管理费年化0.1%</w:t>
            </w:r>
          </w:p>
          <w:p>
            <w:pPr>
              <w:spacing w:line="200" w:lineRule="exact"/>
            </w:pPr>
            <w:r>
              <w:rPr>
                <w:rFonts w:ascii="方正黑体_GBK" w:eastAsia="方正黑体_GBK" w:cs="宋体"/>
                <w:b/>
                <w:sz w:val="18"/>
                <w:szCs w:val="18"/>
              </w:rPr>
              <w:t>L3份额：固定管理费年化0.1%</w:t>
            </w:r>
          </w:p>
          <w:p>
            <w:pPr>
              <w:spacing w:line="200" w:lineRule="exact"/>
            </w:pPr>
            <w:r>
              <w:rPr>
                <w:rFonts w:ascii="方正黑体_GBK" w:eastAsia="方正黑体_GBK" w:cs="宋体"/>
                <w:b/>
                <w:sz w:val="18"/>
                <w:szCs w:val="18"/>
              </w:rPr>
              <w:t>M2份额：固定管理费年化0.2%</w:t>
            </w:r>
          </w:p>
          <w:p>
            <w:pPr>
              <w:spacing w:line="200" w:lineRule="exact"/>
            </w:pPr>
            <w:r>
              <w:rPr>
                <w:rFonts w:ascii="方正黑体_GBK" w:eastAsia="方正黑体_GBK" w:cs="宋体"/>
                <w:b/>
                <w:sz w:val="18"/>
                <w:szCs w:val="18"/>
              </w:rPr>
              <w:t>M3份额：固定管理费年化0.2%</w:t>
            </w:r>
          </w:p>
          <w:p>
            <w:pPr>
              <w:spacing w:line="200" w:lineRule="exact"/>
            </w:pPr>
            <w:r>
              <w:rPr>
                <w:rFonts w:ascii="方正黑体_GBK" w:eastAsia="方正黑体_GBK" w:cs="宋体"/>
                <w:b/>
                <w:sz w:val="18"/>
                <w:szCs w:val="18"/>
              </w:rPr>
              <w:t>O2份额：固定管理费年化0.1%</w:t>
            </w:r>
          </w:p>
          <w:p>
            <w:pPr>
              <w:spacing w:line="200" w:lineRule="exact"/>
            </w:pPr>
            <w:r>
              <w:rPr>
                <w:rFonts w:ascii="方正黑体_GBK" w:eastAsia="方正黑体_GBK" w:cs="宋体"/>
                <w:b/>
                <w:sz w:val="18"/>
                <w:szCs w:val="18"/>
              </w:rPr>
              <w:t>O3份额：固定管理费年化0.1%</w:t>
            </w:r>
          </w:p>
          <w:p>
            <w:pPr>
              <w:spacing w:line="200" w:lineRule="exact"/>
            </w:pPr>
            <w:r>
              <w:rPr>
                <w:rFonts w:ascii="方正黑体_GBK" w:eastAsia="方正黑体_GBK" w:cs="宋体"/>
                <w:b/>
                <w:sz w:val="18"/>
                <w:szCs w:val="18"/>
              </w:rPr>
              <w:t>Q1份额：固定管理费年化0.2%</w:t>
            </w:r>
          </w:p>
          <w:p>
            <w:pPr>
              <w:spacing w:line="200" w:lineRule="exact"/>
            </w:pPr>
            <w:r>
              <w:rPr>
                <w:rFonts w:ascii="方正黑体_GBK" w:eastAsia="方正黑体_GBK" w:cs="宋体"/>
                <w:b/>
                <w:sz w:val="18"/>
                <w:szCs w:val="18"/>
              </w:rPr>
              <w:t>R1份额：固定管理费年化0.15%</w:t>
            </w:r>
          </w:p>
          <w:p>
            <w:pPr>
              <w:spacing w:line="200" w:lineRule="exact"/>
            </w:pPr>
            <w:r>
              <w:rPr>
                <w:rFonts w:ascii="方正黑体_GBK" w:eastAsia="方正黑体_GBK" w:cs="宋体"/>
                <w:b/>
                <w:sz w:val="18"/>
                <w:szCs w:val="18"/>
              </w:rPr>
              <w:t>Q2份额：固定管理费年化0.2%</w:t>
            </w:r>
          </w:p>
          <w:p>
            <w:pPr>
              <w:spacing w:line="200" w:lineRule="exact"/>
            </w:pPr>
            <w:r>
              <w:rPr>
                <w:rFonts w:ascii="方正黑体_GBK" w:eastAsia="方正黑体_GBK" w:cs="宋体"/>
                <w:b/>
                <w:sz w:val="18"/>
                <w:szCs w:val="18"/>
              </w:rPr>
              <w:t>R2份额：固定管理费年化0.15%</w:t>
            </w:r>
          </w:p>
          <w:p>
            <w:pPr>
              <w:spacing w:line="200" w:lineRule="exact"/>
            </w:pPr>
            <w:r>
              <w:rPr>
                <w:rFonts w:ascii="方正黑体_GBK" w:eastAsia="方正黑体_GBK" w:cs="宋体"/>
                <w:b/>
                <w:sz w:val="18"/>
                <w:szCs w:val="18"/>
              </w:rPr>
              <w:t>Q3份额：固定管理费年化0.2%</w:t>
            </w:r>
          </w:p>
          <w:p>
            <w:pPr>
              <w:spacing w:line="200" w:lineRule="exact"/>
            </w:pPr>
            <w:r>
              <w:rPr>
                <w:rFonts w:ascii="方正黑体_GBK" w:eastAsia="方正黑体_GBK" w:cs="宋体"/>
                <w:b/>
                <w:sz w:val="18"/>
                <w:szCs w:val="18"/>
              </w:rPr>
              <w:t>R3份额：固定管理费年化0.15%</w:t>
            </w:r>
          </w:p>
          <w:p>
            <w:pPr>
              <w:spacing w:line="200" w:lineRule="exact"/>
            </w:pPr>
            <w:r>
              <w:rPr>
                <w:rFonts w:ascii="方正黑体_GBK" w:eastAsia="方正黑体_GBK" w:cs="宋体"/>
                <w:b/>
                <w:sz w:val="18"/>
                <w:szCs w:val="18"/>
              </w:rPr>
              <w:t>B1份额：固定管理费年化0.2%</w:t>
            </w:r>
          </w:p>
          <w:p>
            <w:pPr>
              <w:spacing w:line="200" w:lineRule="exact"/>
            </w:pPr>
            <w:r>
              <w:rPr>
                <w:rFonts w:ascii="方正黑体_GBK" w:eastAsia="方正黑体_GBK" w:cs="宋体"/>
                <w:b/>
                <w:sz w:val="18"/>
                <w:szCs w:val="18"/>
              </w:rPr>
              <w:t>C1份额：固定管理费年化0.2%</w:t>
            </w:r>
          </w:p>
          <w:p>
            <w:pPr>
              <w:spacing w:line="200" w:lineRule="exact"/>
            </w:pPr>
            <w:r>
              <w:rPr>
                <w:rFonts w:ascii="方正黑体_GBK" w:eastAsia="方正黑体_GBK" w:cs="宋体"/>
                <w:b/>
                <w:sz w:val="18"/>
                <w:szCs w:val="18"/>
              </w:rPr>
              <w:t>D1份额：固定管理费年化0.15%</w:t>
            </w:r>
          </w:p>
          <w:p>
            <w:pPr>
              <w:spacing w:line="200" w:lineRule="exact"/>
            </w:pPr>
            <w:r>
              <w:rPr>
                <w:rFonts w:ascii="方正黑体_GBK" w:eastAsia="方正黑体_GBK" w:cs="宋体"/>
                <w:b/>
                <w:sz w:val="18"/>
                <w:szCs w:val="18"/>
              </w:rPr>
              <w:t>E1份额：固定管理费年化0.15%</w:t>
            </w:r>
          </w:p>
          <w:p>
            <w:pPr>
              <w:spacing w:line="200" w:lineRule="exact"/>
            </w:pPr>
            <w:r>
              <w:rPr>
                <w:rFonts w:ascii="方正黑体_GBK" w:eastAsia="方正黑体_GBK" w:cs="宋体"/>
                <w:b/>
                <w:sz w:val="18"/>
                <w:szCs w:val="18"/>
              </w:rPr>
              <w:t>G1份额：固定管理费年化0.15%</w:t>
            </w:r>
          </w:p>
          <w:p>
            <w:pPr>
              <w:spacing w:line="200" w:lineRule="exact"/>
            </w:pPr>
            <w:r>
              <w:rPr>
                <w:rFonts w:ascii="方正黑体_GBK" w:eastAsia="方正黑体_GBK" w:cs="宋体"/>
                <w:b/>
                <w:sz w:val="18"/>
                <w:szCs w:val="18"/>
              </w:rPr>
              <w:t>I1份额：固定管理费年化0.15%</w:t>
            </w:r>
          </w:p>
          <w:p>
            <w:pPr>
              <w:spacing w:line="200" w:lineRule="exact"/>
            </w:pPr>
            <w:r>
              <w:rPr>
                <w:rFonts w:ascii="方正黑体_GBK" w:eastAsia="方正黑体_GBK" w:cs="宋体"/>
                <w:b/>
                <w:sz w:val="18"/>
                <w:szCs w:val="18"/>
              </w:rPr>
              <w:t>J1份额：固定管理费年化0.1%</w:t>
            </w:r>
          </w:p>
          <w:p>
            <w:pPr>
              <w:spacing w:line="200" w:lineRule="exact"/>
            </w:pPr>
            <w:r>
              <w:rPr>
                <w:rFonts w:ascii="方正黑体_GBK" w:eastAsia="方正黑体_GBK" w:cs="宋体"/>
                <w:b/>
                <w:sz w:val="18"/>
                <w:szCs w:val="18"/>
              </w:rPr>
              <w:t>L1份额：固定管理费年化0.1%</w:t>
            </w:r>
          </w:p>
          <w:p>
            <w:pPr>
              <w:spacing w:line="200" w:lineRule="exact"/>
            </w:pPr>
            <w:r>
              <w:rPr>
                <w:rFonts w:ascii="方正黑体_GBK" w:eastAsia="方正黑体_GBK" w:cs="宋体"/>
                <w:b/>
                <w:sz w:val="18"/>
                <w:szCs w:val="18"/>
              </w:rPr>
              <w:t>M1份额：固定管理费年化0.2%</w:t>
            </w:r>
          </w:p>
          <w:p>
            <w:pPr>
              <w:spacing w:line="200" w:lineRule="exact"/>
            </w:pPr>
            <w:r>
              <w:rPr>
                <w:rFonts w:ascii="方正黑体_GBK" w:eastAsia="方正黑体_GBK" w:cs="宋体"/>
                <w:b/>
                <w:sz w:val="18"/>
                <w:szCs w:val="18"/>
              </w:rPr>
              <w:t>N1份额：固定管理费年化0.1%</w:t>
            </w:r>
          </w:p>
          <w:p>
            <w:pPr>
              <w:spacing w:line="200" w:lineRule="exact"/>
            </w:pPr>
            <w:r>
              <w:rPr>
                <w:rFonts w:ascii="方正黑体_GBK" w:eastAsia="方正黑体_GBK" w:cs="宋体"/>
                <w:b/>
                <w:sz w:val="18"/>
                <w:szCs w:val="18"/>
              </w:rPr>
              <w:t>O1份额：固定管理费年化0.1%</w:t>
            </w:r>
          </w:p>
          <w:p>
            <w:pPr>
              <w:spacing w:line="200" w:lineRule="exact"/>
            </w:pPr>
            <w:r>
              <w:rPr>
                <w:rFonts w:ascii="方正黑体_GBK" w:eastAsia="方正黑体_GBK" w:cs="宋体"/>
                <w:b/>
                <w:sz w:val="18"/>
                <w:szCs w:val="18"/>
              </w:rPr>
              <w:t>S1份额：固定管理费年化0.15%</w:t>
            </w:r>
          </w:p>
          <w:p>
            <w:pPr>
              <w:spacing w:line="200" w:lineRule="exact"/>
            </w:pPr>
            <w:r>
              <w:rPr>
                <w:rFonts w:ascii="方正黑体_GBK" w:eastAsia="方正黑体_GBK" w:cs="宋体"/>
                <w:b/>
                <w:sz w:val="18"/>
                <w:szCs w:val="18"/>
              </w:rPr>
              <w:t>S2份额：固定管理费年化0.15%</w:t>
            </w:r>
          </w:p>
          <w:p>
            <w:pPr>
              <w:spacing w:line="200" w:lineRule="exact"/>
            </w:pPr>
            <w:r>
              <w:rPr>
                <w:rFonts w:ascii="方正黑体_GBK" w:eastAsia="方正黑体_GBK" w:cs="宋体"/>
                <w:b/>
                <w:sz w:val="18"/>
                <w:szCs w:val="18"/>
              </w:rPr>
              <w:t>S3份额：固定管理费年化0.15%</w:t>
            </w:r>
          </w:p>
          <w:p>
            <w:pPr>
              <w:spacing w:line="200" w:lineRule="exact"/>
            </w:pPr>
            <w:r>
              <w:rPr>
                <w:rFonts w:ascii="方正黑体_GBK" w:eastAsia="方正黑体_GBK" w:cs="宋体"/>
                <w:b/>
                <w:sz w:val="18"/>
                <w:szCs w:val="18"/>
              </w:rPr>
              <w:t>T1份额：固定管理费年化0.15%</w:t>
            </w:r>
          </w:p>
          <w:p>
            <w:pPr>
              <w:spacing w:line="200" w:lineRule="exact"/>
            </w:pPr>
            <w:r>
              <w:rPr>
                <w:rFonts w:ascii="方正黑体_GBK" w:eastAsia="方正黑体_GBK" w:cs="宋体"/>
                <w:b/>
                <w:sz w:val="18"/>
                <w:szCs w:val="18"/>
              </w:rPr>
              <w:t>T2份额：固定管理费年化0.15%</w:t>
            </w:r>
          </w:p>
          <w:p>
            <w:pPr>
              <w:spacing w:line="200" w:lineRule="exact"/>
            </w:pPr>
            <w:r>
              <w:rPr>
                <w:rFonts w:ascii="方正黑体_GBK" w:eastAsia="方正黑体_GBK" w:cs="宋体"/>
                <w:b/>
                <w:sz w:val="18"/>
                <w:szCs w:val="18"/>
              </w:rPr>
              <w:t>T3份额：固定管理费年化0.15%</w:t>
            </w:r>
          </w:p>
          <w:p>
            <w:pPr>
              <w:spacing w:line="200" w:lineRule="exact"/>
            </w:pPr>
            <w:r>
              <w:rPr>
                <w:rFonts w:ascii="方正黑体_GBK" w:eastAsia="方正黑体_GBK" w:cs="宋体"/>
                <w:b/>
                <w:sz w:val="18"/>
                <w:szCs w:val="18"/>
              </w:rPr>
              <w:t>B5份额：固定管理费年化0.2%</w:t>
            </w:r>
          </w:p>
          <w:p>
            <w:pPr>
              <w:spacing w:line="200" w:lineRule="exact"/>
            </w:pPr>
            <w:r>
              <w:rPr>
                <w:rFonts w:ascii="方正黑体_GBK" w:eastAsia="方正黑体_GBK" w:cs="宋体"/>
                <w:b/>
                <w:sz w:val="18"/>
                <w:szCs w:val="18"/>
              </w:rPr>
              <w:t>C5份额：固定管理费年化0.2%</w:t>
            </w:r>
          </w:p>
          <w:p>
            <w:pPr>
              <w:spacing w:line="200" w:lineRule="exact"/>
            </w:pPr>
            <w:r>
              <w:rPr>
                <w:rFonts w:ascii="方正黑体_GBK" w:eastAsia="方正黑体_GBK" w:cs="宋体"/>
                <w:b/>
                <w:sz w:val="18"/>
                <w:szCs w:val="18"/>
              </w:rPr>
              <w:t>D5份额：固定管理费年化0.15%</w:t>
            </w:r>
          </w:p>
          <w:p>
            <w:pPr>
              <w:spacing w:line="200" w:lineRule="exact"/>
            </w:pPr>
            <w:r>
              <w:rPr>
                <w:rFonts w:ascii="方正黑体_GBK" w:eastAsia="方正黑体_GBK" w:cs="宋体"/>
                <w:b/>
                <w:sz w:val="18"/>
                <w:szCs w:val="18"/>
              </w:rPr>
              <w:t>E5份额：固定管理费年化0.15%</w:t>
            </w:r>
          </w:p>
          <w:p>
            <w:pPr>
              <w:spacing w:line="200" w:lineRule="exact"/>
            </w:pPr>
            <w:r>
              <w:rPr>
                <w:rFonts w:ascii="方正黑体_GBK" w:eastAsia="方正黑体_GBK" w:cs="宋体"/>
                <w:b/>
                <w:sz w:val="18"/>
                <w:szCs w:val="18"/>
              </w:rPr>
              <w:t>每日计提的固定管理费=前一日理财产品资产净值×年化固定管理费率÷365</w:t>
            </w:r>
          </w:p>
          <w:p>
            <w:pPr>
              <w:spacing w:line="200" w:lineRule="exact"/>
            </w:pPr>
            <w:r>
              <w:rPr>
                <w:rFonts w:ascii="方正黑体_GBK" w:eastAsia="方正黑体_GBK" w:cs="宋体"/>
                <w:b/>
                <w:sz w:val="18"/>
                <w:szCs w:val="18"/>
              </w:rPr>
              <w:t>托管费：</w:t>
            </w:r>
          </w:p>
          <w:p>
            <w:pPr>
              <w:spacing w:line="200" w:lineRule="exact"/>
            </w:pPr>
            <w:r>
              <w:rPr>
                <w:rFonts w:ascii="方正黑体_GBK" w:eastAsia="方正黑体_GBK" w:cs="宋体"/>
                <w:b/>
                <w:sz w:val="18"/>
                <w:szCs w:val="18"/>
              </w:rPr>
              <w:t>本理财产品按前一日理财产品资产净值收取年化0.02%的托管费，按日计提。</w:t>
            </w:r>
          </w:p>
          <w:p>
            <w:pPr>
              <w:spacing w:line="200" w:lineRule="exact"/>
            </w:pPr>
            <w:r>
              <w:rPr>
                <w:rFonts w:ascii="方正黑体_GBK" w:eastAsia="方正黑体_GBK" w:cs="宋体"/>
                <w:b/>
                <w:sz w:val="18"/>
                <w:szCs w:val="18"/>
              </w:rPr>
              <w:t>每日计提的托管费=前一日理财产品资产净值×年化托管费率÷365</w:t>
            </w:r>
          </w:p>
          <w:p>
            <w:pPr>
              <w:spacing w:line="200" w:lineRule="exact"/>
            </w:pPr>
            <w:r>
              <w:rPr>
                <w:rFonts w:ascii="方正黑体_GBK" w:eastAsia="方正黑体_GBK" w:cs="宋体"/>
                <w:b/>
                <w:sz w:val="18"/>
                <w:szCs w:val="18"/>
              </w:rPr>
              <w:t>业绩报酬：</w:t>
            </w:r>
          </w:p>
          <w:p>
            <w:pPr>
              <w:spacing w:line="200" w:lineRule="exact"/>
            </w:pPr>
            <w:r>
              <w:rPr>
                <w:rFonts w:ascii="方正黑体_GBK" w:eastAsia="方正黑体_GBK" w:cs="宋体"/>
                <w:b/>
                <w:sz w:val="18"/>
                <w:szCs w:val="18"/>
              </w:rPr>
              <w:t>A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spacing w:line="200" w:lineRule="exact"/>
            </w:pPr>
            <w:r>
              <w:rPr>
                <w:rFonts w:ascii="方正黑体_GBK" w:eastAsia="方正黑体_GBK" w:cs="宋体"/>
                <w:b/>
                <w:sz w:val="18"/>
                <w:szCs w:val="18"/>
              </w:rPr>
              <w:t>F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spacing w:line="200" w:lineRule="exact"/>
            </w:pPr>
            <w:r>
              <w:rPr>
                <w:rFonts w:ascii="方正黑体_GBK" w:eastAsia="方正黑体_GBK" w:cs="宋体"/>
                <w:b/>
                <w:sz w:val="18"/>
                <w:szCs w:val="18"/>
              </w:rPr>
              <w:t>A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spacing w:line="200" w:lineRule="exact"/>
            </w:pPr>
            <w:r>
              <w:rPr>
                <w:rFonts w:ascii="方正黑体_GBK" w:eastAsia="方正黑体_GBK" w:cs="宋体"/>
                <w:b/>
                <w:sz w:val="18"/>
                <w:szCs w:val="18"/>
              </w:rPr>
              <w:t>A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spacing w:line="200" w:lineRule="exact"/>
            </w:pPr>
            <w:r>
              <w:rPr>
                <w:rFonts w:ascii="方正黑体_GBK" w:eastAsia="方正黑体_GBK" w:cs="宋体"/>
                <w:b/>
                <w:sz w:val="18"/>
                <w:szCs w:val="18"/>
              </w:rPr>
              <w:t>B4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spacing w:line="200" w:lineRule="exact"/>
            </w:pPr>
            <w:r>
              <w:rPr>
                <w:rFonts w:ascii="方正黑体_GBK" w:eastAsia="方正黑体_GBK" w:cs="宋体"/>
                <w:b/>
                <w:sz w:val="18"/>
                <w:szCs w:val="18"/>
              </w:rPr>
              <w:t>C4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pPr>
              <w:spacing w:line="200" w:lineRule="exact"/>
            </w:pPr>
            <w:r>
              <w:rPr>
                <w:rFonts w:ascii="方正黑体_GBK" w:eastAsia="方正黑体_GBK" w:cs="宋体"/>
                <w:b/>
                <w:sz w:val="18"/>
                <w:szCs w:val="18"/>
              </w:rPr>
              <w:t>D4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spacing w:line="200" w:lineRule="exact"/>
            </w:pPr>
            <w:r>
              <w:rPr>
                <w:rFonts w:ascii="方正黑体_GBK" w:eastAsia="方正黑体_GBK" w:cs="宋体"/>
                <w:b/>
                <w:sz w:val="18"/>
                <w:szCs w:val="18"/>
              </w:rPr>
              <w:t>E4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pPr>
              <w:spacing w:line="200" w:lineRule="exact"/>
            </w:pPr>
            <w:r>
              <w:rPr>
                <w:rFonts w:ascii="方正黑体_GBK" w:eastAsia="方正黑体_GBK" w:cs="宋体"/>
                <w:b/>
                <w:sz w:val="18"/>
                <w:szCs w:val="18"/>
              </w:rPr>
              <w:t>F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spacing w:line="200" w:lineRule="exact"/>
            </w:pPr>
            <w:r>
              <w:rPr>
                <w:rFonts w:ascii="方正黑体_GBK" w:eastAsia="方正黑体_GBK" w:cs="宋体"/>
                <w:b/>
                <w:sz w:val="18"/>
                <w:szCs w:val="18"/>
              </w:rPr>
              <w:t>F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spacing w:line="200" w:lineRule="exact"/>
            </w:pPr>
            <w:r>
              <w:rPr>
                <w:rFonts w:ascii="方正黑体_GBK" w:eastAsia="方正黑体_GBK" w:cs="宋体"/>
                <w:b/>
                <w:sz w:val="18"/>
                <w:szCs w:val="18"/>
              </w:rPr>
              <w:t>G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spacing w:line="200" w:lineRule="exact"/>
            </w:pPr>
            <w:r>
              <w:rPr>
                <w:rFonts w:ascii="方正黑体_GBK" w:eastAsia="方正黑体_GBK" w:cs="宋体"/>
                <w:b/>
                <w:sz w:val="18"/>
                <w:szCs w:val="18"/>
              </w:rPr>
              <w:t>G4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spacing w:line="200" w:lineRule="exact"/>
            </w:pPr>
            <w:r>
              <w:rPr>
                <w:rFonts w:ascii="方正黑体_GBK" w:eastAsia="方正黑体_GBK" w:cs="宋体"/>
                <w:b/>
                <w:sz w:val="18"/>
                <w:szCs w:val="18"/>
              </w:rPr>
              <w:t>J2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pPr>
              <w:spacing w:line="200" w:lineRule="exact"/>
            </w:pPr>
            <w:r>
              <w:rPr>
                <w:rFonts w:ascii="方正黑体_GBK" w:eastAsia="方正黑体_GBK" w:cs="宋体"/>
                <w:b/>
                <w:sz w:val="18"/>
                <w:szCs w:val="18"/>
              </w:rPr>
              <w:t>L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spacing w:line="200" w:lineRule="exact"/>
            </w:pPr>
            <w:r>
              <w:rPr>
                <w:rFonts w:ascii="方正黑体_GBK" w:eastAsia="方正黑体_GBK" w:cs="宋体"/>
                <w:b/>
                <w:sz w:val="18"/>
                <w:szCs w:val="18"/>
              </w:rPr>
              <w:t>J3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pPr>
              <w:spacing w:line="200" w:lineRule="exact"/>
            </w:pPr>
            <w:r>
              <w:rPr>
                <w:rFonts w:ascii="方正黑体_GBK" w:eastAsia="方正黑体_GBK" w:cs="宋体"/>
                <w:b/>
                <w:sz w:val="18"/>
                <w:szCs w:val="18"/>
              </w:rPr>
              <w:t>L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spacing w:line="200" w:lineRule="exact"/>
            </w:pPr>
            <w:r>
              <w:rPr>
                <w:rFonts w:ascii="方正黑体_GBK" w:eastAsia="方正黑体_GBK" w:cs="宋体"/>
                <w:b/>
                <w:sz w:val="18"/>
                <w:szCs w:val="18"/>
              </w:rPr>
              <w:t>M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spacing w:line="200" w:lineRule="exact"/>
            </w:pPr>
            <w:r>
              <w:rPr>
                <w:rFonts w:ascii="方正黑体_GBK" w:eastAsia="方正黑体_GBK" w:cs="宋体"/>
                <w:b/>
                <w:sz w:val="18"/>
                <w:szCs w:val="18"/>
              </w:rPr>
              <w:t>M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spacing w:line="200" w:lineRule="exact"/>
            </w:pPr>
            <w:r>
              <w:rPr>
                <w:rFonts w:ascii="方正黑体_GBK" w:eastAsia="方正黑体_GBK" w:cs="宋体"/>
                <w:b/>
                <w:sz w:val="18"/>
                <w:szCs w:val="18"/>
              </w:rPr>
              <w:t>O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spacing w:line="200" w:lineRule="exact"/>
            </w:pPr>
            <w:r>
              <w:rPr>
                <w:rFonts w:ascii="方正黑体_GBK" w:eastAsia="方正黑体_GBK" w:cs="宋体"/>
                <w:b/>
                <w:sz w:val="18"/>
                <w:szCs w:val="18"/>
              </w:rPr>
              <w:t>O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spacing w:line="200" w:lineRule="exact"/>
            </w:pPr>
            <w:r>
              <w:rPr>
                <w:rFonts w:ascii="方正黑体_GBK" w:eastAsia="方正黑体_GBK" w:cs="宋体"/>
                <w:b/>
                <w:sz w:val="18"/>
                <w:szCs w:val="18"/>
              </w:rPr>
              <w:t>Q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spacing w:line="200" w:lineRule="exact"/>
            </w:pPr>
            <w:r>
              <w:rPr>
                <w:rFonts w:ascii="方正黑体_GBK" w:eastAsia="方正黑体_GBK" w:cs="宋体"/>
                <w:b/>
                <w:sz w:val="18"/>
                <w:szCs w:val="18"/>
              </w:rPr>
              <w:t>R1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pPr>
              <w:spacing w:line="200" w:lineRule="exact"/>
            </w:pPr>
            <w:r>
              <w:rPr>
                <w:rFonts w:ascii="方正黑体_GBK" w:eastAsia="方正黑体_GBK" w:cs="宋体"/>
                <w:b/>
                <w:sz w:val="18"/>
                <w:szCs w:val="18"/>
              </w:rPr>
              <w:t>Q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spacing w:line="200" w:lineRule="exact"/>
            </w:pPr>
            <w:r>
              <w:rPr>
                <w:rFonts w:ascii="方正黑体_GBK" w:eastAsia="方正黑体_GBK" w:cs="宋体"/>
                <w:b/>
                <w:sz w:val="18"/>
                <w:szCs w:val="18"/>
              </w:rPr>
              <w:t>R2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pPr>
              <w:spacing w:line="200" w:lineRule="exact"/>
            </w:pPr>
            <w:r>
              <w:rPr>
                <w:rFonts w:ascii="方正黑体_GBK" w:eastAsia="方正黑体_GBK" w:cs="宋体"/>
                <w:b/>
                <w:sz w:val="18"/>
                <w:szCs w:val="18"/>
              </w:rPr>
              <w:t>Q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spacing w:line="200" w:lineRule="exact"/>
            </w:pPr>
            <w:r>
              <w:rPr>
                <w:rFonts w:ascii="方正黑体_GBK" w:eastAsia="方正黑体_GBK" w:cs="宋体"/>
                <w:b/>
                <w:sz w:val="18"/>
                <w:szCs w:val="18"/>
              </w:rPr>
              <w:t>R3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pPr>
              <w:spacing w:line="200" w:lineRule="exact"/>
            </w:pPr>
            <w:r>
              <w:rPr>
                <w:rFonts w:ascii="方正黑体_GBK" w:eastAsia="方正黑体_GBK" w:cs="宋体"/>
                <w:b/>
                <w:sz w:val="18"/>
                <w:szCs w:val="18"/>
              </w:rPr>
              <w:t>B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spacing w:line="200" w:lineRule="exact"/>
            </w:pPr>
            <w:r>
              <w:rPr>
                <w:rFonts w:ascii="方正黑体_GBK" w:eastAsia="方正黑体_GBK" w:cs="宋体"/>
                <w:b/>
                <w:sz w:val="18"/>
                <w:szCs w:val="18"/>
              </w:rPr>
              <w:t>C1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pPr>
              <w:spacing w:line="200" w:lineRule="exact"/>
            </w:pPr>
            <w:r>
              <w:rPr>
                <w:rFonts w:ascii="方正黑体_GBK" w:eastAsia="方正黑体_GBK" w:cs="宋体"/>
                <w:b/>
                <w:sz w:val="18"/>
                <w:szCs w:val="18"/>
              </w:rPr>
              <w:t>D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spacing w:line="200" w:lineRule="exact"/>
            </w:pPr>
            <w:r>
              <w:rPr>
                <w:rFonts w:ascii="方正黑体_GBK" w:eastAsia="方正黑体_GBK" w:cs="宋体"/>
                <w:b/>
                <w:sz w:val="18"/>
                <w:szCs w:val="18"/>
              </w:rPr>
              <w:t>E1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pPr>
              <w:spacing w:line="200" w:lineRule="exact"/>
            </w:pPr>
            <w:r>
              <w:rPr>
                <w:rFonts w:ascii="方正黑体_GBK" w:eastAsia="方正黑体_GBK" w:cs="宋体"/>
                <w:b/>
                <w:sz w:val="18"/>
                <w:szCs w:val="18"/>
              </w:rPr>
              <w:t>G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spacing w:line="200" w:lineRule="exact"/>
            </w:pPr>
            <w:r>
              <w:rPr>
                <w:rFonts w:ascii="方正黑体_GBK" w:eastAsia="方正黑体_GBK" w:cs="宋体"/>
                <w:b/>
                <w:sz w:val="18"/>
                <w:szCs w:val="18"/>
              </w:rPr>
              <w:t>I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spacing w:line="200" w:lineRule="exact"/>
            </w:pPr>
            <w:r>
              <w:rPr>
                <w:rFonts w:ascii="方正黑体_GBK" w:eastAsia="方正黑体_GBK" w:cs="宋体"/>
                <w:b/>
                <w:sz w:val="18"/>
                <w:szCs w:val="18"/>
              </w:rPr>
              <w:t>J1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pPr>
              <w:spacing w:line="200" w:lineRule="exact"/>
            </w:pPr>
            <w:r>
              <w:rPr>
                <w:rFonts w:ascii="方正黑体_GBK" w:eastAsia="方正黑体_GBK" w:cs="宋体"/>
                <w:b/>
                <w:sz w:val="18"/>
                <w:szCs w:val="18"/>
              </w:rPr>
              <w:t>L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spacing w:line="200" w:lineRule="exact"/>
            </w:pPr>
            <w:r>
              <w:rPr>
                <w:rFonts w:ascii="方正黑体_GBK" w:eastAsia="方正黑体_GBK" w:cs="宋体"/>
                <w:b/>
                <w:sz w:val="18"/>
                <w:szCs w:val="18"/>
              </w:rPr>
              <w:t>M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spacing w:line="200" w:lineRule="exact"/>
            </w:pPr>
            <w:r>
              <w:rPr>
                <w:rFonts w:ascii="方正黑体_GBK" w:eastAsia="方正黑体_GBK" w:cs="宋体"/>
                <w:b/>
                <w:sz w:val="18"/>
                <w:szCs w:val="18"/>
              </w:rPr>
              <w:t>N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pPr>
              <w:spacing w:line="200" w:lineRule="exact"/>
            </w:pPr>
            <w:r>
              <w:rPr>
                <w:rFonts w:ascii="方正黑体_GBK" w:eastAsia="方正黑体_GBK" w:cs="宋体"/>
                <w:b/>
                <w:sz w:val="18"/>
                <w:szCs w:val="18"/>
              </w:rPr>
              <w:t>O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spacing w:line="200" w:lineRule="exact"/>
            </w:pPr>
            <w:r>
              <w:rPr>
                <w:rFonts w:ascii="方正黑体_GBK" w:eastAsia="方正黑体_GBK" w:cs="宋体"/>
                <w:b/>
                <w:sz w:val="18"/>
                <w:szCs w:val="18"/>
              </w:rPr>
              <w:t>S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spacing w:line="200" w:lineRule="exact"/>
            </w:pPr>
            <w:r>
              <w:rPr>
                <w:rFonts w:ascii="方正黑体_GBK" w:eastAsia="方正黑体_GBK" w:cs="宋体"/>
                <w:b/>
                <w:sz w:val="18"/>
                <w:szCs w:val="18"/>
              </w:rPr>
              <w:t>S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spacing w:line="200" w:lineRule="exact"/>
            </w:pPr>
            <w:r>
              <w:rPr>
                <w:rFonts w:ascii="方正黑体_GBK" w:eastAsia="方正黑体_GBK" w:cs="宋体"/>
                <w:b/>
                <w:sz w:val="18"/>
                <w:szCs w:val="18"/>
              </w:rPr>
              <w:t>S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spacing w:line="200" w:lineRule="exact"/>
            </w:pPr>
            <w:r>
              <w:rPr>
                <w:rFonts w:ascii="方正黑体_GBK" w:eastAsia="方正黑体_GBK" w:cs="宋体"/>
                <w:b/>
                <w:sz w:val="18"/>
                <w:szCs w:val="18"/>
              </w:rPr>
              <w:t>T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spacing w:line="200" w:lineRule="exact"/>
            </w:pPr>
            <w:r>
              <w:rPr>
                <w:rFonts w:ascii="方正黑体_GBK" w:eastAsia="方正黑体_GBK" w:cs="宋体"/>
                <w:b/>
                <w:sz w:val="18"/>
                <w:szCs w:val="18"/>
              </w:rPr>
              <w:t>T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spacing w:line="200" w:lineRule="exact"/>
            </w:pPr>
            <w:r>
              <w:rPr>
                <w:rFonts w:ascii="方正黑体_GBK" w:eastAsia="方正黑体_GBK" w:cs="宋体"/>
                <w:b/>
                <w:sz w:val="18"/>
                <w:szCs w:val="18"/>
              </w:rPr>
              <w:t>T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spacing w:line="200" w:lineRule="exact"/>
            </w:pPr>
            <w:r>
              <w:rPr>
                <w:rFonts w:ascii="方正黑体_GBK" w:eastAsia="方正黑体_GBK" w:cs="宋体"/>
                <w:b/>
                <w:sz w:val="18"/>
                <w:szCs w:val="18"/>
              </w:rPr>
              <w:t>B5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spacing w:line="200" w:lineRule="exact"/>
            </w:pPr>
            <w:r>
              <w:rPr>
                <w:rFonts w:ascii="方正黑体_GBK" w:eastAsia="方正黑体_GBK" w:cs="宋体"/>
                <w:b/>
                <w:sz w:val="18"/>
                <w:szCs w:val="18"/>
              </w:rPr>
              <w:t>C5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pPr>
              <w:spacing w:line="200" w:lineRule="exact"/>
            </w:pPr>
            <w:r>
              <w:rPr>
                <w:rFonts w:ascii="方正黑体_GBK" w:eastAsia="方正黑体_GBK" w:cs="宋体"/>
                <w:b/>
                <w:sz w:val="18"/>
                <w:szCs w:val="18"/>
              </w:rPr>
              <w:t>D5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spacing w:line="200" w:lineRule="exact"/>
            </w:pPr>
            <w:r>
              <w:rPr>
                <w:rFonts w:ascii="方正黑体_GBK" w:eastAsia="方正黑体_GBK" w:cs="宋体"/>
                <w:b/>
                <w:sz w:val="18"/>
                <w:szCs w:val="18"/>
              </w:rPr>
              <w:t>E5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pPr>
              <w:spacing w:line="200" w:lineRule="exact"/>
            </w:pPr>
            <w:r>
              <w:rPr>
                <w:rFonts w:asci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spacing w:line="200" w:lineRule="exact"/>
            </w:pPr>
            <w:r>
              <w:rPr>
                <w:rFonts w:asci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spacing w:line="200" w:lineRule="exact"/>
            </w:pPr>
            <w:r>
              <w:rPr>
                <w:rFonts w:asci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pPr>
              <w:spacing w:line="200" w:lineRule="exact"/>
            </w:pPr>
            <w:r>
              <w:rPr>
                <w:rFonts w:asci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spacing w:line="200" w:lineRule="exact"/>
            </w:pPr>
            <w:r>
              <w:rPr>
                <w:rFonts w:ascii="方正黑体_GBK" w:eastAsia="方正黑体_GBK" w:cs="宋体"/>
                <w:b/>
                <w:sz w:val="18"/>
                <w:szCs w:val="18"/>
              </w:rPr>
              <w:t>计算本区间业绩报酬的公式如下：</w:t>
            </w:r>
          </w:p>
          <w:p>
            <w:pPr>
              <w:spacing w:line="200" w:lineRule="exact"/>
            </w:pPr>
            <w:r>
              <w:rPr>
                <w:rFonts w:ascii="方正黑体_GBK" w:eastAsia="方正黑体_GBK" w:cs="宋体"/>
                <w:b/>
                <w:sz w:val="18"/>
                <w:szCs w:val="18"/>
              </w:rPr>
              <w:t>A={B-C*D*(1+E*F/365)}*G。</w:t>
            </w:r>
          </w:p>
          <w:p>
            <w:pPr>
              <w:spacing w:line="200" w:lineRule="exact"/>
            </w:pPr>
            <w:r>
              <w:rPr>
                <w:rFonts w:asci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jc w:val="left"/>
            </w:pPr>
            <w:r>
              <w:rPr>
                <w:rFonts w:ascii="方正黑体_GBK" w:eastAsia="方正黑体_GBK" w:cs="宋体"/>
                <w:color w:val="000000"/>
                <w:sz w:val="18"/>
                <w:szCs w:val="18"/>
              </w:rPr>
              <w:t>具体参见本理财产品风险揭示书。</w:t>
            </w:r>
          </w:p>
          <w:p>
            <w:pPr>
              <w:spacing w:line="200" w:lineRule="exact"/>
              <w:jc w:val="left"/>
            </w:pPr>
            <w:r>
              <w:rPr>
                <w:rFonts w:asci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spacing w:line="200" w:lineRule="exact"/>
              <w:jc w:val="left"/>
            </w:pPr>
            <w:r>
              <w:rPr>
                <w:rFonts w:asci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pPr>
              <w:spacing w:line="200" w:lineRule="exact"/>
              <w:jc w:val="left"/>
            </w:pPr>
            <w:r>
              <w:rPr>
                <w:rFonts w:ascii="方正黑体_GBK" w:eastAsia="方正黑体_GBK" w:cs="宋体"/>
                <w:color w:val="000000"/>
                <w:sz w:val="18"/>
                <w:szCs w:val="18"/>
              </w:rPr>
              <w:t>二是为应对投资者的赎回，被迫以不适当的价格卖出债券或赎回基金；</w:t>
            </w:r>
          </w:p>
          <w:p>
            <w:pPr>
              <w:spacing w:line="200" w:lineRule="exact"/>
              <w:jc w:val="left"/>
            </w:pPr>
            <w:r>
              <w:rPr>
                <w:rFonts w:ascii="方正黑体_GBK" w:eastAsia="方正黑体_GBK" w:cs="宋体"/>
                <w:color w:val="000000"/>
                <w:sz w:val="18"/>
                <w:szCs w:val="18"/>
              </w:rPr>
              <w:t>三是若投资资产包括非标准化债权类资产，可能由于资产缺少流动性而难以变现。</w:t>
            </w:r>
          </w:p>
          <w:p>
            <w:pPr>
              <w:spacing w:line="200" w:lineRule="exact"/>
              <w:jc w:val="left"/>
            </w:pPr>
            <w:r>
              <w:rPr>
                <w:rFonts w:ascii="方正黑体_GBK" w:eastAsia="方正黑体_GBK" w:cs="宋体"/>
                <w:color w:val="000000"/>
                <w:sz w:val="18"/>
                <w:szCs w:val="18"/>
              </w:rPr>
              <w:t>以上情形均可能使产品净值受到不利影响。</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jc w:val="left"/>
            </w:pPr>
            <w:r>
              <w:rPr>
                <w:rFonts w:asci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spacing w:line="200" w:lineRule="exact"/>
              <w:jc w:val="left"/>
            </w:pPr>
            <w:r>
              <w:rPr>
                <w:rFonts w:ascii="方正黑体_GBK" w:eastAsia="方正黑体_GBK" w:cs="宋体"/>
                <w:color w:val="000000"/>
                <w:sz w:val="18"/>
                <w:szCs w:val="18"/>
              </w:rPr>
              <w:t>1.按照法律法规、监管规定及理财产品销售文件的约定，发行并管理理财产品；</w:t>
            </w:r>
          </w:p>
          <w:p>
            <w:pPr>
              <w:spacing w:line="200" w:lineRule="exact"/>
              <w:jc w:val="left"/>
            </w:pPr>
            <w:r>
              <w:rPr>
                <w:rFonts w:ascii="方正黑体_GBK" w:eastAsia="方正黑体_GBK" w:cs="宋体"/>
                <w:color w:val="000000"/>
                <w:sz w:val="18"/>
                <w:szCs w:val="18"/>
              </w:rPr>
              <w:t>2.根据理财产品的投资组合、同类产品过往业绩和风险状况等因素，对理财产品进行评级；</w:t>
            </w:r>
          </w:p>
          <w:p>
            <w:pPr>
              <w:spacing w:line="200" w:lineRule="exact"/>
              <w:jc w:val="left"/>
            </w:pPr>
            <w:r>
              <w:rPr>
                <w:rFonts w:ascii="方正黑体_GBK" w:eastAsia="方正黑体_GBK" w:cs="宋体"/>
                <w:color w:val="000000"/>
                <w:sz w:val="18"/>
                <w:szCs w:val="18"/>
              </w:rPr>
              <w:t>3.按照法律法规、监管规定及与投资者约定的信息披露渠道及时披露理财产品相关信息；</w:t>
            </w:r>
          </w:p>
          <w:p>
            <w:pPr>
              <w:spacing w:line="200" w:lineRule="exact"/>
              <w:jc w:val="left"/>
            </w:pPr>
            <w:r>
              <w:rPr>
                <w:rFonts w:ascii="方正黑体_GBK" w:eastAsia="方正黑体_GBK" w:cs="宋体"/>
                <w:color w:val="000000"/>
                <w:sz w:val="18"/>
                <w:szCs w:val="18"/>
              </w:rPr>
              <w:t>4.按照理财产品销售文件约定的投资范围和权限，负责理财产品资金的运用和管理，向投资者进行收益分配；</w:t>
            </w:r>
          </w:p>
          <w:p>
            <w:pPr>
              <w:spacing w:line="200" w:lineRule="exact"/>
              <w:jc w:val="left"/>
            </w:pPr>
            <w:r>
              <w:rPr>
                <w:rFonts w:ascii="方正黑体_GBK" w:eastAsia="方正黑体_GBK" w:cs="宋体"/>
                <w:color w:val="000000"/>
                <w:sz w:val="18"/>
                <w:szCs w:val="18"/>
              </w:rPr>
              <w:t>5.审慎选择理财产品销售机构，切实履行对销售机构的管理责任；</w:t>
            </w:r>
          </w:p>
          <w:p>
            <w:pPr>
              <w:spacing w:line="200" w:lineRule="exact"/>
              <w:jc w:val="left"/>
            </w:pPr>
            <w:r>
              <w:rPr>
                <w:rFonts w:ascii="方正黑体_GBK" w:eastAsia="方正黑体_GBK" w:cs="宋体"/>
                <w:color w:val="000000"/>
                <w:sz w:val="18"/>
                <w:szCs w:val="18"/>
              </w:rPr>
              <w:t>6.根据法律法规、监管规定建立健全投资者权益保护管理体系；</w:t>
            </w:r>
          </w:p>
          <w:p>
            <w:pPr>
              <w:spacing w:line="200" w:lineRule="exact"/>
              <w:jc w:val="left"/>
            </w:pPr>
            <w:r>
              <w:rPr>
                <w:rFonts w:ascii="方正黑体_GBK" w:eastAsia="方正黑体_GBK" w:cs="宋体"/>
                <w:color w:val="000000"/>
                <w:sz w:val="18"/>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jc w:val="left"/>
            </w:pPr>
            <w:r>
              <w:rPr>
                <w:rFonts w:ascii="方正黑体_GBK" w:eastAsia="方正黑体_GBK" w:cs="宋体"/>
                <w:sz w:val="18"/>
                <w:szCs w:val="18"/>
              </w:rPr>
              <w:t>本理财产品销售机构为南银理财有限责任公司、南京银行股份有限公司、兴业银行股份有限公司、江苏太仓农村商业银行股份有限公司、嘉兴银行股份有限公司、江苏常熟农村商业银行股份有限公司、江苏苏州农村商业银行股份有限公司、福建海峡银行股份有限公司、秦皇岛银行股份有限公司、齐鲁银行股份有限公司、贵阳银行股份有限公司、云南红塔银行股份有限公司、九江银行股份有限公司、天津农村商业银行股份有限公司、江苏紫金农村商业银行股份有限公司、江苏金湖农村商业银行股份有限公司、苏州银行股份有限公司、桂林银行股份有限公司、重庆富民银行股份有限公司、宁波通商银行股份有限公司、石嘴山银行股份有限公司、无锡锡商银行股份有限公司、江苏丹阳农村商业银行股份有限公司、江苏宜兴农村商业银行股份有限公司、江苏高淳农村商业银行股份有限公司、江苏响水农村商业银行股份有限公司、江苏靖江农村商业银行股份有限公司、江苏新沂农村商业银行股份有限公司、江苏民丰农村商业银行股份有限公司、江苏建湖农村商业银行股份有限公司、江苏阜宁农村商业银行股份有限公司、江苏南通农村商业银行股份有限公司、江苏扬州农村商业银行股份有限公司、江苏大丰农村商业银行股份有限公司、江苏洪泽农村商业银行股份有限公司、江苏兴化农村商业银行股份有限公司、江苏镇江农村商业银行股份有限公司、江苏如皋农村商业银行股份有限公司、徐州农村商业银行股份有限公司、江苏苏商银行股份有限公司、江苏丰县农村商业银行股份有限公司、江苏射阳农村商业银行股份有限公司、江苏句容农村商业银行股份有限公司、江苏张家港农村商业银行股份有限公司、江苏江阴农村商业银行股份有限公司、北京中关村银行股份有限公司、廊坊银行股份有限公司、乌鲁木齐银行股份有限公司、河北银行股份有限公司、郑州银行股份有限公司、江苏盱眙农村商业银行股份有限公司、兰州银行股份有限公司、江苏沛县农村商业银行股份有限公司、交通银行股份有限公司、甘肃银行股份有限公司、台州银行股份有限公司、浙江民泰商业银行股份有限公司、江苏仪征农村商业银行股份有限公司、昆山鹿城村镇银行股份有限公司、成都银行股份有限公司、江苏沭阳农村商业银行股份有限公司、江苏海安农村商业银行股份有限公司、江苏海门农村商业银行股份有限公司、成都农村商业银行股份有限公司、江苏睢宁农村商业银行股份有限公司。管理人有权调整本理财产品的销售机构并进行信息披露。</w:t>
            </w:r>
          </w:p>
          <w:p>
            <w:pPr>
              <w:spacing w:line="200" w:lineRule="exact"/>
              <w:jc w:val="left"/>
            </w:pPr>
            <w:r>
              <w:rPr>
                <w:rFonts w:ascii="方正黑体_GBK" w:eastAsia="方正黑体_GBK" w:cs="宋体"/>
                <w:sz w:val="18"/>
                <w:szCs w:val="18"/>
              </w:rPr>
              <w:t>销售机构主要职责如下：</w:t>
            </w:r>
          </w:p>
          <w:p>
            <w:pPr>
              <w:spacing w:line="200" w:lineRule="exact"/>
              <w:jc w:val="left"/>
            </w:pPr>
            <w:r>
              <w:rPr>
                <w:rFonts w:ascii="方正黑体_GBK" w:eastAsia="方正黑体_GBK" w:cs="宋体"/>
                <w:sz w:val="18"/>
                <w:szCs w:val="18"/>
              </w:rPr>
              <w:t>1.按照法律法规、监管规定及理财产品销售文件的约定，开展理财产品销售活动，向投资者充分披露信息和揭示风险；</w:t>
            </w:r>
          </w:p>
          <w:p>
            <w:pPr>
              <w:spacing w:line="200" w:lineRule="exact"/>
              <w:jc w:val="left"/>
            </w:pPr>
            <w:r>
              <w:rPr>
                <w:rFonts w:ascii="方正黑体_GBK" w:eastAsia="方正黑体_GBK" w:cs="宋体"/>
                <w:sz w:val="18"/>
                <w:szCs w:val="18"/>
              </w:rPr>
              <w:t>2.对非机构投资者的风险承受能力进行评估，确保投资者风险承受能力评估的客观性、及时性和有效性；</w:t>
            </w:r>
          </w:p>
          <w:p>
            <w:pPr>
              <w:spacing w:line="200" w:lineRule="exact"/>
              <w:jc w:val="left"/>
            </w:pPr>
            <w:r>
              <w:rPr>
                <w:rFonts w:ascii="方正黑体_GBK" w:eastAsia="方正黑体_GBK" w:cs="宋体"/>
                <w:sz w:val="18"/>
                <w:szCs w:val="18"/>
              </w:rPr>
              <w:t>3.妥善保管投资者理财产品销售相关资料，保管年限不低于20年；</w:t>
            </w:r>
          </w:p>
          <w:p>
            <w:pPr>
              <w:spacing w:line="200" w:lineRule="exact"/>
              <w:jc w:val="left"/>
            </w:pPr>
            <w:r>
              <w:rPr>
                <w:rFonts w:ascii="方正黑体_GBK" w:eastAsia="方正黑体_GBK" w:cs="宋体"/>
                <w:sz w:val="18"/>
                <w:szCs w:val="18"/>
              </w:rPr>
              <w:t>4.根据反洗钱、反恐怖融资及非居民金融账户涉税信息尽职调查等相关法律法规要求识别客户身份；</w:t>
            </w:r>
          </w:p>
          <w:p>
            <w:pPr>
              <w:spacing w:line="200" w:lineRule="exact"/>
              <w:jc w:val="left"/>
            </w:pPr>
            <w:r>
              <w:rPr>
                <w:rFonts w:ascii="方正黑体_GBK" w:eastAsia="方正黑体_GBK" w:cs="宋体"/>
                <w:sz w:val="18"/>
                <w:szCs w:val="18"/>
              </w:rPr>
              <w:t>5.建立健全投资者权益保护管理体系，加强投资者适当性管理；</w:t>
            </w:r>
          </w:p>
          <w:p>
            <w:pPr>
              <w:spacing w:line="200" w:lineRule="exact"/>
            </w:pPr>
            <w:r>
              <w:rPr>
                <w:rFonts w:ascii="方正黑体_GBK" w:eastAsia="方正黑体_GBK" w:cs="宋体"/>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本理财产品托管人为南京银行股份有限公司，主要职责如下：</w:t>
            </w:r>
          </w:p>
          <w:p>
            <w:pPr>
              <w:spacing w:line="200" w:lineRule="exact"/>
            </w:pPr>
            <w:r>
              <w:rPr>
                <w:rFonts w:ascii="方正黑体_GBK" w:eastAsia="方正黑体_GBK" w:cs="宋体"/>
                <w:sz w:val="18"/>
                <w:szCs w:val="18"/>
              </w:rPr>
              <w:t>1.安全保管理财产品财产；</w:t>
            </w:r>
          </w:p>
          <w:p>
            <w:pPr>
              <w:spacing w:line="200" w:lineRule="exact"/>
            </w:pPr>
            <w:r>
              <w:rPr>
                <w:rFonts w:ascii="方正黑体_GBK" w:eastAsia="方正黑体_GBK" w:cs="宋体"/>
                <w:sz w:val="18"/>
                <w:szCs w:val="18"/>
              </w:rPr>
              <w:t>2.为每只理财产品开设独立的托管账户，不同托管账户中的资产应当相互独立；</w:t>
            </w:r>
          </w:p>
          <w:p>
            <w:pPr>
              <w:spacing w:line="200" w:lineRule="exact"/>
            </w:pPr>
            <w:r>
              <w:rPr>
                <w:rFonts w:ascii="方正黑体_GBK" w:eastAsia="方正黑体_GBK" w:cs="宋体"/>
                <w:sz w:val="18"/>
                <w:szCs w:val="18"/>
              </w:rPr>
              <w:t>3.按照托管协议约定和管理人的投资指令，及时办理清算、交割事宜；</w:t>
            </w:r>
          </w:p>
          <w:p>
            <w:pPr>
              <w:spacing w:line="200" w:lineRule="exact"/>
            </w:pPr>
            <w:r>
              <w:rPr>
                <w:rFonts w:asci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pPr>
              <w:spacing w:line="200" w:lineRule="exact"/>
            </w:pPr>
            <w:r>
              <w:rPr>
                <w:rFonts w:asci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pPr>
              <w:spacing w:line="200" w:lineRule="exact"/>
            </w:pPr>
            <w:r>
              <w:rPr>
                <w:rFonts w:asci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spacing w:line="200" w:lineRule="exact"/>
            </w:pPr>
            <w:r>
              <w:rPr>
                <w:rFonts w:ascii="方正黑体_GBK" w:eastAsia="方正黑体_GBK" w:cs="宋体"/>
                <w:sz w:val="18"/>
                <w:szCs w:val="18"/>
              </w:rPr>
              <w:t>7.理财托管业务活动的记录、账册、报表和其他相关资料保存20年以上；</w:t>
            </w:r>
          </w:p>
          <w:p>
            <w:pPr>
              <w:spacing w:line="200" w:lineRule="exact"/>
            </w:pPr>
            <w:r>
              <w:rPr>
                <w:rFonts w:asci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pPr>
              <w:spacing w:line="200" w:lineRule="exact"/>
            </w:pPr>
            <w:r>
              <w:rPr>
                <w:rFonts w:ascii="方正黑体_GBK" w:eastAsia="方正黑体_GBK" w:cs="宋体"/>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pPr>
              <w:spacing w:line="200" w:lineRule="exact"/>
            </w:pPr>
            <w:r>
              <w:rPr>
                <w:rFonts w:asci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w:t>
            </w:r>
          </w:p>
          <w:p>
            <w:pPr>
              <w:spacing w:line="200" w:lineRule="exact"/>
            </w:pPr>
            <w:r>
              <w:rPr>
                <w:rFonts w:ascii="方正黑体_GBK" w:eastAsia="方正黑体_GBK" w:cs="宋体"/>
                <w:sz w:val="18"/>
                <w:szCs w:val="18"/>
              </w:rPr>
              <w:t>若上述合作机构及其职责发生调整，管理人将在本理财产品的定期报告中进行信息披露。</w:t>
            </w:r>
          </w:p>
          <w:p>
            <w:pPr>
              <w:spacing w:line="200" w:lineRule="exact"/>
            </w:pPr>
            <w:r>
              <w:rPr>
                <w:rFonts w:ascii="方正黑体_GBK" w:eastAsia="方正黑体_GBK" w:cs="宋体"/>
                <w:sz w:val="18"/>
                <w:szCs w:val="18"/>
              </w:rPr>
              <w:t>上述投资合作机构简介：</w:t>
            </w:r>
          </w:p>
          <w:p>
            <w:pPr>
              <w:spacing w:line="200" w:lineRule="exact"/>
            </w:pPr>
            <w:r>
              <w:rPr>
                <w:rFonts w:ascii="方正黑体_GBK" w:eastAsia="方正黑体_GBK" w:cs="宋体"/>
                <w:sz w:val="18"/>
                <w:szCs w:val="18"/>
              </w:rPr>
              <w:t>大家资产管理有限责任公司成立于2011年05月20日，注册资本金6亿元人民币。</w:t>
            </w:r>
          </w:p>
          <w:p>
            <w:pPr>
              <w:spacing w:line="200" w:lineRule="exact"/>
            </w:pPr>
            <w:r>
              <w:rPr>
                <w:rFonts w:ascii="方正黑体_GBK" w:eastAsia="方正黑体_GBK" w:cs="宋体"/>
                <w:sz w:val="18"/>
                <w:szCs w:val="18"/>
              </w:rPr>
              <w:t>光大永明资产管理股份有限公司成立于2012年03月02日，注册资本金5亿元。</w:t>
            </w:r>
          </w:p>
          <w:p>
            <w:pPr>
              <w:spacing w:line="200" w:lineRule="exact"/>
            </w:pPr>
            <w:r>
              <w:rPr>
                <w:rFonts w:ascii="方正黑体_GBK" w:eastAsia="方正黑体_GBK" w:cs="宋体"/>
                <w:sz w:val="18"/>
                <w:szCs w:val="18"/>
              </w:rPr>
              <w:t>广东粤财信托有限公司成立于1985年03月07日，注册资本金380000万元。</w:t>
            </w:r>
          </w:p>
          <w:p>
            <w:pPr>
              <w:spacing w:line="200" w:lineRule="exact"/>
            </w:pPr>
            <w:r>
              <w:rPr>
                <w:rFonts w:ascii="方正黑体_GBK" w:eastAsia="方正黑体_GBK" w:cs="宋体"/>
                <w:sz w:val="18"/>
                <w:szCs w:val="18"/>
              </w:rPr>
              <w:t>国投泰康信托有限公司成立于1986年06月26日，注册资本金267,054.5454万人民币。</w:t>
            </w:r>
          </w:p>
          <w:p>
            <w:pPr>
              <w:spacing w:line="200" w:lineRule="exact"/>
            </w:pPr>
            <w:r>
              <w:rPr>
                <w:rFonts w:ascii="方正黑体_GBK" w:eastAsia="方正黑体_GBK" w:cs="宋体"/>
                <w:sz w:val="18"/>
                <w:szCs w:val="18"/>
              </w:rPr>
              <w:t>华能贵诚信托有限公司成立于2002年09月29日，注册资本金619,455.7406万元人民币。</w:t>
            </w:r>
          </w:p>
          <w:p>
            <w:pPr>
              <w:spacing w:line="200" w:lineRule="exact"/>
            </w:pPr>
            <w:r>
              <w:rPr>
                <w:rFonts w:ascii="方正黑体_GBK" w:eastAsia="方正黑体_GBK" w:cs="宋体"/>
                <w:sz w:val="18"/>
                <w:szCs w:val="18"/>
              </w:rPr>
              <w:t>华泰资产管理有限公司成立于2005年01月18日，注册资本金60060万元人民币。</w:t>
            </w:r>
          </w:p>
          <w:p>
            <w:pPr>
              <w:spacing w:line="200" w:lineRule="exact"/>
            </w:pPr>
            <w:r>
              <w:rPr>
                <w:rFonts w:ascii="方正黑体_GBK" w:eastAsia="方正黑体_GBK" w:cs="宋体"/>
                <w:sz w:val="18"/>
                <w:szCs w:val="18"/>
              </w:rPr>
              <w:t>华鑫国际信托有限公司成立于1984年06月01日，注册资本金73.95亿元。</w:t>
            </w:r>
          </w:p>
          <w:p>
            <w:pPr>
              <w:spacing w:line="200" w:lineRule="exact"/>
            </w:pPr>
            <w:r>
              <w:rPr>
                <w:rFonts w:ascii="方正黑体_GBK" w:eastAsia="方正黑体_GBK" w:cs="宋体"/>
                <w:sz w:val="18"/>
                <w:szCs w:val="18"/>
              </w:rPr>
              <w:t>建信保险资产管理有限公司成立于2016年04月27日，注册资本金3亿元。</w:t>
            </w:r>
          </w:p>
          <w:p>
            <w:pPr>
              <w:spacing w:line="200" w:lineRule="exact"/>
            </w:pPr>
            <w:r>
              <w:rPr>
                <w:rFonts w:ascii="方正黑体_GBK" w:eastAsia="方正黑体_GBK" w:cs="宋体"/>
                <w:sz w:val="18"/>
                <w:szCs w:val="18"/>
              </w:rPr>
              <w:t>上海国际信托有限公司成立于1981年05月06日，注册资本金50亿元。</w:t>
            </w:r>
          </w:p>
          <w:p>
            <w:pPr>
              <w:spacing w:line="200" w:lineRule="exact"/>
            </w:pPr>
            <w:r>
              <w:rPr>
                <w:rFonts w:ascii="方正黑体_GBK" w:eastAsia="方正黑体_GBK" w:cs="宋体"/>
                <w:sz w:val="18"/>
                <w:szCs w:val="18"/>
              </w:rPr>
              <w:t>泰康资产管理有限责任公司成立于2006年02月21日，注册资本金10亿元。</w:t>
            </w:r>
          </w:p>
          <w:p>
            <w:pPr>
              <w:spacing w:line="200" w:lineRule="exact"/>
            </w:pPr>
            <w:r>
              <w:rPr>
                <w:rFonts w:ascii="方正黑体_GBK" w:eastAsia="方正黑体_GBK" w:cs="宋体"/>
                <w:sz w:val="18"/>
                <w:szCs w:val="18"/>
              </w:rPr>
              <w:t>天津信托有限责任公司成立于1986年09月23日，注册资本金170000万元人民币。</w:t>
            </w:r>
          </w:p>
          <w:p>
            <w:pPr>
              <w:spacing w:line="200" w:lineRule="exact"/>
            </w:pPr>
            <w:r>
              <w:rPr>
                <w:rFonts w:ascii="方正黑体_GBK" w:eastAsia="方正黑体_GBK" w:cs="宋体"/>
                <w:sz w:val="18"/>
                <w:szCs w:val="18"/>
              </w:rPr>
              <w:t>云南国际信托有限公司成立于1997年09月03日，注册资本金120000万元人民币。</w:t>
            </w:r>
          </w:p>
          <w:p>
            <w:pPr>
              <w:spacing w:line="200" w:lineRule="exact"/>
            </w:pPr>
            <w:r>
              <w:rPr>
                <w:rFonts w:ascii="方正黑体_GBK" w:eastAsia="方正黑体_GBK" w:cs="宋体"/>
                <w:sz w:val="18"/>
                <w:szCs w:val="18"/>
              </w:rPr>
              <w:t>中国对外经济贸易信托有限公司成立于1987年09月30日，注册资本金800000万元人民币。</w:t>
            </w:r>
          </w:p>
          <w:p>
            <w:pPr>
              <w:spacing w:line="200" w:lineRule="exact"/>
            </w:pPr>
            <w:r>
              <w:rPr>
                <w:rFonts w:ascii="方正黑体_GBK" w:eastAsia="方正黑体_GBK" w:cs="宋体"/>
                <w:sz w:val="18"/>
                <w:szCs w:val="18"/>
              </w:rPr>
              <w:t>中粮信托有限责任公司成立于2009年07月27日，注册资本金28.3亿元。</w:t>
            </w:r>
          </w:p>
          <w:p>
            <w:pPr>
              <w:spacing w:line="200" w:lineRule="exact"/>
            </w:pPr>
            <w:r>
              <w:rPr>
                <w:rFonts w:ascii="方正黑体_GBK" w:eastAsia="方正黑体_GBK" w:cs="宋体"/>
                <w:sz w:val="18"/>
                <w:szCs w:val="18"/>
              </w:rPr>
              <w:t>中信信托有限责任公司成立于1988年03月01日，注册资本金1127600万元人民币。</w:t>
            </w:r>
          </w:p>
          <w:p>
            <w:pPr>
              <w:spacing w:line="200" w:lineRule="exact"/>
            </w:pPr>
            <w:r>
              <w:rPr>
                <w:rFonts w:ascii="方正黑体_GBK" w:eastAsia="方正黑体_GBK" w:cs="宋体"/>
                <w:sz w:val="18"/>
                <w:szCs w:val="18"/>
              </w:rPr>
              <w:t>重庆国际信托股份有限公司成立于1984年10月22日，注册资本金150亿元。</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jc w:val="left"/>
            </w:pPr>
            <w:r>
              <w:rPr>
                <w:rFonts w:asci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pPr>
              <w:spacing w:line="200" w:lineRule="exact"/>
              <w:jc w:val="left"/>
            </w:pPr>
            <w:r>
              <w:rPr>
                <w:rFonts w:ascii="方正黑体_GBK" w:eastAsia="方正黑体_GBK" w:cs="宋体"/>
                <w:color w:val="000000"/>
                <w:sz w:val="18"/>
                <w:szCs w:val="18"/>
              </w:rPr>
              <w:t>1.接受全额赎回：当管理人认为有能力兑付投资者的全部赎回申请时，将在赎回确认日按正常赎回程序执行；</w:t>
            </w:r>
          </w:p>
          <w:p>
            <w:pPr>
              <w:spacing w:line="200" w:lineRule="exact"/>
              <w:jc w:val="left"/>
            </w:pPr>
            <w:r>
              <w:rPr>
                <w:rFonts w:asci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pPr>
              <w:spacing w:line="200" w:lineRule="exact"/>
              <w:jc w:val="left"/>
            </w:pPr>
            <w:r>
              <w:rPr>
                <w:rFonts w:asci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pPr>
              <w:spacing w:line="200" w:lineRule="exact"/>
              <w:jc w:val="left"/>
            </w:pPr>
            <w:r>
              <w:rPr>
                <w:rFonts w:ascii="方正黑体_GBK" w:eastAsia="方正黑体_GBK" w:cs="宋体"/>
                <w:color w:val="000000"/>
                <w:sz w:val="18"/>
                <w:szCs w:val="18"/>
              </w:rPr>
              <w:t>（2）对于暂停接受的部分，管理人将拒绝该部分赎回申请，投资者可在下一个产品开放日再次发起赎回申请。</w:t>
            </w:r>
          </w:p>
          <w:p>
            <w:pPr>
              <w:spacing w:line="200" w:lineRule="exact"/>
              <w:jc w:val="left"/>
            </w:pPr>
            <w:r>
              <w:rPr>
                <w:rFonts w:asci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发生下列情形时，管理人可暂停接受投资者认申购申请：</w:t>
            </w:r>
          </w:p>
          <w:p>
            <w:pPr>
              <w:spacing w:line="200" w:lineRule="exact"/>
            </w:pPr>
            <w:r>
              <w:rPr>
                <w:rFonts w:ascii="方正黑体_GBK" w:eastAsia="方正黑体_GBK" w:cs="宋体"/>
                <w:sz w:val="18"/>
                <w:szCs w:val="18"/>
              </w:rPr>
              <w:t>1.因不可抗力导致理财产品无法正常运作；</w:t>
            </w:r>
          </w:p>
          <w:p>
            <w:pPr>
              <w:spacing w:line="200" w:lineRule="exact"/>
            </w:pPr>
            <w:r>
              <w:rPr>
                <w:rFonts w:ascii="方正黑体_GBK" w:eastAsia="方正黑体_GBK" w:cs="宋体"/>
                <w:sz w:val="18"/>
                <w:szCs w:val="18"/>
              </w:rPr>
              <w:t>2.因监管政策、市场发生重大变化，导致理财产品无法正常运作；</w:t>
            </w:r>
          </w:p>
          <w:p>
            <w:pPr>
              <w:spacing w:line="200" w:lineRule="exact"/>
            </w:pPr>
            <w:r>
              <w:rPr>
                <w:rFonts w:ascii="方正黑体_GBK" w:eastAsia="方正黑体_GBK" w:cs="宋体"/>
                <w:sz w:val="18"/>
                <w:szCs w:val="18"/>
              </w:rPr>
              <w:t>3.管理人认为需要暂停认申购的其他情形。</w:t>
            </w:r>
          </w:p>
          <w:p>
            <w:pPr>
              <w:spacing w:line="200" w:lineRule="exact"/>
            </w:pPr>
            <w:r>
              <w:rPr>
                <w:rFonts w:ascii="方正黑体_GBK" w:eastAsia="方正黑体_GBK" w:cs="宋体"/>
                <w:b/>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pPr>
              <w:spacing w:line="200" w:lineRule="exact"/>
            </w:pPr>
            <w:r>
              <w:rPr>
                <w:rFonts w:asci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jc w:val="left"/>
            </w:pPr>
            <w:r>
              <w:rPr>
                <w:rFonts w:ascii="方正黑体_GBK" w:eastAsia="方正黑体_GBK" w:cs="宋体"/>
                <w:sz w:val="18"/>
                <w:szCs w:val="18"/>
              </w:rPr>
              <w:t>1.本理财产品开放日内非操作时间不能进行申购/赎回申请，封闭期内不开放申购/赎回申请。</w:t>
            </w:r>
          </w:p>
          <w:p>
            <w:pPr>
              <w:spacing w:line="200" w:lineRule="exact"/>
              <w:jc w:val="left"/>
            </w:pPr>
            <w:r>
              <w:rPr>
                <w:rFonts w:ascii="方正黑体_GBK" w:eastAsia="方正黑体_GBK" w:cs="宋体"/>
                <w:sz w:val="18"/>
                <w:szCs w:val="18"/>
              </w:rPr>
              <w:t>2.管理人在本理财产品存续期间按照监管规定进行信息披露，详见本理财产品说明书第五条信息披露。</w:t>
            </w:r>
          </w:p>
          <w:p>
            <w:pPr>
              <w:spacing w:line="200" w:lineRule="exact"/>
              <w:jc w:val="left"/>
            </w:pPr>
            <w:r>
              <w:rPr>
                <w:rFonts w:ascii="方正黑体_GBK" w:eastAsia="方正黑体_GBK" w:cs="宋体"/>
                <w:b/>
                <w:sz w:val="18"/>
                <w:szCs w:val="18"/>
              </w:rPr>
              <w:t>3.本理财产品投资的资产管理产品的业绩报酬、赎回费等的提取（如有）可能造成本理财产品净值的下降。</w:t>
            </w:r>
          </w:p>
          <w:p>
            <w:pPr>
              <w:spacing w:line="200" w:lineRule="exact"/>
            </w:pPr>
            <w:r>
              <w:rPr>
                <w:rFonts w:asci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37"/>
        <w:rPr>
          <w:rFonts w:ascii="方正黑体_GBK" w:eastAsia="方正黑体_GBK" w:hint="eastAsia"/>
          <w:b/>
          <w:sz w:val="15"/>
          <w:szCs w:val="15"/>
        </w:rPr>
      </w:pPr>
      <w:r>
        <w:rPr>
          <w:rFonts w:ascii="方正黑体_GBK" w:eastAsia="方正黑体_GBK"/>
          <w:b/>
          <w:caps w:val="0"/>
          <w:smallCaps w:val="0"/>
          <w:snapToGrid/>
          <w:vanish w:val="0"/>
          <w:color w:val="auto"/>
          <w:sz w:val="15"/>
          <w:szCs w:val="15"/>
          <w:vertAlign w:val="baseline"/>
        </w:rPr>
        <w:t>特别说明：本理财产品无预期收益率，</w:t>
      </w:r>
      <w:r>
        <w:rPr>
          <w:rFonts w:asci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b/>
          <w:caps w:val="0"/>
          <w:smallCaps w:val="0"/>
          <w:snapToGrid/>
          <w:vanish w:val="0"/>
          <w:color w:val="auto"/>
          <w:sz w:val="15"/>
          <w:szCs w:val="15"/>
          <w:vertAlign w:val="baseline"/>
        </w:rPr>
        <w:t>投资须谨慎。</w:t>
      </w:r>
    </w:p>
    <w:p>
      <w:pPr>
        <w:pStyle w:val="5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b/>
          <w:bCs/>
          <w:vanish w:val="0"/>
          <w:color w:val="3D3D3D"/>
          <w:kern w:val="0"/>
          <w:sz w:val="15"/>
          <w:szCs w:val="15"/>
        </w:rPr>
      </w:pPr>
      <w:r>
        <w:rPr>
          <w:rFonts w:ascii="方正黑体_GBK" w:eastAsia="方正黑体_GBK" w:hint="eastAsia"/>
          <w:b/>
          <w:bCs/>
          <w:vanish w:val="0"/>
          <w:color w:val="3D3D3D"/>
          <w:kern w:val="0"/>
          <w:sz w:val="15"/>
          <w:szCs w:val="15"/>
        </w:rPr>
        <w:t>第二条</w:t>
      </w:r>
      <w:r>
        <w:rPr>
          <w:rFonts w:ascii="方正黑体_GBK" w:eastAsia="方正黑体_GBK" w:cs="Times New Roman" w:hint="eastAsia"/>
          <w:b/>
          <w:bCs/>
          <w:vanish w:val="0"/>
          <w:color w:val="3D3D3D"/>
          <w:kern w:val="0"/>
          <w:sz w:val="15"/>
          <w:szCs w:val="15"/>
        </w:rPr>
        <w:t xml:space="preserve">  </w:t>
      </w:r>
      <w:r>
        <w:rPr>
          <w:rFonts w:ascii="方正黑体_GBK" w:eastAsia="方正黑体_GBK" w:hint="eastAsia"/>
          <w:b/>
          <w:bCs/>
          <w:vanish w:val="0"/>
          <w:color w:val="3D3D3D"/>
          <w:kern w:val="0"/>
          <w:sz w:val="15"/>
          <w:szCs w:val="15"/>
        </w:rPr>
        <w:t>名词释义</w:t>
      </w:r>
    </w:p>
    <w:p>
      <w:pPr>
        <w:pStyle w:val="5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在本理财产品说明书中，除非上下文另有明确约定，下列用词将具有如下含义：</w:t>
      </w:r>
    </w:p>
    <w:p>
      <w:pPr>
        <w:pStyle w:val="5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参与主体用语</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1.南银理财/管理人/</w:t>
      </w:r>
      <w:r>
        <w:rPr>
          <w:rFonts w:ascii="方正黑体_GBK" w:eastAsia="方正黑体_GBK" w:hint="eastAsia"/>
          <w:color w:val="3D3D3D"/>
          <w:kern w:val="0"/>
          <w:sz w:val="15"/>
          <w:szCs w:val="15"/>
          <w:lang w:val="en-US" w:eastAsia="zh-CN"/>
          <w:highlight w:val="auto"/>
        </w:rPr>
        <w:t>产品管理人/</w:t>
      </w:r>
      <w:r>
        <w:rPr>
          <w:rFonts w:ascii="方正黑体_GBK" w:eastAsia="方正黑体_GBK"/>
          <w:color w:val="3D3D3D"/>
          <w:kern w:val="0"/>
          <w:sz w:val="15"/>
          <w:szCs w:val="15"/>
          <w:highlight w:val="auto"/>
        </w:rPr>
        <w:t>理财产品管理人：指南银理财有限责任公司。</w:t>
      </w:r>
    </w:p>
    <w:p>
      <w:pPr>
        <w:pStyle w:val="52"/>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ascii="方正黑体_GBK" w:eastAsia="方正黑体_GBK" w:hint="eastAsia"/>
          <w:color w:val="3D3D3D"/>
          <w:kern w:val="0"/>
          <w:sz w:val="15"/>
          <w:szCs w:val="15"/>
          <w:lang w:eastAsia="zh-CN"/>
          <w:highlight w:val="auto"/>
        </w:rPr>
        <w:t xml:space="preserve">     2.销售</w:t>
      </w:r>
      <w:r>
        <w:rPr>
          <w:rFonts w:ascii="方正黑体_GBK" w:eastAsia="方正黑体_GBK" w:hint="eastAsia"/>
          <w:color w:val="3D3D3D"/>
          <w:kern w:val="0"/>
          <w:sz w:val="15"/>
          <w:szCs w:val="15"/>
          <w:highlight w:val="auto"/>
        </w:rPr>
        <w:t>机构：指</w:t>
      </w:r>
      <w:r>
        <w:rPr>
          <w:rFonts w:ascii="方正黑体_GBK" w:eastAsia="方正黑体_GBK" w:hint="eastAsia"/>
          <w:color w:val="3D3D3D"/>
          <w:kern w:val="0"/>
          <w:sz w:val="15"/>
          <w:szCs w:val="15"/>
          <w:lang w:eastAsia="zh-CN"/>
          <w:highlight w:val="auto"/>
        </w:rPr>
        <w:t>本</w:t>
      </w:r>
      <w:r>
        <w:rPr>
          <w:rFonts w:ascii="方正黑体_GBK" w:eastAsia="方正黑体_GBK" w:hint="eastAsia"/>
          <w:color w:val="3D3D3D"/>
          <w:kern w:val="0"/>
          <w:sz w:val="15"/>
          <w:szCs w:val="15"/>
          <w:highlight w:val="auto"/>
        </w:rPr>
        <w:t>理财产品的销售机构</w:t>
      </w:r>
      <w:r>
        <w:rPr>
          <w:rFonts w:ascii="方正黑体_GBK" w:eastAsia="方正黑体_GBK" w:hint="eastAsia"/>
          <w:color w:val="3D3D3D"/>
          <w:kern w:val="0"/>
          <w:sz w:val="15"/>
          <w:szCs w:val="15"/>
          <w:lang w:eastAsia="zh-CN"/>
          <w:highlight w:val="auto"/>
        </w:rPr>
        <w:t>，</w:t>
      </w:r>
      <w:r>
        <w:rPr>
          <w:rFonts w:ascii="方正黑体_GBK" w:eastAsia="方正黑体_GBK" w:hint="eastAsia"/>
          <w:color w:val="3D3D3D"/>
          <w:kern w:val="0"/>
          <w:sz w:val="15"/>
          <w:szCs w:val="15"/>
          <w:lang w:val="en-US" w:eastAsia="zh-CN"/>
          <w:highlight w:val="auto"/>
        </w:rPr>
        <w:t>包括</w:t>
      </w:r>
      <w:r>
        <w:rPr>
          <w:rFonts w:ascii="方正黑体_GBK" w:eastAsia="方正黑体_GBK" w:hint="eastAsia"/>
          <w:color w:val="3D3D3D"/>
          <w:kern w:val="0"/>
          <w:sz w:val="15"/>
          <w:szCs w:val="15"/>
          <w:highlight w:val="auto"/>
        </w:rPr>
        <w:t>销售本公司发行理财产品的理财公司</w:t>
      </w:r>
      <w:r>
        <w:rPr>
          <w:rFonts w:ascii="方正黑体_GBK" w:eastAsia="方正黑体_GBK" w:hint="eastAsia"/>
          <w:color w:val="3D3D3D"/>
          <w:kern w:val="0"/>
          <w:sz w:val="15"/>
          <w:szCs w:val="15"/>
          <w:lang w:val="en-US" w:eastAsia="zh-CN"/>
          <w:highlight w:val="auto"/>
        </w:rPr>
        <w:t>即南银理财，以及</w:t>
      </w:r>
      <w:r>
        <w:rPr>
          <w:rFonts w:ascii="方正黑体_GBK" w:eastAsia="方正黑体_GBK" w:hint="eastAsia"/>
          <w:color w:val="3D3D3D"/>
          <w:kern w:val="0"/>
          <w:sz w:val="15"/>
          <w:szCs w:val="15"/>
          <w:highlight w:val="auto"/>
        </w:rPr>
        <w:t>接受</w:t>
      </w:r>
      <w:r>
        <w:rPr>
          <w:rFonts w:ascii="方正黑体_GBK" w:eastAsia="方正黑体_GBK" w:hint="eastAsia"/>
          <w:color w:val="3D3D3D"/>
          <w:kern w:val="0"/>
          <w:sz w:val="15"/>
          <w:szCs w:val="15"/>
          <w:lang w:val="en-US" w:eastAsia="zh-CN"/>
          <w:highlight w:val="auto"/>
        </w:rPr>
        <w:t>南银理财</w:t>
      </w:r>
      <w:r>
        <w:rPr>
          <w:rFonts w:ascii="方正黑体_GBK" w:eastAsia="方正黑体_GBK" w:hint="eastAsia"/>
          <w:color w:val="3D3D3D"/>
          <w:kern w:val="0"/>
          <w:sz w:val="15"/>
          <w:szCs w:val="15"/>
          <w:highlight w:val="auto"/>
        </w:rPr>
        <w:t>委托销售其发行理财产品的代理销售机构</w:t>
      </w:r>
      <w:r>
        <w:rPr>
          <w:rFonts w:ascii="方正黑体_GBK" w:eastAsia="方正黑体_GBK" w:hint="eastAsia"/>
          <w:color w:val="3D3D3D"/>
          <w:kern w:val="0"/>
          <w:sz w:val="15"/>
          <w:szCs w:val="15"/>
          <w:lang w:eastAsia="zh-CN"/>
          <w:highlight w:val="auto"/>
        </w:rPr>
        <w:t>（</w:t>
      </w:r>
      <w:r>
        <w:rPr>
          <w:rFonts w:ascii="方正黑体_GBK" w:eastAsia="方正黑体_GBK" w:hint="eastAsia"/>
          <w:color w:val="3D3D3D"/>
          <w:kern w:val="0"/>
          <w:sz w:val="15"/>
          <w:szCs w:val="15"/>
          <w:lang w:val="en-US" w:eastAsia="zh-CN"/>
          <w:highlight w:val="auto"/>
        </w:rPr>
        <w:t>代销机构</w:t>
      </w:r>
      <w:r>
        <w:rPr>
          <w:rFonts w:ascii="方正黑体_GBK" w:eastAsia="方正黑体_GBK" w:hint="eastAsia"/>
          <w:color w:val="3D3D3D"/>
          <w:kern w:val="0"/>
          <w:sz w:val="15"/>
          <w:szCs w:val="15"/>
          <w:lang w:eastAsia="zh-CN"/>
          <w:highlight w:val="auto"/>
        </w:rPr>
        <w:t>）</w:t>
      </w:r>
      <w:r>
        <w:rPr>
          <w:rFonts w:ascii="方正黑体_GBK" w:eastAsia="方正黑体_GBK" w:hint="eastAsia"/>
          <w:color w:val="3D3D3D"/>
          <w:kern w:val="0"/>
          <w:sz w:val="15"/>
          <w:szCs w:val="15"/>
          <w:highlight w:val="auto"/>
        </w:rPr>
        <w:t>。</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3.托管人：</w:t>
      </w:r>
      <w:r>
        <w:rPr>
          <w:rFonts w:ascii="方正黑体_GBK" w:eastAsia="方正黑体_GBK" w:hint="eastAsia"/>
          <w:color w:val="3D3D3D"/>
          <w:kern w:val="0"/>
          <w:sz w:val="15"/>
          <w:szCs w:val="15"/>
          <w:highlight w:val="auto"/>
        </w:rPr>
        <w:t>指根据管理人委托，对理财产品财产进行托管的机构</w:t>
      </w:r>
      <w:r>
        <w:rPr>
          <w:rFonts w:ascii="方正黑体_GBK" w:eastAsia="方正黑体_GBK"/>
          <w:color w:val="3D3D3D"/>
          <w:kern w:val="0"/>
          <w:sz w:val="15"/>
          <w:szCs w:val="15"/>
          <w:highlight w:val="auto"/>
        </w:rPr>
        <w:t>。</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4.认购</w:t>
      </w:r>
      <w:r>
        <w:rPr>
          <w:rFonts w:ascii="方正黑体_GBK" w:eastAsia="方正黑体_GBK" w:hint="eastAsia"/>
          <w:color w:val="3D3D3D"/>
          <w:kern w:val="0"/>
          <w:sz w:val="15"/>
          <w:szCs w:val="15"/>
          <w:highlight w:val="auto"/>
        </w:rPr>
        <w:t>/申购</w:t>
      </w:r>
      <w:r>
        <w:rPr>
          <w:rFonts w:ascii="方正黑体_GBK" w:eastAsia="方正黑体_GBK"/>
          <w:color w:val="3D3D3D"/>
          <w:kern w:val="0"/>
          <w:sz w:val="15"/>
          <w:szCs w:val="15"/>
          <w:highlight w:val="auto"/>
        </w:rPr>
        <w:t>人：指在募集期</w:t>
      </w:r>
      <w:r>
        <w:rPr>
          <w:rFonts w:ascii="方正黑体_GBK" w:eastAsia="方正黑体_GBK" w:hint="eastAsia"/>
          <w:color w:val="3D3D3D"/>
          <w:kern w:val="0"/>
          <w:sz w:val="15"/>
          <w:szCs w:val="15"/>
          <w:highlight w:val="auto"/>
        </w:rPr>
        <w:t>/开放期</w:t>
      </w:r>
      <w:r>
        <w:rPr>
          <w:rFonts w:ascii="方正黑体_GBK" w:eastAsia="方正黑体_GBK"/>
          <w:color w:val="3D3D3D"/>
          <w:kern w:val="0"/>
          <w:sz w:val="15"/>
          <w:szCs w:val="15"/>
          <w:highlight w:val="auto"/>
        </w:rPr>
        <w:t>期间签署本理财产品销售文件并向理财产品管理人交付认购</w:t>
      </w:r>
      <w:r>
        <w:rPr>
          <w:rFonts w:ascii="方正黑体_GBK" w:eastAsia="方正黑体_GBK" w:hint="eastAsia"/>
          <w:color w:val="3D3D3D"/>
          <w:kern w:val="0"/>
          <w:sz w:val="15"/>
          <w:szCs w:val="15"/>
          <w:highlight w:val="auto"/>
        </w:rPr>
        <w:t>/申购</w:t>
      </w:r>
      <w:r>
        <w:rPr>
          <w:rFonts w:ascii="方正黑体_GBK" w:eastAsia="方正黑体_GBK"/>
          <w:color w:val="3D3D3D"/>
          <w:kern w:val="0"/>
          <w:sz w:val="15"/>
          <w:szCs w:val="15"/>
          <w:highlight w:val="auto"/>
        </w:rPr>
        <w:t>资金的投资者。</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5.理财产品份额持有人/持有人：指其认购或申购申请，经过管理人确认认购或申购成功，从而持有理财产品份额的投资者。</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6.投资者：指购买南银理财发行的相关理财产品的符合相关法律法规及监管要求的个人或机构。</w:t>
      </w:r>
    </w:p>
    <w:p>
      <w:pPr>
        <w:pStyle w:val="5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法律文件用语</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1.销售协议书：指本理财产品对应的《理财产品销售协议书》以及对该文件的有效修改或补充。</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2.产品说明书/本理财产品说明书：指本《理财产品说明书》以及对</w:t>
      </w:r>
      <w:r>
        <w:rPr>
          <w:rFonts w:ascii="方正黑体_GBK" w:eastAsia="方正黑体_GBK" w:hint="eastAsia"/>
          <w:color w:val="3D3D3D"/>
          <w:kern w:val="0"/>
          <w:sz w:val="15"/>
          <w:szCs w:val="15"/>
          <w:lang w:eastAsia="zh-CN"/>
          <w:highlight w:val="auto"/>
        </w:rPr>
        <w:t>该文件</w:t>
      </w:r>
      <w:r>
        <w:rPr>
          <w:rFonts w:ascii="方正黑体_GBK" w:eastAsia="方正黑体_GBK"/>
          <w:color w:val="3D3D3D"/>
          <w:kern w:val="0"/>
          <w:sz w:val="15"/>
          <w:szCs w:val="15"/>
          <w:highlight w:val="auto"/>
        </w:rPr>
        <w:t>的有效修改或补充。</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3.风险揭示书：指本理财产品对应的《理财产品风险揭示书》以及对该文件的有效修改或补充。</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4.投资者权益须知：指本理财产品对应的《投资者权益须知》以及对该文件的有效修改或补充。</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5.投资协议书</w:t>
      </w:r>
      <w:r>
        <w:rPr>
          <w:rFonts w:ascii="方正黑体_GBK" w:eastAsia="方正黑体_GBK" w:hint="eastAsia"/>
          <w:color w:val="3D3D3D"/>
          <w:kern w:val="0"/>
          <w:sz w:val="15"/>
          <w:szCs w:val="15"/>
          <w:highlight w:val="auto"/>
        </w:rPr>
        <w:t>：</w:t>
      </w:r>
      <w:r>
        <w:rPr>
          <w:rFonts w:ascii="方正黑体_GBK" w:eastAsia="方正黑体_GBK"/>
          <w:color w:val="3D3D3D"/>
          <w:kern w:val="0"/>
          <w:sz w:val="15"/>
          <w:szCs w:val="15"/>
          <w:highlight w:val="auto"/>
        </w:rPr>
        <w:t>指本理财产品对应的《理财产品投资协议书》以及对该文件的有效修改或补充。</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6.销售文件：指本理财产品对应的产品说明书、风险揭示书、投资者权益须知</w:t>
      </w:r>
      <w:r>
        <w:rPr>
          <w:rFonts w:ascii="方正黑体_GBK" w:eastAsia="方正黑体_GBK" w:hint="eastAsia"/>
          <w:color w:val="3D3D3D"/>
          <w:kern w:val="0"/>
          <w:sz w:val="15"/>
          <w:szCs w:val="15"/>
          <w:highlight w:val="auto"/>
        </w:rPr>
        <w:t>、</w:t>
      </w:r>
      <w:r>
        <w:rPr>
          <w:rFonts w:ascii="方正黑体_GBK" w:eastAsia="方正黑体_GBK"/>
          <w:color w:val="3D3D3D"/>
          <w:kern w:val="0"/>
          <w:sz w:val="15"/>
          <w:szCs w:val="15"/>
          <w:highlight w:val="auto"/>
        </w:rPr>
        <w:t>销售协议书</w:t>
      </w:r>
      <w:r>
        <w:rPr>
          <w:rFonts w:ascii="方正黑体_GBK" w:eastAsia="方正黑体_GBK" w:hint="eastAsia"/>
          <w:color w:val="3D3D3D"/>
          <w:kern w:val="0"/>
          <w:sz w:val="15"/>
          <w:szCs w:val="15"/>
          <w:highlight w:val="auto"/>
        </w:rPr>
        <w:t>、</w:t>
      </w:r>
      <w:r>
        <w:rPr>
          <w:rFonts w:ascii="方正黑体_GBK" w:eastAsia="方正黑体_GBK"/>
          <w:color w:val="3D3D3D"/>
          <w:kern w:val="0"/>
          <w:sz w:val="15"/>
          <w:szCs w:val="15"/>
          <w:highlight w:val="auto"/>
        </w:rPr>
        <w:t>投资协议书等。</w:t>
      </w:r>
      <w:r>
        <w:rPr>
          <w:rFonts w:ascii="方正黑体_GBK" w:eastAsia="方正黑体_GBK"/>
          <w:bCs/>
          <w:color w:val="3D3D3D"/>
          <w:kern w:val="0"/>
          <w:sz w:val="15"/>
          <w:szCs w:val="15"/>
          <w:highlight w:val="auto"/>
        </w:rPr>
        <w:t>上述文件共同构成本理财产品完整且不可分割的销售文件。</w:t>
      </w:r>
    </w:p>
    <w:p>
      <w:pPr>
        <w:pStyle w:val="5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期间与日期</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1.募集期：指管理人确定的接受投资者认购本理财产品的起止期限。</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2.开放期：指管理人确定的除募集期外接受投资者申购、赎回本理财产品的起止期限。</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3.提前终止权行使日：指管理人行使提前终止权的日期，即本理财产品被提前终止、开始停止计算收益的日期。</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4.延期终止日：指管理人根据本理财产品说明书约定延长理财产品存续期后本理财产品的终止日，即本理财产品被延期终止、开始停止计算收益的日期。</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5.认购、申购、赎回确认日：指投资者认购、申购、赎回理财产品最终确认日期。</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7.产品存续期：指理财产品成立至终止的期间。</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8.名义到期日：指在管理人未对本理财产品提前终止或延期终止的情况下本理财产品的到期日期。</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10.工作日：指除国家法定节假日和休息日（包括周六、周日）外的日期。</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11.交易日：指上海证券交易所和深圳证券交易所的正常开盘交易日。</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12.支付日：指根据本理财产品说明书约定向销售文件约定的投资者授权指定账户划付理财产品资金之日。</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13.赎回或到期清算分配资金到账日：指赎回或到期清算分配资金划入销售文件约定的投资者授权指定账户之日。</w:t>
      </w:r>
    </w:p>
    <w:p>
      <w:pPr>
        <w:pStyle w:val="5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理财产品用语</w:t>
      </w:r>
    </w:p>
    <w:p>
      <w:pPr>
        <w:pStyle w:val="52"/>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vanish w:val="0"/>
          <w:color w:val="3D3D3D"/>
          <w:kern w:val="0"/>
          <w:sz w:val="15"/>
          <w:szCs w:val="15"/>
        </w:rPr>
      </w:pPr>
      <w:r>
        <w:rPr>
          <w:rFonts w:ascii="方正黑体_GBK" w:eastAsia="方正黑体_GBK"/>
          <w:color w:val="3D3D3D"/>
          <w:kern w:val="0"/>
          <w:sz w:val="15"/>
          <w:szCs w:val="15"/>
          <w:highlight w:val="auto"/>
        </w:rPr>
        <w:t xml:space="preserve"> 1.本理财产品/理财产品：</w:t>
      </w:r>
      <w:r>
        <w:rPr>
          <w:rFonts w:ascii="方正黑体_GBK" w:eastAsia="方正黑体_GBK" w:cs="Times New Roman" w:hint="eastAsia"/>
          <w:vanish w:val="0"/>
          <w:color w:val="3D3D3D"/>
          <w:kern w:val="0"/>
          <w:sz w:val="15"/>
          <w:szCs w:val="15"/>
        </w:rPr>
        <w:t xml:space="preserve"> </w:t>
      </w:r>
      <w:r>
        <w:rPr>
          <w:rFonts w:ascii="方正黑体_GBK" w:eastAsia="方正黑体_GBK"/>
          <w:b/>
          <w:bCs/>
          <w:caps w:val="0"/>
          <w:smallCaps w:val="0"/>
          <w:snapToGrid/>
          <w:vanish w:val="0"/>
          <w:color w:val="3D3D3D"/>
          <w:kern w:val="0"/>
          <w:sz w:val="15"/>
          <w:szCs w:val="15"/>
          <w:vertAlign w:val="baseline"/>
          <w:lang w:val="en-US" w:eastAsia="zh-CN"/>
        </w:rPr>
        <w:t>南银理财珠联璧合安稳1903一年定开公募人民币理财产品</w:t>
      </w:r>
      <w:r>
        <w:rPr>
          <w:rFonts w:ascii="方正黑体_GBK" w:eastAsia="方正黑体_GBK" w:hint="eastAsia"/>
          <w:vanish w:val="0"/>
          <w:color w:val="3D3D3D"/>
          <w:kern w:val="0"/>
          <w:sz w:val="15"/>
          <w:szCs w:val="15"/>
        </w:rPr>
        <w:t>。</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3.投资收益：指投资者投资理财产品份额获得的投资收益，该收益为其获得分配的全部理财产品赎回资金或到期清算分配资金中扣除投资本金的部分。</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4.理财产品份额/产品份额：指投资者持有本理财产品的单位数额。投资者基于其所持有的理财产品单位数额享有理财产品利益、承担理财产品风险。</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52"/>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eastAsia="方正黑体_GBK"/>
          <w:color w:val="3D3D3D"/>
          <w:kern w:val="0"/>
          <w:sz w:val="15"/>
          <w:szCs w:val="15"/>
          <w:highlight w:val="auto"/>
        </w:rPr>
        <w:t xml:space="preserve"> 6.单位净值/产品每份额净值：指理财产品每单位份额的净值，即每1份理财产品份额以人民币计价的价格。</w:t>
      </w:r>
      <w:r>
        <w:rPr>
          <w:rFonts w:ascii="方正黑体_GBK" w:eastAsia="方正黑体_GBK"/>
          <w:bCs/>
          <w:color w:val="3D3D3D"/>
          <w:kern w:val="0"/>
          <w:sz w:val="15"/>
          <w:szCs w:val="15"/>
          <w:highlight w:val="auto"/>
        </w:rPr>
        <w:t>产品份额净值=产品资产净值/产品总份额。投资者按该份额净值进行理财产品认购、申购和赎回、获得到期/终止时分配。</w:t>
      </w:r>
      <w:r>
        <w:rPr>
          <w:rFonts w:ascii="方正黑体_GBK" w:eastAsia="方正黑体_GBK"/>
          <w:color w:val="3D3D3D"/>
          <w:kern w:val="0"/>
          <w:sz w:val="15"/>
          <w:szCs w:val="15"/>
        </w:rPr>
        <w:t>产品份额净值按去尾法保留4位小数。</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7.理财产品估值/估值：指计算评估理财产品资产以确定理财产品份额单位净值的过程。</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8.业绩比较基准：指管理人基于</w:t>
      </w:r>
      <w:r>
        <w:rPr>
          <w:rFonts w:ascii="方正黑体_GBK" w:eastAsia="方正黑体_GBK" w:hint="eastAsia"/>
          <w:color w:val="3D3D3D"/>
          <w:kern w:val="0"/>
          <w:sz w:val="15"/>
          <w:szCs w:val="15"/>
          <w:lang w:val="en-US" w:eastAsia="zh-CN"/>
          <w:highlight w:val="auto"/>
        </w:rPr>
        <w:t>产品性质、投资策略、</w:t>
      </w:r>
      <w:r>
        <w:rPr>
          <w:rFonts w:ascii="方正黑体_GBK" w:eastAsia="方正黑体_GBK"/>
          <w:color w:val="3D3D3D"/>
          <w:kern w:val="0"/>
          <w:sz w:val="15"/>
          <w:szCs w:val="15"/>
          <w:highlight w:val="auto"/>
        </w:rPr>
        <w:t>过往投资经验及对产品存续期投资市场波动的预判而对本理财产品所设定的投资目标，业绩比较基准不代表本理财产品的未来表现和实际收益，</w:t>
      </w:r>
      <w:r>
        <w:rPr>
          <w:rFonts w:ascii="方正黑体_GBK" w:eastAsia="方正黑体_GBK" w:hint="eastAsia"/>
          <w:color w:val="3D3D3D"/>
          <w:kern w:val="0"/>
          <w:sz w:val="15"/>
          <w:szCs w:val="15"/>
          <w:lang w:val="en-US" w:eastAsia="zh-CN"/>
          <w:highlight w:val="auto"/>
        </w:rPr>
        <w:t>不构成</w:t>
      </w:r>
      <w:r>
        <w:rPr>
          <w:rFonts w:ascii="方正黑体_GBK" w:eastAsia="方正黑体_GBK"/>
          <w:color w:val="3D3D3D"/>
          <w:kern w:val="0"/>
          <w:sz w:val="15"/>
          <w:szCs w:val="15"/>
          <w:highlight w:val="auto"/>
        </w:rPr>
        <w:t>管理人对本理财产品收益</w:t>
      </w:r>
      <w:r>
        <w:rPr>
          <w:rFonts w:ascii="方正黑体_GBK" w:eastAsia="方正黑体_GBK" w:hint="eastAsia"/>
          <w:color w:val="3D3D3D"/>
          <w:kern w:val="0"/>
          <w:sz w:val="15"/>
          <w:szCs w:val="15"/>
          <w:lang w:val="en-US" w:eastAsia="zh-CN"/>
          <w:highlight w:val="auto"/>
        </w:rPr>
        <w:t>的</w:t>
      </w:r>
      <w:r>
        <w:rPr>
          <w:rFonts w:ascii="方正黑体_GBK" w:eastAsia="方正黑体_GBK"/>
          <w:color w:val="3D3D3D"/>
          <w:kern w:val="0"/>
          <w:sz w:val="15"/>
          <w:szCs w:val="15"/>
          <w:highlight w:val="auto"/>
        </w:rPr>
        <w:t>承诺。</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9.认购：指投资者根据产品说明书约定在募集期内申请购买本理财产品的理财产品份额的行为。</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13.固定收益类理财产品：指投资于存款、债券等债权类资产的比例不低于80%的理财产品。</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14.权益类理财产品：指投资于权益类资产的比例不低于80%的理财产品。</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15.商品及金融衍生品类理财产品：指投资于商品及金融衍生品的比例不低于80%的理财产品。</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16.混合类理财产品：指投资于债权类资产、权益类资产、商品及金融衍生品类资产且任一资产的投资比例</w:t>
      </w:r>
      <w:r>
        <w:rPr>
          <w:rFonts w:ascii="方正黑体_GBK" w:eastAsia="方正黑体_GBK" w:hint="eastAsia"/>
          <w:color w:val="3D3D3D"/>
          <w:kern w:val="0"/>
          <w:sz w:val="15"/>
          <w:szCs w:val="15"/>
        </w:rPr>
        <w:t>均</w:t>
      </w:r>
      <w:r>
        <w:rPr>
          <w:rFonts w:ascii="方正黑体_GBK" w:eastAsia="方正黑体_GBK"/>
          <w:color w:val="3D3D3D"/>
          <w:kern w:val="0"/>
          <w:sz w:val="15"/>
          <w:szCs w:val="15"/>
        </w:rPr>
        <w:t>未达到80%的理财产品。</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17.公募理财产品：指面向不特定社会公众公开发行的理财产品。</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18.私募理财产品：指面向合格投资者非公开发行的理财产品。</w:t>
      </w:r>
    </w:p>
    <w:p>
      <w:pPr>
        <w:pStyle w:val="5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其他</w:t>
      </w:r>
    </w:p>
    <w:p>
      <w:pPr>
        <w:pStyle w:val="5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rFonts w:ascii="方正黑体_GBK" w:eastAsia="方正黑体_GBK"/>
          <w:color w:val="3D3D3D"/>
          <w:kern w:val="0"/>
          <w:sz w:val="15"/>
          <w:szCs w:val="15"/>
          <w:highlight w:val="auto"/>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6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rFonts w:ascii="方正黑体_GBK" w:eastAsia="方正黑体_GBK"/>
          <w:color w:val="3D3D3D"/>
          <w:kern w:val="0"/>
          <w:sz w:val="15"/>
          <w:szCs w:val="15"/>
          <w:highlight w:val="auto"/>
        </w:rPr>
        <w:t>自然灾害、地震、台风、海啸、洪水、火灾、停电、突发性公共卫生事件；</w:t>
      </w:r>
    </w:p>
    <w:p>
      <w:pPr>
        <w:pStyle w:val="6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rFonts w:ascii="方正黑体_GBK" w:eastAsia="方正黑体_GBK"/>
          <w:color w:val="3D3D3D"/>
          <w:kern w:val="0"/>
          <w:sz w:val="15"/>
          <w:szCs w:val="15"/>
          <w:highlight w:val="auto"/>
        </w:rPr>
        <w:t>罢工、内战、战争、军事行动、任何种类的恐怖活动、暴动、公众示威或抗议；</w:t>
      </w:r>
    </w:p>
    <w:p>
      <w:pPr>
        <w:pStyle w:val="6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rFonts w:ascii="方正黑体_GBK" w:eastAsia="方正黑体_GBK"/>
          <w:color w:val="3D3D3D"/>
          <w:kern w:val="0"/>
          <w:sz w:val="15"/>
          <w:szCs w:val="15"/>
          <w:highlight w:val="auto"/>
        </w:rPr>
        <w:t>新的适用法律或国家政策的颁布或实施、对原适用法律或国家政策的修改；</w:t>
      </w:r>
    </w:p>
    <w:p>
      <w:pPr>
        <w:pStyle w:val="6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rFonts w:ascii="方正黑体_GBK" w:eastAsia="方正黑体_GBK"/>
          <w:color w:val="3D3D3D"/>
          <w:kern w:val="0"/>
          <w:sz w:val="15"/>
          <w:szCs w:val="15"/>
          <w:highlight w:val="auto"/>
        </w:rPr>
        <w:t>任何政府机关或其他机关的行为</w:t>
      </w:r>
      <w:r>
        <w:rPr>
          <w:rFonts w:ascii="方正黑体_GBK" w:eastAsia="方正黑体_GBK" w:hint="eastAsia"/>
          <w:color w:val="3D3D3D"/>
          <w:kern w:val="0"/>
          <w:sz w:val="15"/>
          <w:szCs w:val="15"/>
          <w:highlight w:val="auto"/>
        </w:rPr>
        <w:t>（</w:t>
      </w:r>
      <w:r>
        <w:rPr>
          <w:rFonts w:ascii="方正黑体_GBK" w:eastAsia="方正黑体_GBK"/>
          <w:color w:val="3D3D3D"/>
          <w:kern w:val="0"/>
          <w:sz w:val="15"/>
          <w:szCs w:val="15"/>
          <w:highlight w:val="auto"/>
        </w:rPr>
        <w:t>不论是在法律上或是在事实上</w:t>
      </w:r>
      <w:r>
        <w:rPr>
          <w:rFonts w:ascii="方正黑体_GBK" w:eastAsia="方正黑体_GBK" w:hint="eastAsia"/>
          <w:color w:val="3D3D3D"/>
          <w:kern w:val="0"/>
          <w:sz w:val="15"/>
          <w:szCs w:val="15"/>
          <w:highlight w:val="auto"/>
        </w:rPr>
        <w:t>）</w:t>
      </w:r>
      <w:r>
        <w:rPr>
          <w:rFonts w:ascii="方正黑体_GBK" w:eastAsia="方正黑体_GBK"/>
          <w:color w:val="3D3D3D"/>
          <w:kern w:val="0"/>
          <w:sz w:val="15"/>
          <w:szCs w:val="15"/>
          <w:highlight w:val="auto"/>
        </w:rPr>
        <w:t>、法律、法规、条例、规则、规定、裁决、命令或指令（包括国有化或对外限制、外汇管制）、诉讼或威胁；</w:t>
      </w:r>
    </w:p>
    <w:p>
      <w:pPr>
        <w:pStyle w:val="6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rFonts w:ascii="方正黑体_GBK" w:eastAsia="方正黑体_GBK"/>
          <w:color w:val="3D3D3D"/>
          <w:kern w:val="0"/>
          <w:sz w:val="15"/>
          <w:szCs w:val="15"/>
          <w:highlight w:val="auto"/>
        </w:rPr>
        <w:t>中国</w:t>
      </w:r>
      <w:r>
        <w:rPr>
          <w:rFonts w:ascii="方正黑体_GBK" w:eastAsia="方正黑体_GBK" w:hint="eastAsia"/>
          <w:color w:val="3D3D3D"/>
          <w:kern w:val="0"/>
          <w:sz w:val="15"/>
          <w:szCs w:val="15"/>
          <w:highlight w:val="auto"/>
        </w:rPr>
        <w:t>境内</w:t>
      </w:r>
      <w:r>
        <w:rPr>
          <w:rFonts w:ascii="方正黑体_GBK" w:eastAsia="方正黑体_GBK"/>
          <w:color w:val="3D3D3D"/>
          <w:kern w:val="0"/>
          <w:sz w:val="15"/>
          <w:szCs w:val="15"/>
          <w:highlight w:val="auto"/>
        </w:rPr>
        <w:t>或全球金融外汇市场发生致使甲方无法进行货币兑换、划转等的异常变化；</w:t>
      </w:r>
    </w:p>
    <w:p>
      <w:pPr>
        <w:pStyle w:val="6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rFonts w:ascii="方正黑体_GBK" w:eastAsia="方正黑体_GBK"/>
          <w:color w:val="3D3D3D"/>
          <w:kern w:val="0"/>
          <w:sz w:val="15"/>
          <w:szCs w:val="15"/>
          <w:highlight w:val="auto"/>
        </w:rPr>
        <w:t>因理财产品各方和/或其关联方运营网络系统遭受黑客攻击、电信部门技术调整或故障等原因而造成的理财产品各方和/或其关联方之服务、营业的中断或者延迟。</w:t>
      </w:r>
    </w:p>
    <w:p>
      <w:pPr>
        <w:pStyle w:val="5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rFonts w:ascii="方正黑体_GBK" w:eastAsia="方正黑体_GBK"/>
          <w:color w:val="3D3D3D"/>
          <w:kern w:val="0"/>
          <w:sz w:val="15"/>
          <w:szCs w:val="15"/>
          <w:highlight w:val="auto"/>
        </w:rPr>
        <w:t xml:space="preserve"> 2.中国：指中华人民共和国（为本理财产品销售文件之目的，不包括香港特别行政区、澳门特别行政区和台湾地区）。</w:t>
      </w:r>
    </w:p>
    <w:p>
      <w:pPr>
        <w:pStyle w:val="5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rFonts w:ascii="方正黑体_GBK" w:eastAsia="方正黑体_GBK"/>
          <w:color w:val="3D3D3D"/>
          <w:kern w:val="0"/>
          <w:sz w:val="15"/>
          <w:szCs w:val="15"/>
          <w:highlight w:val="auto"/>
        </w:rPr>
        <w:t xml:space="preserve"> 3.元：指人民币元。</w:t>
      </w:r>
    </w:p>
    <w:p>
      <w:pPr>
        <w:pStyle w:val="52"/>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int="eastAsia"/>
          <w:color w:val="3D3D3D"/>
          <w:kern w:val="0"/>
          <w:sz w:val="15"/>
          <w:szCs w:val="15"/>
          <w:lang w:val="en-US" w:eastAsia="zh-CN"/>
        </w:rPr>
      </w:pPr>
      <w:r>
        <w:rPr>
          <w:rFonts w:ascii="方正黑体_GBK" w:eastAsia="方正黑体_GBK"/>
          <w:color w:val="3D3D3D"/>
          <w:kern w:val="0"/>
          <w:sz w:val="15"/>
          <w:szCs w:val="15"/>
          <w:highlight w:val="auto"/>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int="eastAsia"/>
          <w:b/>
          <w:bCs/>
          <w:vanish w:val="0"/>
          <w:color w:val="auto"/>
          <w:kern w:val="0"/>
          <w:sz w:val="15"/>
          <w:szCs w:val="15"/>
        </w:rPr>
      </w:pPr>
      <w:r>
        <w:rPr>
          <w:rFonts w:ascii="方正黑体_GBK" w:eastAsia="方正黑体_GBK" w:hint="eastAsia"/>
          <w:b/>
          <w:bCs/>
          <w:vanish w:val="0"/>
          <w:color w:val="auto"/>
          <w:kern w:val="0"/>
          <w:sz w:val="15"/>
          <w:szCs w:val="15"/>
        </w:rPr>
        <w:t>第三条</w:t>
      </w:r>
      <w:r>
        <w:rPr>
          <w:rFonts w:ascii="方正黑体_GBK" w:eastAsia="方正黑体_GBK" w:cs="Times New Roman" w:hint="eastAsia"/>
          <w:b/>
          <w:bCs/>
          <w:vanish w:val="0"/>
          <w:color w:val="auto"/>
          <w:kern w:val="0"/>
          <w:sz w:val="15"/>
          <w:szCs w:val="15"/>
        </w:rPr>
        <w:t xml:space="preserve">  </w:t>
      </w:r>
      <w:r>
        <w:rPr>
          <w:rFonts w:ascii="方正黑体_GBK" w:eastAsia="方正黑体_GBK" w:hint="eastAsia"/>
          <w:b/>
          <w:bCs/>
          <w:vanish w:val="0"/>
          <w:color w:val="auto"/>
          <w:kern w:val="0"/>
          <w:sz w:val="15"/>
          <w:szCs w:val="15"/>
        </w:rPr>
        <w:t>情景示例</w:t>
      </w:r>
    </w:p>
    <w:p>
      <w:pPr>
        <w:spacing w:line="200" w:lineRule="exact"/>
        <w:ind w:firstLine="280"/>
        <w:jc w:val="left"/>
      </w:pPr>
      <w:r>
        <w:rPr>
          <w:rFonts w:ascii="方正黑体_GBK" w:eastAsia="方正黑体_GBK" w:cs="宋体"/>
          <w:sz w:val="15"/>
          <w:szCs w:val="20"/>
        </w:rPr>
        <w:t>假设：投资者认购本理财产品10万元，成立日当日产品净值为1.0000元，折算份额100,000份。</w:t>
      </w:r>
    </w:p>
    <w:p>
      <w:pPr>
        <w:spacing w:line="200" w:lineRule="exact"/>
        <w:ind w:firstLine="280"/>
        <w:jc w:val="left"/>
      </w:pPr>
      <w:r>
        <w:rPr>
          <w:rFonts w:ascii="方正黑体_GBK" w:eastAsia="方正黑体_GBK" w:cs="宋体"/>
          <w:sz w:val="15"/>
          <w:szCs w:val="20"/>
        </w:rPr>
        <w:t>情景示例一：产品赎回确认时，扣除所有税费后（如有业绩报酬，已扣除）的赎回确认每份额净值为1.0300，则客户在资金到帐日收到到期款项为103,000元。</w:t>
      </w:r>
    </w:p>
    <w:p>
      <w:pPr>
        <w:spacing w:line="200" w:lineRule="exact"/>
        <w:ind w:firstLine="280"/>
        <w:jc w:val="left"/>
      </w:pPr>
      <w:r>
        <w:rPr>
          <w:rFonts w:ascii="方正黑体_GBK" w:eastAsia="方正黑体_GBK" w:cs="宋体"/>
          <w:sz w:val="15"/>
          <w:szCs w:val="20"/>
        </w:rPr>
        <w:t>情景示例二：产品赎回确认时，扣除所有税费后（如有业绩报酬，已扣除）的赎回确认每份额净值为0.9700，则客户在资金到帐日收到到期款项为97,000元。</w:t>
      </w:r>
    </w:p>
    <w:p>
      <w:pPr>
        <w:spacing w:line="200" w:lineRule="exact"/>
      </w:pPr>
      <w:r>
        <w:rPr>
          <w:rFonts w:ascii="方正黑体_GBK" w:eastAsia="方正黑体_GBK" w:cs="宋体"/>
          <w:sz w:val="15"/>
          <w:szCs w:val="20"/>
        </w:rPr>
        <w:t xml:space="preserve"> 以上数据为假设情形中的模拟数据，不代表实际收益，投资须谨慎。</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65Char"/>
          <w:rFonts w:ascii="方正黑体_GBK" w:eastAsia="方正黑体_GBK" w:hint="eastAsia"/>
          <w:vanish w:val="0"/>
          <w:sz w:val="15"/>
          <w:szCs w:val="15"/>
        </w:rPr>
      </w:pPr>
      <w:r>
        <w:rPr>
          <w:rFonts w:ascii="方正黑体_GBK" w:eastAsia="方正黑体_GBK" w:hint="eastAsia"/>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37"/>
        <w:keepNext w:val="0"/>
        <w:keepLines w:val="0"/>
        <w:pageBreakBefore w:val="0"/>
        <w:widowControl/>
        <w:suppressLineNumbers w:val="0"/>
        <w:suppressAutoHyphens w:val="0"/>
        <w:spacing w:line="200" w:lineRule="exact"/>
        <w:ind w:firstLineChars="200" w:firstLine="300"/>
        <w:rPr>
          <w:rStyle w:val="65Char"/>
          <w:rFonts w:ascii="方正黑体_GBK" w:eastAsia="方正黑体_GBK" w:hint="eastAsia"/>
          <w:sz w:val="20"/>
          <w:szCs w:val="20"/>
          <w:lang w:val="en-US" w:eastAsia="zh-CN"/>
        </w:rPr>
      </w:pPr>
      <w:r>
        <w:rPr>
          <w:rFonts w:ascii="方正黑体_GBK" w:eastAsia="方正黑体_GBK" w:hint="eastAsia"/>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b/>
          <w:bCs w:val="0"/>
          <w:vanish w:val="0"/>
          <w:color w:val="auto"/>
          <w:kern w:val="0"/>
          <w:sz w:val="15"/>
          <w:szCs w:val="15"/>
        </w:rPr>
      </w:pPr>
      <w:r>
        <w:rPr>
          <w:rFonts w:ascii="方正黑体_GBK" w:eastAsia="方正黑体_GBK" w:hint="eastAsia"/>
          <w:b/>
          <w:bCs/>
          <w:vanish w:val="0"/>
          <w:color w:val="auto"/>
          <w:kern w:val="0"/>
          <w:sz w:val="15"/>
          <w:szCs w:val="15"/>
        </w:rPr>
        <w:t>第四</w:t>
      </w:r>
      <w:r>
        <w:rPr>
          <w:rFonts w:ascii="方正黑体_GBK" w:eastAsia="方正黑体_GBK" w:hint="eastAsia"/>
          <w:b/>
          <w:bCs w:val="0"/>
          <w:vanish w:val="0"/>
          <w:color w:val="auto"/>
          <w:kern w:val="0"/>
          <w:sz w:val="15"/>
          <w:szCs w:val="15"/>
        </w:rPr>
        <w:t>条</w:t>
      </w:r>
      <w:r>
        <w:rPr>
          <w:rFonts w:ascii="方正黑体_GBK" w:eastAsia="方正黑体_GBK" w:cs="Times New Roman" w:hint="eastAsia"/>
          <w:b/>
          <w:bCs w:val="0"/>
          <w:vanish w:val="0"/>
          <w:color w:val="auto"/>
          <w:kern w:val="0"/>
          <w:sz w:val="15"/>
          <w:szCs w:val="15"/>
        </w:rPr>
        <w:t xml:space="preserve">  </w:t>
      </w:r>
      <w:r>
        <w:rPr>
          <w:rFonts w:ascii="方正黑体_GBK" w:eastAsia="方正黑体_GBK" w:hint="eastAsia"/>
          <w:b/>
          <w:bCs w:val="0"/>
          <w:vanish w:val="0"/>
          <w:color w:val="auto"/>
          <w:kern w:val="0"/>
          <w:sz w:val="15"/>
          <w:szCs w:val="15"/>
        </w:rPr>
        <w:t>理财产品估值</w:t>
      </w:r>
    </w:p>
    <w:p>
      <w:pPr>
        <w:spacing w:line="200" w:lineRule="exact"/>
        <w:ind w:firstLine="300"/>
        <w:jc w:val="both"/>
      </w:pPr>
      <w:r>
        <w:rPr>
          <w:rFonts w:ascii="方正黑体_GBK" w:eastAsia="方正黑体_GBK" w:cs="宋体"/>
          <w:sz w:val="15"/>
          <w:szCs w:val="20"/>
        </w:rPr>
        <w:t>（一）估值日</w:t>
      </w:r>
    </w:p>
    <w:p>
      <w:pPr>
        <w:spacing w:line="200" w:lineRule="exact"/>
        <w:ind w:firstLine="300"/>
        <w:jc w:val="both"/>
      </w:pPr>
      <w:r>
        <w:rPr>
          <w:rFonts w:ascii="方正黑体_GBK" w:eastAsia="方正黑体_GBK" w:cs="宋体"/>
          <w:sz w:val="15"/>
          <w:szCs w:val="20"/>
        </w:rPr>
        <w:t>本理财产品每个工作日进行估值。</w:t>
      </w:r>
    </w:p>
    <w:p>
      <w:pPr>
        <w:spacing w:line="200" w:lineRule="exact"/>
        <w:ind w:firstLine="300"/>
        <w:jc w:val="both"/>
      </w:pPr>
      <w:r>
        <w:rPr>
          <w:rFonts w:ascii="方正黑体_GBK" w:eastAsia="方正黑体_GBK" w:cs="宋体"/>
          <w:sz w:val="15"/>
          <w:szCs w:val="20"/>
        </w:rPr>
        <w:t>（二）估值对象</w:t>
      </w:r>
    </w:p>
    <w:p>
      <w:pPr>
        <w:spacing w:line="200" w:lineRule="exact"/>
        <w:ind w:firstLine="300"/>
        <w:jc w:val="both"/>
      </w:pPr>
      <w:r>
        <w:rPr>
          <w:rFonts w:ascii="方正黑体_GBK" w:eastAsia="方正黑体_GBK" w:cs="宋体"/>
          <w:sz w:val="15"/>
          <w:szCs w:val="20"/>
        </w:rPr>
        <w:t>本理财产品所拥有的所有资产及负债。</w:t>
      </w:r>
    </w:p>
    <w:p>
      <w:pPr>
        <w:spacing w:line="200" w:lineRule="exact"/>
        <w:ind w:firstLine="300"/>
        <w:jc w:val="both"/>
      </w:pPr>
      <w:r>
        <w:rPr>
          <w:rFonts w:ascii="方正黑体_GBK" w:eastAsia="方正黑体_GBK" w:cs="宋体"/>
          <w:sz w:val="15"/>
          <w:szCs w:val="20"/>
        </w:rPr>
        <w:t>（三）估值目的</w:t>
      </w:r>
    </w:p>
    <w:p>
      <w:pPr>
        <w:spacing w:line="200" w:lineRule="exact"/>
        <w:ind w:firstLine="300"/>
        <w:jc w:val="both"/>
      </w:pPr>
      <w:r>
        <w:rPr>
          <w:rFonts w:ascii="方正黑体_GBK" w:eastAsia="方正黑体_GBK" w:cs="宋体"/>
          <w:sz w:val="15"/>
          <w:szCs w:val="20"/>
        </w:rPr>
        <w:t>客观、准确反映理财产品的价值。</w:t>
      </w:r>
    </w:p>
    <w:p>
      <w:pPr>
        <w:spacing w:line="200" w:lineRule="exact"/>
        <w:ind w:firstLine="300"/>
        <w:jc w:val="both"/>
      </w:pPr>
      <w:r>
        <w:rPr>
          <w:rFonts w:ascii="方正黑体_GBK" w:eastAsia="方正黑体_GBK" w:cs="宋体"/>
          <w:sz w:val="15"/>
          <w:szCs w:val="20"/>
        </w:rPr>
        <w:t>（四）估值原则</w:t>
      </w:r>
    </w:p>
    <w:p>
      <w:pPr>
        <w:spacing w:line="200" w:lineRule="exact"/>
        <w:ind w:firstLine="300"/>
        <w:jc w:val="both"/>
      </w:pPr>
      <w:r>
        <w:rPr>
          <w:rFonts w:ascii="方正黑体_GBK" w:eastAsia="方正黑体_GBK" w:cs="宋体"/>
          <w:sz w:val="15"/>
          <w:szCs w:val="20"/>
        </w:rPr>
        <w:t>理财产品应坚持公允价值计量原则，符合会计准则和监管规定的范围内的可选择摊余成本法计量。</w:t>
      </w:r>
    </w:p>
    <w:p>
      <w:pPr>
        <w:spacing w:line="200" w:lineRule="exact"/>
        <w:ind w:firstLine="300"/>
        <w:jc w:val="both"/>
      </w:pPr>
      <w:r>
        <w:rPr>
          <w:rFonts w:ascii="方正黑体_GBK" w:eastAsia="方正黑体_GBK" w:cs="宋体"/>
          <w:sz w:val="15"/>
          <w:szCs w:val="20"/>
        </w:rPr>
        <w:t>（五）估值方法</w:t>
      </w:r>
    </w:p>
    <w:p>
      <w:pPr>
        <w:spacing w:line="200" w:lineRule="exact"/>
        <w:ind w:firstLine="280"/>
        <w:jc w:val="left"/>
      </w:pPr>
      <w:r>
        <w:rPr>
          <w:rFonts w:ascii="方正黑体_GBK" w:eastAsia="方正黑体_GBK" w:cs="宋体"/>
          <w:sz w:val="15"/>
          <w:szCs w:val="20"/>
        </w:rPr>
        <w:t>估值方法中列示的资产品种不代表管理人的实际投向，本理财产品拟投资范围以“投资范围”章节描述为准。</w:t>
      </w:r>
    </w:p>
    <w:p>
      <w:pPr>
        <w:spacing w:line="200" w:lineRule="exact"/>
        <w:ind w:firstLine="280"/>
        <w:jc w:val="left"/>
      </w:pPr>
      <w:r>
        <w:rPr>
          <w:rFonts w:ascii="方正黑体_GBK" w:eastAsia="方正黑体_GBK" w:cs="宋体"/>
          <w:sz w:val="15"/>
          <w:szCs w:val="20"/>
        </w:rPr>
        <w:t>1.银行存款、回购等货币市场工具</w:t>
      </w:r>
    </w:p>
    <w:p>
      <w:pPr>
        <w:spacing w:line="200" w:lineRule="exact"/>
        <w:ind w:firstLine="280"/>
        <w:jc w:val="left"/>
      </w:pPr>
      <w:r>
        <w:rPr>
          <w:rFonts w:ascii="方正黑体_GBK" w:eastAsia="方正黑体_GBK" w:cs="宋体"/>
          <w:sz w:val="15"/>
          <w:szCs w:val="20"/>
        </w:rPr>
        <w:t>以本金列示，按商定的利率在实际持有期间内逐日计提。</w:t>
      </w:r>
    </w:p>
    <w:p>
      <w:pPr>
        <w:spacing w:line="200" w:lineRule="exact"/>
        <w:ind w:firstLine="280"/>
        <w:jc w:val="left"/>
      </w:pPr>
      <w:r>
        <w:rPr>
          <w:rFonts w:ascii="方正黑体_GBK" w:eastAsia="方正黑体_GBK" w:cs="宋体"/>
          <w:color w:val="3D3D3D"/>
          <w:sz w:val="15"/>
          <w:szCs w:val="20"/>
        </w:rPr>
        <w:t>2.债券类资产</w:t>
      </w:r>
    </w:p>
    <w:p>
      <w:pPr>
        <w:spacing w:line="200" w:lineRule="exact"/>
        <w:ind w:firstLine="280"/>
        <w:jc w:val="left"/>
      </w:pPr>
      <w:r>
        <w:rPr>
          <w:rFonts w:ascii="方正黑体_GBK" w:eastAsia="方正黑体_GBK"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pPr>
        <w:spacing w:line="200" w:lineRule="exact"/>
        <w:ind w:firstLine="280"/>
        <w:jc w:val="left"/>
      </w:pPr>
      <w:r>
        <w:rPr>
          <w:rFonts w:ascii="方正黑体_GBK" w:eastAsia="方正黑体_GBK" w:cs="宋体"/>
          <w:color w:val="3D3D3D"/>
          <w:sz w:val="15"/>
          <w:szCs w:val="20"/>
        </w:rPr>
        <w:t>3.非标准化债权类资产</w:t>
      </w:r>
    </w:p>
    <w:p>
      <w:pPr>
        <w:spacing w:line="200" w:lineRule="exact"/>
        <w:ind w:firstLine="280"/>
        <w:jc w:val="left"/>
      </w:pPr>
      <w:r>
        <w:rPr>
          <w:rFonts w:ascii="方正黑体_GBK" w:eastAsia="方正黑体_GBK"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pPr>
        <w:spacing w:line="200" w:lineRule="exact"/>
        <w:ind w:firstLine="280"/>
        <w:jc w:val="left"/>
      </w:pPr>
      <w:r>
        <w:rPr>
          <w:rFonts w:ascii="方正黑体_GBK" w:eastAsia="方正黑体_GBK" w:cs="宋体"/>
          <w:color w:val="3D3D3D"/>
          <w:sz w:val="15"/>
          <w:szCs w:val="20"/>
        </w:rPr>
        <w:t>4.证券投资基金</w:t>
      </w:r>
    </w:p>
    <w:p>
      <w:pPr>
        <w:spacing w:line="200" w:lineRule="exact"/>
        <w:ind w:firstLine="280"/>
        <w:jc w:val="left"/>
      </w:pPr>
      <w:r>
        <w:rPr>
          <w:rFonts w:ascii="方正黑体_GBK" w:eastAsia="方正黑体_GBK"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pPr>
        <w:spacing w:line="200" w:lineRule="exact"/>
        <w:ind w:firstLine="280"/>
        <w:jc w:val="left"/>
      </w:pPr>
      <w:r>
        <w:rPr>
          <w:rFonts w:ascii="方正黑体_GBK" w:eastAsia="方正黑体_GBK" w:cs="宋体"/>
          <w:color w:val="3D3D3D"/>
          <w:sz w:val="15"/>
          <w:szCs w:val="20"/>
        </w:rPr>
        <w:t>5.股权类资产</w:t>
      </w:r>
    </w:p>
    <w:p>
      <w:pPr>
        <w:spacing w:line="200" w:lineRule="exact"/>
        <w:ind w:firstLine="280"/>
        <w:jc w:val="left"/>
      </w:pPr>
      <w:r>
        <w:rPr>
          <w:rFonts w:ascii="方正黑体_GBK" w:eastAsia="方正黑体_GBK"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pPr>
        <w:spacing w:line="200" w:lineRule="exact"/>
        <w:ind w:firstLine="280"/>
        <w:jc w:val="left"/>
      </w:pPr>
      <w:r>
        <w:rPr>
          <w:rFonts w:ascii="方正黑体_GBK" w:eastAsia="方正黑体_GBK" w:cs="宋体"/>
          <w:color w:val="3D3D3D"/>
          <w:sz w:val="15"/>
          <w:szCs w:val="20"/>
        </w:rPr>
        <w:t>6.资管计划、信托计划等资产</w:t>
      </w:r>
    </w:p>
    <w:p>
      <w:pPr>
        <w:spacing w:line="200" w:lineRule="exact"/>
        <w:ind w:firstLine="280"/>
        <w:jc w:val="left"/>
      </w:pPr>
      <w:r>
        <w:rPr>
          <w:rFonts w:ascii="方正黑体_GBK" w:eastAsia="方正黑体_GBK" w:cs="宋体"/>
          <w:color w:val="3D3D3D"/>
          <w:sz w:val="15"/>
          <w:szCs w:val="20"/>
        </w:rPr>
        <w:t>存在公允价值的，按照公允价值估值，或采用估值技术确定估值，也可采用被委托机构提供的估值或计量报告。</w:t>
      </w:r>
    </w:p>
    <w:p>
      <w:pPr>
        <w:spacing w:line="200" w:lineRule="exact"/>
        <w:ind w:firstLine="280"/>
        <w:jc w:val="left"/>
      </w:pPr>
      <w:r>
        <w:rPr>
          <w:rFonts w:ascii="方正黑体_GBK" w:eastAsia="方正黑体_GBK" w:cs="宋体"/>
          <w:color w:val="3D3D3D"/>
          <w:sz w:val="15"/>
          <w:szCs w:val="20"/>
        </w:rPr>
        <w:t>7.其他资产</w:t>
      </w:r>
    </w:p>
    <w:p>
      <w:pPr>
        <w:spacing w:line="200" w:lineRule="exact"/>
        <w:ind w:firstLine="280"/>
        <w:jc w:val="left"/>
      </w:pPr>
      <w:r>
        <w:rPr>
          <w:rFonts w:ascii="方正黑体_GBK" w:eastAsia="方正黑体_GBK" w:cs="宋体"/>
          <w:color w:val="3D3D3D"/>
          <w:sz w:val="15"/>
          <w:szCs w:val="20"/>
        </w:rPr>
        <w:t>存在公允价值的，按照公允价值估值，或采用估值技术确定估值，也可采用被委托机构提供的估值或计量报告。具体可参考《企业会计准则》以及相关监管政策的规定。</w:t>
      </w:r>
    </w:p>
    <w:p>
      <w:pPr>
        <w:spacing w:line="200" w:lineRule="exact"/>
        <w:ind w:firstLine="280"/>
        <w:jc w:val="left"/>
      </w:pPr>
      <w:r>
        <w:rPr>
          <w:rFonts w:ascii="方正黑体_GBK" w:eastAsia="方正黑体_GBK"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pPr>
        <w:spacing w:line="200" w:lineRule="exact"/>
        <w:ind w:firstLine="280"/>
        <w:jc w:val="left"/>
      </w:pPr>
      <w:r>
        <w:rPr>
          <w:rFonts w:ascii="方正黑体_GBK" w:eastAsia="方正黑体_GBK" w:cs="宋体"/>
          <w:color w:val="3D3D3D"/>
          <w:sz w:val="15"/>
          <w:szCs w:val="20"/>
        </w:rPr>
        <w:t>9.如有新增事项或变更事项，按国家最新规定或管理人最新的约定估值。</w:t>
      </w:r>
    </w:p>
    <w:p>
      <w:pPr>
        <w:spacing w:line="200" w:lineRule="exact"/>
        <w:ind w:firstLine="280"/>
        <w:jc w:val="left"/>
      </w:pPr>
      <w:r>
        <w:rPr>
          <w:rFonts w:ascii="方正黑体_GBK" w:eastAsia="方正黑体_GBK"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pPr>
        <w:spacing w:line="200" w:lineRule="exact"/>
        <w:ind w:firstLine="300"/>
        <w:jc w:val="both"/>
      </w:pPr>
      <w:r>
        <w:rPr>
          <w:rFonts w:ascii="方正黑体_GBK" w:eastAsia="方正黑体_GBK" w:cs="宋体"/>
          <w:sz w:val="15"/>
          <w:szCs w:val="20"/>
        </w:rPr>
        <w:t>（六）估值错误及暂停估值</w:t>
      </w:r>
    </w:p>
    <w:p>
      <w:pPr>
        <w:spacing w:line="200" w:lineRule="exact"/>
        <w:ind w:firstLine="300"/>
        <w:jc w:val="both"/>
      </w:pPr>
      <w:r>
        <w:rPr>
          <w:rFonts w:asci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b/>
          <w:bCs/>
          <w:vanish w:val="0"/>
          <w:color w:val="auto"/>
          <w:kern w:val="0"/>
          <w:sz w:val="15"/>
          <w:szCs w:val="15"/>
        </w:rPr>
      </w:pPr>
      <w:r>
        <w:rPr>
          <w:rFonts w:ascii="方正黑体_GBK" w:eastAsia="方正黑体_GBK" w:hint="eastAsia"/>
          <w:b/>
          <w:bCs/>
          <w:vanish w:val="0"/>
          <w:color w:val="auto"/>
          <w:kern w:val="0"/>
          <w:sz w:val="15"/>
          <w:szCs w:val="15"/>
        </w:rPr>
        <w:t>第</w:t>
      </w:r>
      <w:r>
        <w:rPr>
          <w:rFonts w:ascii="方正黑体_GBK" w:eastAsia="方正黑体_GBK" w:cs="Times New Roman" w:hint="eastAsia"/>
          <w:b/>
          <w:bCs/>
          <w:vanish w:val="0"/>
          <w:color w:val="auto"/>
          <w:kern w:val="0"/>
          <w:sz w:val="15"/>
          <w:szCs w:val="15"/>
        </w:rPr>
        <w:t>五</w:t>
      </w:r>
      <w:r>
        <w:rPr>
          <w:rFonts w:ascii="方正黑体_GBK" w:eastAsia="方正黑体_GBK" w:hint="eastAsia"/>
          <w:b/>
          <w:bCs/>
          <w:vanish w:val="0"/>
          <w:color w:val="auto"/>
          <w:kern w:val="0"/>
          <w:sz w:val="15"/>
          <w:szCs w:val="15"/>
        </w:rPr>
        <w:t>条</w:t>
      </w:r>
      <w:r>
        <w:rPr>
          <w:rFonts w:ascii="方正黑体_GBK" w:eastAsia="方正黑体_GBK" w:cs="Times New Roman" w:hint="eastAsia"/>
          <w:b/>
          <w:bCs/>
          <w:vanish w:val="0"/>
          <w:color w:val="auto"/>
          <w:kern w:val="0"/>
          <w:sz w:val="15"/>
          <w:szCs w:val="15"/>
        </w:rPr>
        <w:t xml:space="preserve">  </w:t>
      </w:r>
      <w:r>
        <w:rPr>
          <w:rFonts w:ascii="方正黑体_GBK" w:eastAsia="方正黑体_GBK" w:hint="eastAsia"/>
          <w:b/>
          <w:bCs/>
          <w:vanish w:val="0"/>
          <w:color w:val="auto"/>
          <w:kern w:val="0"/>
          <w:sz w:val="15"/>
          <w:szCs w:val="15"/>
        </w:rPr>
        <w:t>信息披露</w:t>
      </w:r>
    </w:p>
    <w:p>
      <w:pPr>
        <w:pStyle w:val="3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b/>
          <w:bCs/>
          <w:vanish w:val="0"/>
          <w:color w:val="auto"/>
          <w:kern w:val="0"/>
          <w:sz w:val="15"/>
          <w:szCs w:val="15"/>
        </w:rPr>
      </w:pPr>
      <w:r>
        <w:rPr>
          <w:rFonts w:ascii="方正黑体_GBK" w:eastAsia="方正黑体_GBK" w:hint="eastAsia"/>
          <w:b/>
          <w:bCs/>
          <w:vanish w:val="0"/>
          <w:color w:val="auto"/>
          <w:kern w:val="0"/>
          <w:sz w:val="15"/>
          <w:szCs w:val="15"/>
        </w:rPr>
        <w:t>信息披露渠道</w:t>
      </w:r>
    </w:p>
    <w:p>
      <w:pPr>
        <w:spacing w:line="200" w:lineRule="exact"/>
      </w:pPr>
      <w:r>
        <w:rPr>
          <w:rFonts w:asci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3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b/>
          <w:bCs/>
          <w:vanish w:val="0"/>
          <w:color w:val="auto"/>
          <w:kern w:val="0"/>
          <w:sz w:val="15"/>
          <w:szCs w:val="15"/>
        </w:rPr>
      </w:pPr>
      <w:r>
        <w:rPr>
          <w:rFonts w:ascii="方正黑体_GBK" w:eastAsia="方正黑体_GBK" w:hint="eastAsia"/>
          <w:b/>
          <w:bCs/>
          <w:vanish w:val="0"/>
          <w:color w:val="auto"/>
          <w:kern w:val="0"/>
          <w:sz w:val="15"/>
          <w:szCs w:val="15"/>
        </w:rPr>
        <w:t>信息披露的内容及时间</w:t>
      </w:r>
    </w:p>
    <w:p>
      <w:pPr>
        <w:pStyle w:val="3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vanish w:val="0"/>
          <w:color w:val="3D3D3D"/>
          <w:kern w:val="0"/>
          <w:sz w:val="15"/>
          <w:szCs w:val="15"/>
        </w:rPr>
      </w:pPr>
      <w:r>
        <w:rPr>
          <w:rFonts w:ascii="方正黑体_GBK" w:eastAsia="方正黑体_GBK"/>
          <w:vanish w:val="0"/>
          <w:color w:val="3D3D3D"/>
          <w:kern w:val="0"/>
          <w:sz w:val="15"/>
          <w:szCs w:val="15"/>
        </w:rPr>
        <w:t xml:space="preserve"> </w:t>
      </w:r>
      <w:r>
        <w:rPr>
          <w:rFonts w:ascii="方正黑体_GBK" w:eastAsia="方正黑体_GBK" w:hint="eastAsia"/>
          <w:vanish w:val="0"/>
          <w:color w:val="3D3D3D"/>
          <w:kern w:val="0"/>
          <w:sz w:val="15"/>
          <w:szCs w:val="15"/>
        </w:rPr>
        <w:t>净值信息</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vanish w:val="0"/>
          <w:color w:val="3D3D3D"/>
          <w:kern w:val="0"/>
          <w:sz w:val="15"/>
          <w:szCs w:val="15"/>
        </w:rPr>
      </w:pPr>
      <w:r>
        <w:rPr>
          <w:rFonts w:ascii="方正黑体_GBK" w:eastAsia="方正黑体_GBK" w:cs="Times New Roman" w:hint="eastAsia"/>
          <w:vanish w:val="0"/>
          <w:color w:val="3D3D3D"/>
          <w:kern w:val="0"/>
          <w:sz w:val="15"/>
          <w:szCs w:val="15"/>
        </w:rPr>
        <w:t>管理人在本理财产品存续期间至少</w:t>
      </w:r>
      <w:r>
        <w:rPr>
          <w:rFonts w:ascii="方正黑体_GBK" w:eastAsia="方正黑体_GBK" w:hint="eastAsia"/>
          <w:vanish w:val="0"/>
          <w:color w:val="3D3D3D"/>
          <w:kern w:val="0"/>
          <w:sz w:val="15"/>
          <w:szCs w:val="15"/>
        </w:rPr>
        <w:t>按月</w:t>
      </w:r>
      <w:r>
        <w:rPr>
          <w:rFonts w:ascii="方正黑体_GBK" w:eastAsia="方正黑体_GBK" w:cs="Times New Roman" w:hint="eastAsia"/>
          <w:vanish w:val="0"/>
          <w:color w:val="3D3D3D"/>
          <w:kern w:val="0"/>
          <w:sz w:val="15"/>
          <w:szCs w:val="15"/>
        </w:rPr>
        <w:t>向投资者披露净值</w:t>
      </w:r>
      <w:r>
        <w:rPr>
          <w:rFonts w:ascii="方正黑体_GBK" w:eastAsia="方正黑体_GBK" w:hint="eastAsia"/>
          <w:vanish w:val="0"/>
          <w:color w:val="3D3D3D"/>
          <w:kern w:val="0"/>
          <w:sz w:val="15"/>
          <w:szCs w:val="15"/>
        </w:rPr>
        <w:t>。</w:t>
      </w:r>
    </w:p>
    <w:p>
      <w:pPr>
        <w:pStyle w:val="3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产品发行公告</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管理人将在本理财产品成立后</w:t>
      </w:r>
      <w:r>
        <w:rPr>
          <w:rFonts w:ascii="方正黑体_GBK" w:eastAsia="方正黑体_GBK"/>
          <w:vanish w:val="0"/>
          <w:color w:val="3D3D3D"/>
          <w:kern w:val="0"/>
          <w:sz w:val="15"/>
          <w:szCs w:val="15"/>
        </w:rPr>
        <w:t>5</w:t>
      </w:r>
      <w:r>
        <w:rPr>
          <w:rFonts w:ascii="方正黑体_GBK" w:eastAsia="方正黑体_GBK" w:hint="eastAsia"/>
          <w:vanish w:val="0"/>
          <w:color w:val="3D3D3D"/>
          <w:kern w:val="0"/>
          <w:sz w:val="15"/>
          <w:szCs w:val="15"/>
        </w:rPr>
        <w:t>个工作日内披露产品发行公告。</w:t>
      </w:r>
    </w:p>
    <w:p>
      <w:pPr>
        <w:pStyle w:val="3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定期报告</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管理人将在每个季度结束之日起</w:t>
      </w:r>
      <w:r>
        <w:rPr>
          <w:rFonts w:ascii="方正黑体_GBK" w:eastAsia="方正黑体_GBK"/>
          <w:vanish w:val="0"/>
          <w:color w:val="3D3D3D"/>
          <w:kern w:val="0"/>
          <w:sz w:val="15"/>
          <w:szCs w:val="15"/>
        </w:rPr>
        <w:t>15</w:t>
      </w:r>
      <w:r>
        <w:rPr>
          <w:rFonts w:ascii="方正黑体_GBK" w:eastAsia="方正黑体_GBK" w:hint="eastAsia"/>
          <w:vanish w:val="0"/>
          <w:color w:val="3D3D3D"/>
          <w:kern w:val="0"/>
          <w:sz w:val="15"/>
          <w:szCs w:val="15"/>
        </w:rPr>
        <w:t>个工作日内、上半年结束之日起</w:t>
      </w:r>
      <w:r>
        <w:rPr>
          <w:rFonts w:ascii="方正黑体_GBK" w:eastAsia="方正黑体_GBK"/>
          <w:vanish w:val="0"/>
          <w:color w:val="3D3D3D"/>
          <w:kern w:val="0"/>
          <w:sz w:val="15"/>
          <w:szCs w:val="15"/>
        </w:rPr>
        <w:t>60</w:t>
      </w:r>
      <w:r>
        <w:rPr>
          <w:rFonts w:ascii="方正黑体_GBK" w:eastAsia="方正黑体_GBK" w:hint="eastAsia"/>
          <w:vanish w:val="0"/>
          <w:color w:val="3D3D3D"/>
          <w:kern w:val="0"/>
          <w:sz w:val="15"/>
          <w:szCs w:val="15"/>
        </w:rPr>
        <w:t>个工作日内、每年结束之日起</w:t>
      </w:r>
      <w:r>
        <w:rPr>
          <w:rFonts w:ascii="方正黑体_GBK" w:eastAsia="方正黑体_GBK"/>
          <w:vanish w:val="0"/>
          <w:color w:val="3D3D3D"/>
          <w:kern w:val="0"/>
          <w:sz w:val="15"/>
          <w:szCs w:val="15"/>
        </w:rPr>
        <w:t>90</w:t>
      </w:r>
      <w:r>
        <w:rPr>
          <w:rFonts w:ascii="方正黑体_GBK" w:eastAsia="方正黑体_GBK" w:hint="eastAsia"/>
          <w:vanish w:val="0"/>
          <w:color w:val="3D3D3D"/>
          <w:kern w:val="0"/>
          <w:sz w:val="15"/>
          <w:szCs w:val="15"/>
        </w:rPr>
        <w:t>个工作日内披露本理财产品的季度、半年和年度报告，如果本理财产品成立不足</w:t>
      </w:r>
      <w:r>
        <w:rPr>
          <w:rFonts w:ascii="方正黑体_GBK" w:eastAsia="方正黑体_GBK"/>
          <w:vanish w:val="0"/>
          <w:color w:val="3D3D3D"/>
          <w:kern w:val="0"/>
          <w:sz w:val="15"/>
          <w:szCs w:val="15"/>
        </w:rPr>
        <w:t>90</w:t>
      </w:r>
      <w:r>
        <w:rPr>
          <w:rFonts w:ascii="方正黑体_GBK" w:eastAsia="方正黑体_GBK" w:cs="Times New Roman" w:hint="eastAsia"/>
          <w:vanish w:val="0"/>
          <w:color w:val="3D3D3D"/>
          <w:kern w:val="0"/>
          <w:sz w:val="15"/>
          <w:szCs w:val="15"/>
        </w:rPr>
        <w:t>个工作</w:t>
      </w:r>
      <w:r>
        <w:rPr>
          <w:rFonts w:ascii="方正黑体_GBK" w:eastAsia="方正黑体_GBK" w:hint="eastAsia"/>
          <w:vanish w:val="0"/>
          <w:color w:val="3D3D3D"/>
          <w:kern w:val="0"/>
          <w:sz w:val="15"/>
          <w:szCs w:val="15"/>
        </w:rPr>
        <w:t>日或者剩余存续期不超过</w:t>
      </w:r>
      <w:r>
        <w:rPr>
          <w:rFonts w:ascii="方正黑体_GBK" w:eastAsia="方正黑体_GBK"/>
          <w:vanish w:val="0"/>
          <w:color w:val="3D3D3D"/>
          <w:kern w:val="0"/>
          <w:sz w:val="15"/>
          <w:szCs w:val="15"/>
        </w:rPr>
        <w:t>90</w:t>
      </w:r>
      <w:r>
        <w:rPr>
          <w:rFonts w:ascii="方正黑体_GBK" w:eastAsia="方正黑体_GBK" w:cs="Times New Roman" w:hint="eastAsia"/>
          <w:vanish w:val="0"/>
          <w:color w:val="3D3D3D"/>
          <w:kern w:val="0"/>
          <w:sz w:val="15"/>
          <w:szCs w:val="15"/>
        </w:rPr>
        <w:t>个工作</w:t>
      </w:r>
      <w:r>
        <w:rPr>
          <w:rFonts w:ascii="方正黑体_GBK" w:eastAsia="方正黑体_GBK" w:hint="eastAsia"/>
          <w:vanish w:val="0"/>
          <w:color w:val="3D3D3D"/>
          <w:kern w:val="0"/>
          <w:sz w:val="15"/>
          <w:szCs w:val="15"/>
        </w:rPr>
        <w:t>日的，管理人可以不编制产品当期的季度、半年和年度报告。</w:t>
      </w:r>
    </w:p>
    <w:p>
      <w:pPr>
        <w:pStyle w:val="3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到期公告</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管理人将在本理财产品终止后</w:t>
      </w:r>
      <w:r>
        <w:rPr>
          <w:rFonts w:ascii="方正黑体_GBK" w:eastAsia="方正黑体_GBK"/>
          <w:vanish w:val="0"/>
          <w:color w:val="3D3D3D"/>
          <w:kern w:val="0"/>
          <w:sz w:val="15"/>
          <w:szCs w:val="15"/>
        </w:rPr>
        <w:t>5</w:t>
      </w:r>
      <w:r>
        <w:rPr>
          <w:rFonts w:ascii="方正黑体_GBK" w:eastAsia="方正黑体_GBK" w:hint="eastAsia"/>
          <w:vanish w:val="0"/>
          <w:color w:val="3D3D3D"/>
          <w:kern w:val="0"/>
          <w:sz w:val="15"/>
          <w:szCs w:val="15"/>
        </w:rPr>
        <w:t>个工作日内披露产品到期公告。</w:t>
      </w:r>
    </w:p>
    <w:p>
      <w:pPr>
        <w:pStyle w:val="3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重大事项公告</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管理人将在发生可能对本理财产品投资者或者理财产品收益产生重大影响的事件后</w:t>
      </w:r>
      <w:r>
        <w:rPr>
          <w:rFonts w:ascii="方正黑体_GBK" w:eastAsia="方正黑体_GBK"/>
          <w:vanish w:val="0"/>
          <w:color w:val="3D3D3D"/>
          <w:kern w:val="0"/>
          <w:sz w:val="15"/>
          <w:szCs w:val="15"/>
        </w:rPr>
        <w:t>2</w:t>
      </w:r>
      <w:r>
        <w:rPr>
          <w:rFonts w:ascii="方正黑体_GBK" w:eastAsia="方正黑体_GBK" w:hint="eastAsia"/>
          <w:vanish w:val="0"/>
          <w:color w:val="3D3D3D"/>
          <w:kern w:val="0"/>
          <w:sz w:val="15"/>
          <w:szCs w:val="15"/>
        </w:rPr>
        <w:t>个工作日内披露重大事项公告。</w:t>
      </w:r>
    </w:p>
    <w:p>
      <w:pPr>
        <w:pStyle w:val="3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临时公告</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理财产品在运作管理过程中，发生可能对理财产品持有人权益产生影响的事项时，管理人将根据法律法规规定及时进行临时信息披露。</w:t>
      </w:r>
    </w:p>
    <w:p>
      <w:pPr>
        <w:pStyle w:val="3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vanish w:val="0"/>
          <w:color w:val="3D3D3D"/>
          <w:kern w:val="0"/>
          <w:sz w:val="15"/>
          <w:szCs w:val="15"/>
        </w:rPr>
      </w:pPr>
      <w:r>
        <w:rPr>
          <w:rFonts w:ascii="方正黑体_GBK" w:eastAsia="方正黑体_GBK" w:cs="Times New Roman" w:hint="eastAsia"/>
          <w:vanish w:val="0"/>
          <w:color w:val="3D3D3D"/>
          <w:kern w:val="0"/>
          <w:sz w:val="15"/>
          <w:szCs w:val="15"/>
        </w:rPr>
        <w:t>关联交易信息披露</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vanish w:val="0"/>
          <w:color w:val="3D3D3D"/>
          <w:kern w:val="0"/>
          <w:sz w:val="15"/>
          <w:szCs w:val="15"/>
        </w:rPr>
      </w:pPr>
      <w:r>
        <w:rPr>
          <w:rFonts w:ascii="方正黑体_GBK" w:eastAsia="方正黑体_GBK" w:cs="Times New Roman" w:hint="eastAsia"/>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vanish w:val="0"/>
          <w:color w:val="3D3D3D"/>
          <w:kern w:val="0"/>
          <w:sz w:val="15"/>
          <w:szCs w:val="15"/>
        </w:rPr>
        <w:t>。</w:t>
      </w:r>
    </w:p>
    <w:p>
      <w:pPr>
        <w:pStyle w:val="3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账单</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vanish w:val="0"/>
          <w:color w:val="3D3D3D"/>
          <w:kern w:val="0"/>
          <w:sz w:val="15"/>
          <w:szCs w:val="15"/>
        </w:rPr>
      </w:pPr>
      <w:r>
        <w:rPr>
          <w:rFonts w:ascii="方正黑体_GBK" w:eastAsia="方正黑体_GBK" w:cs="Times New Roman" w:hint="eastAsia"/>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vanish w:val="0"/>
          <w:color w:val="3D3D3D"/>
          <w:kern w:val="0"/>
          <w:sz w:val="15"/>
          <w:szCs w:val="15"/>
        </w:rPr>
        <w:t>。</w:t>
      </w:r>
    </w:p>
    <w:p>
      <w:pPr>
        <w:pStyle w:val="3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int="eastAsia"/>
          <w:b/>
          <w:bCs/>
          <w:vanish w:val="0"/>
          <w:color w:val="3D3D3D"/>
          <w:kern w:val="0"/>
          <w:sz w:val="15"/>
          <w:szCs w:val="15"/>
        </w:rPr>
      </w:pPr>
      <w:r>
        <w:rPr>
          <w:rFonts w:ascii="方正黑体_GBK" w:eastAsia="方正黑体_GBK" w:cs="Times New Roman" w:hint="eastAsia"/>
          <w:b/>
          <w:bCs/>
          <w:vanish w:val="0"/>
          <w:color w:val="3D3D3D"/>
          <w:kern w:val="0"/>
          <w:sz w:val="15"/>
          <w:szCs w:val="15"/>
        </w:rPr>
        <w:t>在本理财产品存续期内：</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int="eastAsia"/>
          <w:b/>
          <w:bCs/>
          <w:vanish w:val="0"/>
          <w:color w:val="3D3D3D"/>
          <w:kern w:val="0"/>
          <w:sz w:val="15"/>
          <w:szCs w:val="15"/>
        </w:rPr>
      </w:pPr>
      <w:r>
        <w:rPr>
          <w:rFonts w:ascii="方正黑体_GBK" w:eastAsia="方正黑体_GBK" w:cs="Times New Roman" w:hint="eastAsia"/>
          <w:b/>
          <w:bCs/>
          <w:vanish w:val="0"/>
          <w:color w:val="3D3D3D"/>
          <w:kern w:val="0"/>
          <w:sz w:val="15"/>
          <w:szCs w:val="15"/>
        </w:rPr>
        <w:t>（</w:t>
      </w:r>
      <w:r>
        <w:rPr>
          <w:rFonts w:ascii="方正黑体_GBK" w:eastAsia="方正黑体_GBK" w:cs="Times New Roman"/>
          <w:b/>
          <w:bCs/>
          <w:vanish w:val="0"/>
          <w:color w:val="3D3D3D"/>
          <w:kern w:val="0"/>
          <w:sz w:val="15"/>
          <w:szCs w:val="15"/>
        </w:rPr>
        <w:t>1</w:t>
      </w:r>
      <w:r>
        <w:rPr>
          <w:rFonts w:ascii="方正黑体_GBK" w:eastAsia="方正黑体_GBK" w:cs="Times New Roman" w:hint="eastAsia"/>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b/>
          <w:bCs/>
          <w:vanish w:val="0"/>
          <w:color w:val="3D3D3D"/>
          <w:kern w:val="0"/>
          <w:sz w:val="15"/>
          <w:szCs w:val="15"/>
        </w:rPr>
      </w:pPr>
      <w:r>
        <w:rPr>
          <w:rFonts w:ascii="方正黑体_GBK" w:eastAsia="方正黑体_GBK" w:cs="Times New Roman" w:hint="eastAsia"/>
          <w:b/>
          <w:bCs/>
          <w:vanish w:val="0"/>
          <w:color w:val="3D3D3D"/>
          <w:kern w:val="0"/>
          <w:sz w:val="15"/>
          <w:szCs w:val="15"/>
        </w:rPr>
        <w:t>（</w:t>
      </w:r>
      <w:r>
        <w:rPr>
          <w:rFonts w:ascii="方正黑体_GBK" w:eastAsia="方正黑体_GBK" w:cs="Times New Roman"/>
          <w:b/>
          <w:bCs/>
          <w:vanish w:val="0"/>
          <w:color w:val="3D3D3D"/>
          <w:kern w:val="0"/>
          <w:sz w:val="15"/>
          <w:szCs w:val="15"/>
        </w:rPr>
        <w:t>2</w:t>
      </w:r>
      <w:r>
        <w:rPr>
          <w:rFonts w:ascii="方正黑体_GBK" w:eastAsia="方正黑体_GBK" w:cs="Times New Roman" w:hint="eastAsia"/>
          <w:b/>
          <w:bCs/>
          <w:vanish w:val="0"/>
          <w:color w:val="3D3D3D"/>
          <w:kern w:val="0"/>
          <w:sz w:val="15"/>
          <w:szCs w:val="15"/>
        </w:rPr>
        <w:t>）</w:t>
      </w:r>
      <w:r>
        <w:rPr>
          <w:rFonts w:asci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10.其他公告</w:t>
      </w:r>
    </w:p>
    <w:p>
      <w:pPr>
        <w:pStyle w:val="37"/>
        <w:keepNext w:val="0"/>
        <w:keepLines w:val="0"/>
        <w:pageBreakBefore w:val="0"/>
        <w:widowControl/>
        <w:suppressLineNumbers w:val="0"/>
        <w:suppressAutoHyphens w:val="0"/>
        <w:spacing w:line="200" w:lineRule="exact"/>
        <w:ind w:firstLine="300"/>
        <w:rPr>
          <w:rFonts w:ascii="方正黑体_GBK" w:eastAsia="方正黑体_GBK" w:hint="eastAsia"/>
          <w:color w:val="3D3D3D"/>
          <w:kern w:val="0"/>
          <w:sz w:val="15"/>
          <w:szCs w:val="15"/>
        </w:rPr>
      </w:pPr>
      <w:r>
        <w:rPr>
          <w:rFonts w:ascii="方正黑体_GBK" w:eastAsia="方正黑体_GBK" w:hint="eastAsia"/>
          <w:vanish w:val="0"/>
          <w:color w:val="3D3D3D"/>
          <w:kern w:val="0"/>
          <w:sz w:val="15"/>
          <w:szCs w:val="15"/>
        </w:rPr>
        <w:t>理财产品在运作管理过程中，管理人根据实际运作情况发布的其他公告。</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b/>
          <w:bCs/>
          <w:vanish w:val="0"/>
          <w:color w:val="auto"/>
          <w:kern w:val="0"/>
          <w:sz w:val="15"/>
          <w:szCs w:val="15"/>
        </w:rPr>
      </w:pPr>
      <w:r>
        <w:rPr>
          <w:rFonts w:ascii="方正黑体_GBK" w:eastAsia="方正黑体_GBK" w:hint="eastAsia"/>
          <w:b/>
          <w:bCs/>
          <w:vanish w:val="0"/>
          <w:color w:val="auto"/>
          <w:kern w:val="0"/>
          <w:sz w:val="15"/>
          <w:szCs w:val="15"/>
        </w:rPr>
        <w:t>第</w:t>
      </w:r>
      <w:r>
        <w:rPr>
          <w:rFonts w:ascii="方正黑体_GBK" w:eastAsia="方正黑体_GBK" w:cs="Times New Roman" w:hint="eastAsia"/>
          <w:b/>
          <w:bCs/>
          <w:vanish w:val="0"/>
          <w:color w:val="auto"/>
          <w:kern w:val="0"/>
          <w:sz w:val="15"/>
          <w:szCs w:val="15"/>
        </w:rPr>
        <w:t>六</w:t>
      </w:r>
      <w:r>
        <w:rPr>
          <w:rFonts w:ascii="方正黑体_GBK" w:eastAsia="方正黑体_GBK" w:hint="eastAsia"/>
          <w:b/>
          <w:bCs/>
          <w:vanish w:val="0"/>
          <w:color w:val="auto"/>
          <w:kern w:val="0"/>
          <w:sz w:val="15"/>
          <w:szCs w:val="15"/>
        </w:rPr>
        <w:t>条</w:t>
      </w:r>
      <w:r>
        <w:rPr>
          <w:rFonts w:ascii="方正黑体_GBK" w:eastAsia="方正黑体_GBK" w:cs="Times New Roman" w:hint="eastAsia"/>
          <w:b/>
          <w:bCs/>
          <w:vanish w:val="0"/>
          <w:color w:val="auto"/>
          <w:kern w:val="0"/>
          <w:sz w:val="15"/>
          <w:szCs w:val="15"/>
        </w:rPr>
        <w:t xml:space="preserve">  投资者保护提示</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vanish w:val="0"/>
          <w:color w:val="3D3D3D"/>
          <w:kern w:val="0"/>
          <w:sz w:val="15"/>
          <w:szCs w:val="15"/>
        </w:rPr>
      </w:pPr>
      <w:r>
        <w:rPr>
          <w:rFonts w:ascii="方正黑体_GBK" w:eastAsia="方正黑体_GBK" w:cs="Times New Roman" w:hint="eastAsia"/>
          <w:vanish w:val="0"/>
          <w:color w:val="3D3D3D"/>
          <w:kern w:val="0"/>
          <w:sz w:val="15"/>
          <w:szCs w:val="15"/>
        </w:rPr>
        <w:t>您如对销售机构产品推介和销售等服务有任何意见或建议，您可通过拨打销售机构客服电话进行咨询及反馈。</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vanish w:val="0"/>
          <w:color w:val="3D3D3D"/>
          <w:kern w:val="0"/>
          <w:sz w:val="15"/>
          <w:szCs w:val="15"/>
        </w:rPr>
      </w:pPr>
      <w:r>
        <w:rPr>
          <w:rFonts w:ascii="方正黑体_GBK" w:eastAsia="方正黑体_GBK" w:cs="Times New Roman" w:hint="eastAsia"/>
          <w:vanish w:val="0"/>
          <w:color w:val="3D3D3D"/>
          <w:kern w:val="0"/>
          <w:sz w:val="15"/>
          <w:szCs w:val="15"/>
        </w:rPr>
        <w:t>您如对理财产品设计、投资管理等事项有任何意见或建议，您可通过拨打管理人客服电话进行咨询及反馈。</w:t>
      </w:r>
    </w:p>
    <w:p>
      <w:pPr>
        <w:pStyle w:val="37"/>
        <w:keepNext w:val="0"/>
        <w:keepLines w:val="0"/>
        <w:pageBreakBefore w:val="0"/>
        <w:widowControl/>
        <w:suppressLineNumbers w:val="0"/>
        <w:suppressAutoHyphens w:val="0"/>
        <w:spacing w:line="200" w:lineRule="exact"/>
        <w:ind w:firstLine="300"/>
        <w:rPr>
          <w:rFonts w:ascii="方正黑体_GBK" w:eastAsia="方正黑体_GBK" w:hint="eastAsia"/>
          <w:color w:val="3D3D3D"/>
          <w:kern w:val="0"/>
          <w:sz w:val="15"/>
          <w:szCs w:val="15"/>
          <w:lang w:val="en-US" w:eastAsia="zh-CN"/>
        </w:rPr>
      </w:pPr>
      <w:r>
        <w:rPr>
          <w:rFonts w:ascii="方正黑体_GBK" w:eastAsia="方正黑体_GBK" w:cs="Times New Roman" w:hint="eastAsia"/>
          <w:vanish w:val="0"/>
          <w:color w:val="3D3D3D"/>
          <w:kern w:val="0"/>
          <w:sz w:val="15"/>
          <w:szCs w:val="15"/>
        </w:rPr>
        <w:t>销售机构及管理人的联系方式详见《投资者权益须知》第八条。</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b/>
          <w:bCs/>
          <w:vanish w:val="0"/>
          <w:color w:val="auto"/>
          <w:kern w:val="0"/>
          <w:sz w:val="15"/>
          <w:szCs w:val="15"/>
        </w:rPr>
      </w:pPr>
      <w:r>
        <w:rPr>
          <w:rFonts w:ascii="方正黑体_GBK" w:eastAsia="方正黑体_GBK" w:hint="eastAsia"/>
          <w:b/>
          <w:bCs/>
          <w:vanish w:val="0"/>
          <w:color w:val="auto"/>
          <w:kern w:val="0"/>
          <w:sz w:val="15"/>
          <w:szCs w:val="15"/>
        </w:rPr>
        <w:t>第</w:t>
      </w:r>
      <w:r>
        <w:rPr>
          <w:rFonts w:ascii="方正黑体_GBK" w:eastAsia="方正黑体_GBK" w:cs="Times New Roman" w:hint="eastAsia"/>
          <w:b/>
          <w:bCs/>
          <w:vanish w:val="0"/>
          <w:color w:val="auto"/>
          <w:kern w:val="0"/>
          <w:sz w:val="15"/>
          <w:szCs w:val="15"/>
        </w:rPr>
        <w:t>七</w:t>
      </w:r>
      <w:r>
        <w:rPr>
          <w:rFonts w:ascii="方正黑体_GBK" w:eastAsia="方正黑体_GBK" w:hint="eastAsia"/>
          <w:b/>
          <w:bCs/>
          <w:vanish w:val="0"/>
          <w:color w:val="auto"/>
          <w:kern w:val="0"/>
          <w:sz w:val="15"/>
          <w:szCs w:val="15"/>
        </w:rPr>
        <w:t>条</w:t>
      </w:r>
      <w:r>
        <w:rPr>
          <w:rFonts w:ascii="方正黑体_GBK" w:eastAsia="方正黑体_GBK" w:cs="Times New Roman" w:hint="eastAsia"/>
          <w:b/>
          <w:bCs/>
          <w:vanish w:val="0"/>
          <w:color w:val="auto"/>
          <w:kern w:val="0"/>
          <w:sz w:val="15"/>
          <w:szCs w:val="15"/>
        </w:rPr>
        <w:t xml:space="preserve">  </w:t>
      </w:r>
      <w:r>
        <w:rPr>
          <w:rFonts w:ascii="方正黑体_GBK" w:eastAsia="方正黑体_GBK" w:hint="eastAsia"/>
          <w:b/>
          <w:bCs/>
          <w:vanish w:val="0"/>
          <w:color w:val="auto"/>
          <w:kern w:val="0"/>
          <w:sz w:val="15"/>
          <w:szCs w:val="15"/>
        </w:rPr>
        <w:t>法律适用和争议解决</w:t>
      </w:r>
    </w:p>
    <w:p>
      <w:pPr>
        <w:pStyle w:val="37"/>
        <w:keepNext w:val="0"/>
        <w:keepLines w:val="0"/>
        <w:pageBreakBefore w:val="0"/>
        <w:widowControl/>
        <w:suppressLineNumbers w:val="0"/>
        <w:suppressAutoHyphens w:val="0"/>
        <w:spacing w:line="200" w:lineRule="exact"/>
        <w:ind w:firstLine="300"/>
        <w:rPr>
          <w:rFonts w:ascii="方正黑体_GBK" w:eastAsia="方正黑体_GBK" w:hint="eastAsia"/>
          <w:color w:val="3D3D3D"/>
          <w:kern w:val="0"/>
          <w:sz w:val="15"/>
          <w:szCs w:val="15"/>
          <w:lang w:val="en-US" w:eastAsia="zh-CN"/>
        </w:rPr>
      </w:pPr>
      <w:r>
        <w:rPr>
          <w:rFonts w:ascii="方正黑体_GBK" w:eastAsia="方正黑体_GBK" w:cs="Times New Roman" w:hint="eastAsia"/>
          <w:vanish w:val="0"/>
          <w:color w:val="3D3D3D"/>
          <w:kern w:val="0"/>
          <w:sz w:val="15"/>
          <w:szCs w:val="15"/>
        </w:rPr>
        <w:t>理财产品销售文件的订立、生效、履行、解释、修改和终止等事项的适用法律和争议解决方式按照销售协议书的相关约定执行。</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b/>
          <w:bCs/>
          <w:vanish w:val="0"/>
          <w:color w:val="auto"/>
          <w:kern w:val="0"/>
          <w:sz w:val="15"/>
          <w:szCs w:val="15"/>
        </w:rPr>
      </w:pPr>
      <w:r>
        <w:rPr>
          <w:rFonts w:ascii="方正黑体_GBK" w:eastAsia="方正黑体_GBK" w:hint="eastAsia"/>
          <w:b/>
          <w:bCs/>
          <w:vanish w:val="0"/>
          <w:color w:val="auto"/>
          <w:kern w:val="0"/>
          <w:sz w:val="15"/>
          <w:szCs w:val="15"/>
        </w:rPr>
        <w:t>第</w:t>
      </w:r>
      <w:r>
        <w:rPr>
          <w:rFonts w:ascii="方正黑体_GBK" w:eastAsia="方正黑体_GBK" w:cs="Times New Roman" w:hint="eastAsia"/>
          <w:b/>
          <w:bCs/>
          <w:vanish w:val="0"/>
          <w:color w:val="auto"/>
          <w:kern w:val="0"/>
          <w:sz w:val="15"/>
          <w:szCs w:val="15"/>
        </w:rPr>
        <w:t>八</w:t>
      </w:r>
      <w:r>
        <w:rPr>
          <w:rFonts w:ascii="方正黑体_GBK" w:eastAsia="方正黑体_GBK" w:hint="eastAsia"/>
          <w:b/>
          <w:bCs/>
          <w:vanish w:val="0"/>
          <w:color w:val="auto"/>
          <w:kern w:val="0"/>
          <w:sz w:val="15"/>
          <w:szCs w:val="15"/>
        </w:rPr>
        <w:t>条</w:t>
      </w:r>
      <w:r>
        <w:rPr>
          <w:rFonts w:ascii="方正黑体_GBK" w:eastAsia="方正黑体_GBK" w:cs="Times New Roman" w:hint="eastAsia"/>
          <w:b/>
          <w:bCs/>
          <w:vanish w:val="0"/>
          <w:color w:val="auto"/>
          <w:kern w:val="0"/>
          <w:sz w:val="15"/>
          <w:szCs w:val="15"/>
        </w:rPr>
        <w:t xml:space="preserve">  </w:t>
      </w:r>
      <w:r>
        <w:rPr>
          <w:rFonts w:ascii="方正黑体_GBK" w:eastAsia="方正黑体_GBK" w:hint="eastAsia"/>
          <w:b/>
          <w:bCs/>
          <w:vanish w:val="0"/>
          <w:color w:val="auto"/>
          <w:kern w:val="0"/>
          <w:sz w:val="15"/>
          <w:szCs w:val="15"/>
        </w:rPr>
        <w:t>重要提示</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b/>
          <w:bCs/>
          <w:vanish w:val="0"/>
          <w:color w:val="auto"/>
          <w:kern w:val="0"/>
          <w:sz w:val="15"/>
          <w:szCs w:val="15"/>
        </w:rPr>
      </w:pPr>
      <w:r>
        <w:rPr>
          <w:rFonts w:ascii="方正黑体_GBK" w:eastAsia="方正黑体_GBK" w:hint="eastAsia"/>
          <w:b/>
          <w:bCs/>
          <w:vanish w:val="0"/>
          <w:color w:val="auto"/>
          <w:kern w:val="0"/>
          <w:sz w:val="15"/>
          <w:szCs w:val="15"/>
        </w:rPr>
        <w:t>请您一定仔细阅读本理财产品销售文件，了解理财产品具体情况，关注投资风险，自主决定是否投资。</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b/>
          <w:bCs/>
          <w:vanish w:val="0"/>
          <w:color w:val="auto"/>
          <w:kern w:val="0"/>
          <w:sz w:val="15"/>
          <w:szCs w:val="15"/>
        </w:rPr>
      </w:pPr>
      <w:r>
        <w:rPr>
          <w:rFonts w:ascii="方正黑体_GBK" w:eastAsia="方正黑体_GBK" w:hint="eastAsia"/>
          <w:b/>
          <w:bCs/>
          <w:vanish w:val="0"/>
          <w:color w:val="auto"/>
          <w:kern w:val="0"/>
          <w:sz w:val="15"/>
          <w:szCs w:val="15"/>
        </w:rPr>
        <w:t>投资者特此</w:t>
      </w:r>
      <w:r>
        <w:rPr>
          <w:rFonts w:ascii="方正黑体_GBK" w:eastAsia="方正黑体_GBK" w:cs="Times New Roman" w:hint="eastAsia"/>
          <w:b/>
          <w:bCs/>
          <w:vanish w:val="0"/>
          <w:color w:val="auto"/>
          <w:kern w:val="0"/>
          <w:sz w:val="15"/>
          <w:szCs w:val="15"/>
        </w:rPr>
        <w:t>同</w:t>
      </w:r>
      <w:r>
        <w:rPr>
          <w:rFonts w:ascii="方正黑体_GBK" w:eastAsia="方正黑体_GBK" w:hint="eastAsia"/>
          <w:b/>
          <w:bCs/>
          <w:vanish w:val="0"/>
          <w:color w:val="auto"/>
          <w:kern w:val="0"/>
          <w:sz w:val="15"/>
          <w:szCs w:val="15"/>
        </w:rPr>
        <w:t>意</w:t>
      </w:r>
      <w:r>
        <w:rPr>
          <w:rFonts w:ascii="方正黑体_GBK" w:eastAsia="方正黑体_GBK" w:cs="Times New Roman" w:hint="eastAsia"/>
          <w:b/>
          <w:bCs/>
          <w:vanish w:val="0"/>
          <w:color w:val="auto"/>
          <w:kern w:val="0"/>
          <w:sz w:val="15"/>
          <w:szCs w:val="15"/>
        </w:rPr>
        <w:t>并授权：</w:t>
      </w:r>
      <w:r>
        <w:rPr>
          <w:rFonts w:ascii="方正黑体_GBK" w:eastAsia="方正黑体_GBK" w:hint="eastAsia"/>
          <w:b/>
          <w:bCs/>
          <w:vanish w:val="0"/>
          <w:color w:val="auto"/>
          <w:kern w:val="0"/>
          <w:sz w:val="15"/>
          <w:szCs w:val="15"/>
        </w:rPr>
        <w:t>管理人</w:t>
      </w:r>
      <w:r>
        <w:rPr>
          <w:rFonts w:ascii="方正黑体_GBK" w:eastAsia="方正黑体_GBK" w:cs="Times New Roman" w:hint="eastAsia"/>
          <w:b/>
          <w:bCs/>
          <w:vanish w:val="0"/>
          <w:color w:val="auto"/>
          <w:kern w:val="0"/>
          <w:sz w:val="15"/>
          <w:szCs w:val="15"/>
        </w:rPr>
        <w:t>及销售机构</w:t>
      </w:r>
      <w:r>
        <w:rPr>
          <w:rFonts w:ascii="方正黑体_GBK" w:eastAsia="方正黑体_GBK" w:hint="eastAsia"/>
          <w:b/>
          <w:bCs/>
          <w:vanish w:val="0"/>
          <w:color w:val="auto"/>
          <w:kern w:val="0"/>
          <w:sz w:val="15"/>
          <w:szCs w:val="15"/>
        </w:rPr>
        <w:t>有权按照法律法规</w:t>
      </w:r>
      <w:r>
        <w:rPr>
          <w:rFonts w:ascii="方正黑体_GBK" w:eastAsia="方正黑体_GBK" w:cs="Times New Roman" w:hint="eastAsia"/>
          <w:b/>
          <w:bCs/>
          <w:vanish w:val="0"/>
          <w:color w:val="auto"/>
          <w:kern w:val="0"/>
          <w:sz w:val="15"/>
          <w:szCs w:val="15"/>
        </w:rPr>
        <w:t>规定，遵循正当、必要的原则，收集、使用投资者个人信息，包括但不限于</w:t>
      </w:r>
      <w:r>
        <w:rPr>
          <w:rFonts w:ascii="方正黑体_GBK" w:eastAsia="方正黑体_GBK" w:hint="eastAsia"/>
          <w:b/>
          <w:bCs/>
          <w:vanish w:val="0"/>
          <w:color w:val="auto"/>
          <w:kern w:val="0"/>
          <w:sz w:val="15"/>
          <w:szCs w:val="15"/>
        </w:rPr>
        <w:t>根据法律法规规定</w:t>
      </w:r>
      <w:r>
        <w:rPr>
          <w:rFonts w:ascii="方正黑体_GBK" w:eastAsia="方正黑体_GBK" w:cs="Times New Roman" w:hint="eastAsia"/>
          <w:b/>
          <w:bCs/>
          <w:vanish w:val="0"/>
          <w:color w:val="auto"/>
          <w:kern w:val="0"/>
          <w:sz w:val="15"/>
          <w:szCs w:val="15"/>
        </w:rPr>
        <w:t>、监管或</w:t>
      </w:r>
      <w:r>
        <w:rPr>
          <w:rFonts w:ascii="方正黑体_GBK" w:eastAsia="方正黑体_GBK" w:hint="eastAsia"/>
          <w:b/>
          <w:bCs/>
          <w:vanish w:val="0"/>
          <w:color w:val="auto"/>
          <w:kern w:val="0"/>
          <w:sz w:val="15"/>
          <w:szCs w:val="15"/>
        </w:rPr>
        <w:t>有权机关要求</w:t>
      </w:r>
      <w:r>
        <w:rPr>
          <w:rFonts w:ascii="方正黑体_GBK" w:eastAsia="方正黑体_GBK" w:cs="Times New Roman" w:hint="eastAsia"/>
          <w:b/>
          <w:bCs/>
          <w:vanish w:val="0"/>
          <w:color w:val="auto"/>
          <w:kern w:val="0"/>
          <w:sz w:val="15"/>
          <w:szCs w:val="15"/>
        </w:rPr>
        <w:t>、理财业务需要等采集、处理及使用</w:t>
      </w:r>
      <w:r>
        <w:rPr>
          <w:rFonts w:ascii="方正黑体_GBK" w:eastAsia="方正黑体_GBK" w:hint="eastAsia"/>
          <w:b/>
          <w:bCs/>
          <w:vanish w:val="0"/>
          <w:color w:val="auto"/>
          <w:kern w:val="0"/>
          <w:sz w:val="15"/>
          <w:szCs w:val="15"/>
        </w:rPr>
        <w:t>投资者身份、持有理财产品、理财产品交易等信息</w:t>
      </w:r>
      <w:r>
        <w:rPr>
          <w:rFonts w:ascii="方正黑体_GBK" w:eastAsia="方正黑体_GBK" w:cs="Times New Roman" w:hint="eastAsia"/>
          <w:b/>
          <w:bCs/>
          <w:vanish w:val="0"/>
          <w:color w:val="auto"/>
          <w:kern w:val="0"/>
          <w:sz w:val="15"/>
          <w:szCs w:val="15"/>
        </w:rPr>
        <w:t>，</w:t>
      </w:r>
      <w:r>
        <w:rPr>
          <w:rFonts w:ascii="方正黑体_GBK" w:eastAsia="方正黑体_GBK" w:hint="eastAsia"/>
          <w:b/>
          <w:bCs/>
          <w:vanish w:val="0"/>
          <w:color w:val="auto"/>
          <w:kern w:val="0"/>
          <w:sz w:val="15"/>
          <w:szCs w:val="15"/>
        </w:rPr>
        <w:t>以及</w:t>
      </w:r>
      <w:r>
        <w:rPr>
          <w:rFonts w:ascii="方正黑体_GBK" w:eastAsia="方正黑体_GBK" w:hint="eastAsia"/>
          <w:b/>
          <w:bCs/>
          <w:vanish w:val="0"/>
          <w:color w:val="auto"/>
          <w:spacing w:val="0"/>
          <w:kern w:val="0"/>
          <w:sz w:val="15"/>
          <w:szCs w:val="15"/>
        </w:rPr>
        <w:t>在办理与理财产品相关事项</w:t>
      </w:r>
      <w:r>
        <w:rPr>
          <w:rFonts w:ascii="方正黑体_GBK" w:eastAsia="方正黑体_GBK" w:cs="Times New Roman" w:hint="eastAsia"/>
          <w:b/>
          <w:bCs/>
          <w:vanish w:val="0"/>
          <w:color w:val="auto"/>
          <w:spacing w:val="0"/>
          <w:kern w:val="0"/>
          <w:sz w:val="15"/>
          <w:szCs w:val="15"/>
        </w:rPr>
        <w:t>需要</w:t>
      </w:r>
      <w:r>
        <w:rPr>
          <w:rFonts w:ascii="方正黑体_GBK" w:eastAsia="方正黑体_GBK" w:hint="eastAsia"/>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b/>
          <w:bCs/>
          <w:vanish w:val="0"/>
          <w:color w:val="auto"/>
          <w:spacing w:val="0"/>
          <w:kern w:val="0"/>
          <w:sz w:val="15"/>
          <w:szCs w:val="15"/>
        </w:rPr>
        <w:t>相关</w:t>
      </w:r>
      <w:r>
        <w:rPr>
          <w:rFonts w:ascii="方正黑体_GBK" w:eastAsia="方正黑体_GBK" w:hint="eastAsia"/>
          <w:b/>
          <w:bCs/>
          <w:vanish w:val="0"/>
          <w:color w:val="auto"/>
          <w:spacing w:val="0"/>
          <w:kern w:val="0"/>
          <w:sz w:val="15"/>
          <w:szCs w:val="15"/>
        </w:rPr>
        <w:t>信息</w:t>
      </w:r>
      <w:r>
        <w:rPr>
          <w:rFonts w:ascii="方正黑体_GBK" w:eastAsia="方正黑体_GBK" w:cs="Times New Roman" w:hint="eastAsia"/>
          <w:b/>
          <w:bCs/>
          <w:vanish w:val="0"/>
          <w:color w:val="auto"/>
          <w:spacing w:val="0"/>
          <w:kern w:val="0"/>
          <w:sz w:val="15"/>
          <w:szCs w:val="15"/>
        </w:rPr>
        <w:t>。</w:t>
      </w:r>
      <w:r>
        <w:rPr>
          <w:rFonts w:ascii="方正黑体_GBK" w:eastAsia="方正黑体_GBK" w:hint="eastAsia"/>
          <w:b/>
          <w:bCs/>
          <w:vanish w:val="0"/>
          <w:color w:val="auto"/>
          <w:kern w:val="0"/>
          <w:sz w:val="15"/>
          <w:szCs w:val="15"/>
        </w:rPr>
        <w:t>管理人及销售机构保证信息采集、处理及使用的安全性和合法性</w:t>
      </w:r>
      <w:r>
        <w:rPr>
          <w:rFonts w:ascii="方正黑体_GBK" w:eastAsia="方正黑体_GBK" w:hint="eastAsia"/>
          <w:b/>
          <w:bCs/>
          <w:vanish w:val="0"/>
          <w:color w:val="auto"/>
          <w:spacing w:val="0"/>
          <w:kern w:val="0"/>
          <w:sz w:val="15"/>
          <w:szCs w:val="15"/>
        </w:rPr>
        <w:t>。</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b/>
          <w:bCs/>
          <w:vanish w:val="0"/>
          <w:color w:val="auto"/>
          <w:kern w:val="0"/>
          <w:sz w:val="15"/>
          <w:szCs w:val="15"/>
        </w:rPr>
      </w:pPr>
      <w:r>
        <w:rPr>
          <w:rFonts w:ascii="方正黑体_GBK" w:eastAsia="方正黑体_GBK" w:hint="eastAsia"/>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b/>
          <w:bCs/>
          <w:vanish w:val="0"/>
          <w:color w:val="auto"/>
          <w:kern w:val="0"/>
          <w:sz w:val="15"/>
          <w:szCs w:val="15"/>
        </w:rPr>
        <w:t>。</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b/>
          <w:bCs/>
          <w:vanish w:val="0"/>
          <w:color w:val="3D3D3D"/>
          <w:kern w:val="0"/>
          <w:sz w:val="15"/>
          <w:szCs w:val="15"/>
        </w:rPr>
      </w:pP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b/>
          <w:bCs/>
          <w:vanish w:val="0"/>
          <w:color w:val="3D3D3D"/>
          <w:kern w:val="0"/>
          <w:sz w:val="15"/>
          <w:szCs w:val="15"/>
        </w:rPr>
      </w:pPr>
      <w:r>
        <w:rPr>
          <w:rFonts w:ascii="方正黑体_GBK" w:eastAsia="方正黑体_GBK" w:hint="eastAsia"/>
          <w:b/>
          <w:bCs/>
          <w:vanish w:val="0"/>
          <w:color w:val="3D3D3D"/>
          <w:kern w:val="0"/>
          <w:sz w:val="15"/>
          <w:szCs w:val="15"/>
        </w:rPr>
        <w:t>风险提示：</w:t>
      </w:r>
    </w:p>
    <w:p>
      <w:pPr>
        <w:pStyle w:val="37"/>
        <w:tabs>
          <w:tab w:val="left" w:pos="8033"/>
        </w:tabs>
        <w:ind w:left="0" w:firstLine="0"/>
        <w:jc w:val="left"/>
        <w:rPr>
          <w:rFonts w:ascii="方正黑体_GBK" w:eastAsia="方正黑体_GBK" w:hint="eastAsia"/>
          <w:sz w:val="20"/>
          <w:szCs w:val="20"/>
          <w:lang w:val="en-US" w:eastAsia="zh-CN"/>
        </w:rPr>
      </w:pPr>
      <w:r>
        <w:rPr>
          <w:rFonts w:ascii="方正黑体_GBK" w:eastAsia="方正黑体_GBK" w:hint="eastAsia"/>
          <w:b/>
          <w:bCs/>
          <w:color w:val="3D3D3D"/>
          <w:kern w:val="0"/>
          <w:sz w:val="15"/>
          <w:szCs w:val="15"/>
        </w:rPr>
        <w:t>本理财产品是</w:t>
      </w:r>
      <w:r>
        <w:rPr>
          <w:rFonts w:ascii="方正黑体_GBK" w:eastAsia="方正黑体_GBK" w:cs="宋体" w:hint="eastAsia"/>
          <w:b/>
          <w:bCs/>
          <w:i/>
          <w:iCs/>
          <w:caps w:val="0"/>
          <w:smallCaps w:val="0"/>
          <w:snapToGrid/>
          <w:vanish w:val="0"/>
          <w:color w:val="auto"/>
          <w:kern w:val="0"/>
          <w:sz w:val="20"/>
          <w:szCs w:val="18"/>
          <w:u w:val="single"/>
          <w:vertAlign w:val="baseline"/>
          <w:lang w:val="en-US" w:eastAsia="zh-CN"/>
        </w:rPr>
        <w:t>定期开放式、固定收益类、公募、净值型</w:t>
      </w:r>
      <w:r>
        <w:rPr>
          <w:rFonts w:ascii="方正黑体_GBK" w:eastAsia="方正黑体_GBK" w:hint="eastAsia"/>
          <w:b/>
          <w:bCs/>
          <w:color w:val="3D3D3D"/>
          <w:kern w:val="0"/>
          <w:sz w:val="15"/>
          <w:szCs w:val="15"/>
        </w:rPr>
        <w:t>理财产品，</w:t>
      </w:r>
      <w:r>
        <w:rPr>
          <w:rFonts w:ascii="方正黑体_GBK" w:eastAsia="方正黑体_GBK" w:hint="eastAsia"/>
          <w:b/>
          <w:bCs/>
          <w:i/>
          <w:iCs/>
          <w:color w:val="3D3D3D"/>
          <w:kern w:val="0"/>
          <w:sz w:val="21"/>
          <w:szCs w:val="21"/>
          <w:u w:val="single"/>
        </w:rPr>
        <w:t>不保证本金和收益</w:t>
      </w:r>
      <w:r>
        <w:rPr>
          <w:rFonts w:ascii="方正黑体_GBK" w:eastAsia="方正黑体_GBK" w:hint="eastAsia"/>
          <w:b/>
          <w:bCs/>
          <w:color w:val="3D3D3D"/>
          <w:kern w:val="0"/>
          <w:sz w:val="15"/>
          <w:szCs w:val="15"/>
        </w:rPr>
        <w:t>，您的本金与收益可能会蒙受重大损失，您应仔细阅读</w:t>
      </w:r>
      <w:r>
        <w:rPr>
          <w:rFonts w:ascii="方正黑体_GBK" w:eastAsia="方正黑体_GBK" w:cs="Times New Roman" w:hint="eastAsia"/>
          <w:b/>
          <w:bCs/>
          <w:color w:val="3D3D3D"/>
          <w:kern w:val="0"/>
          <w:sz w:val="15"/>
          <w:szCs w:val="15"/>
        </w:rPr>
        <w:t>《理财产品风险揭示书》《理财产品说明书》《投资者权益须知》《理财产品销售协议书》《理财产品投资协议书》</w:t>
      </w:r>
      <w:r>
        <w:rPr>
          <w:rFonts w:ascii="方正黑体_GBK" w:eastAsia="方正黑体_GBK" w:hint="eastAsia"/>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黑体_GBK">
    <w:altName w:val="宋体"/>
    <w:panose1 w:val="00000000000000000000"/>
    <w:charset w:val="00"/>
    <w:family w:val="auto"/>
    <w:pitch w:val="variable"/>
    <w:sig w:usb0="00000000" w:usb1="00000000" w:usb2="00000000" w:usb3="00000000" w:csb0="00000000"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00000000"/>
    <w:multiLevelType w:val="multilevel"/>
    <w:tmpl w:val="00000000"/>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eastAsia="方正黑体_GBK" w:hint="default"/>
      </w:rPr>
    </w:lvl>
    <w:lvl w:ilvl="2">
      <w:start w:val="1"/>
      <w:numFmt w:val="decimal"/>
      <w:lvlText w:val="%3."/>
      <w:legacy w:legacy="1" w:legacySpace="0" w:legacyIndent="420"/>
      <w:lvlJc w:val="right"/>
      <w:pPr>
        <w:ind w:left="1544" w:hanging="420"/>
      </w:pPr>
      <w:rPr>
        <w:rFonts w:ascii="方正黑体_GBK" w:hAnsi="方正黑体_GBK" w:eastAsia="方正黑体_GBK" w:hint="default"/>
      </w:rPr>
    </w:lvl>
    <w:lvl w:ilvl="3">
      <w:start w:val="1"/>
      <w:numFmt w:val="decimal"/>
      <w:lvlText w:val="%4."/>
      <w:legacy w:legacy="1" w:legacySpace="0" w:legacyIndent="420"/>
      <w:lvlJc w:val="left"/>
      <w:pPr>
        <w:ind w:left="1964" w:hanging="420"/>
      </w:pPr>
      <w:rPr>
        <w:rFonts w:ascii="方正黑体_GBK" w:hAnsi="方正黑体_GBK" w:eastAsia="方正黑体_GBK" w:hint="default"/>
      </w:rPr>
    </w:lvl>
    <w:lvl w:ilvl="4">
      <w:start w:val="1"/>
      <w:numFmt w:val="lowerLetter"/>
      <w:lvlText w:val="%5)"/>
      <w:legacy w:legacy="1" w:legacySpace="0" w:legacyIndent="420"/>
      <w:lvlJc w:val="left"/>
      <w:pPr>
        <w:ind w:left="2384" w:hanging="420"/>
      </w:pPr>
      <w:rPr>
        <w:rFonts w:ascii="方正黑体_GBK" w:hAnsi="方正黑体_GBK" w:eastAsia="方正黑体_GBK" w:hint="default"/>
      </w:rPr>
    </w:lvl>
    <w:lvl w:ilvl="5">
      <w:start w:val="1"/>
      <w:numFmt w:val="decimal"/>
      <w:lvlText w:val="%6."/>
      <w:legacy w:legacy="1" w:legacySpace="0" w:legacyIndent="420"/>
      <w:lvlJc w:val="right"/>
      <w:pPr>
        <w:ind w:left="2804" w:hanging="420"/>
      </w:pPr>
      <w:rPr>
        <w:rFonts w:ascii="方正黑体_GBK" w:hAnsi="方正黑体_GBK" w:eastAsia="方正黑体_GBK" w:hint="default"/>
      </w:rPr>
    </w:lvl>
    <w:lvl w:ilvl="6">
      <w:start w:val="1"/>
      <w:numFmt w:val="decimal"/>
      <w:lvlText w:val="%7."/>
      <w:legacy w:legacy="1" w:legacySpace="0" w:legacyIndent="420"/>
      <w:lvlJc w:val="left"/>
      <w:pPr>
        <w:ind w:left="3224" w:hanging="420"/>
      </w:pPr>
      <w:rPr>
        <w:rFonts w:ascii="方正黑体_GBK" w:hAnsi="方正黑体_GBK" w:eastAsia="方正黑体_GBK" w:hint="default"/>
      </w:rPr>
    </w:lvl>
    <w:lvl w:ilvl="7">
      <w:start w:val="1"/>
      <w:numFmt w:val="lowerLetter"/>
      <w:lvlText w:val="%8)"/>
      <w:legacy w:legacy="1" w:legacySpace="0" w:legacyIndent="420"/>
      <w:lvlJc w:val="left"/>
      <w:pPr>
        <w:ind w:left="3644" w:hanging="420"/>
      </w:pPr>
      <w:rPr>
        <w:rFonts w:ascii="方正黑体_GBK" w:hAnsi="方正黑体_GBK" w:eastAsia="方正黑体_GBK" w:hint="default"/>
      </w:rPr>
    </w:lvl>
    <w:lvl w:ilvl="8">
      <w:start w:val="1"/>
      <w:numFmt w:val="decimal"/>
      <w:lvlText w:val="%9."/>
      <w:legacy w:legacy="1" w:legacySpace="0" w:legacyIndent="420"/>
      <w:lvlJc w:val="right"/>
      <w:pPr>
        <w:ind w:left="4064" w:hanging="420"/>
      </w:pPr>
      <w:rPr>
        <w:rFonts w:ascii="方正黑体_GBK" w:hAnsi="方正黑体_GBK" w:eastAsia="方正黑体_GBK" w:hint="default"/>
      </w:rPr>
    </w:lvl>
  </w:abstractNum>
  <w:abstractNum w:abstractNumId="1">
    <w:nsid w:val="00000001"/>
    <w:multiLevelType w:val="multilevel"/>
    <w:tmpl w:val="00000000"/>
    <w:lvl w:ilvl="0">
      <w:start w:val="1"/>
      <w:numFmt w:val="decimal"/>
      <w:lvlRestart w:val="0"/>
      <w:lvlText w:val="（%1）"/>
      <w:legacy w:legacy="1" w:legacySpace="0" w:legacyIndent="420"/>
      <w:lvlJc w:val="left"/>
      <w:pPr>
        <w:ind w:left="709" w:hanging="420"/>
      </w:pPr>
      <w:rPr>
        <w:rFonts w:ascii="方正黑体_GBK" w:hAnsi="方正黑体_GBK" w:eastAsia="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nsid w:val="00000002"/>
    <w:multiLevelType w:val="hybridMultilevel"/>
    <w:tmpl w:val="00000000"/>
    <w:lvl w:ilvl="0">
      <w:start w:val="1"/>
      <w:numFmt w:val="japaneseCounting"/>
      <w:lvlRestart w:val="0"/>
      <w:lvlText w:val="（%1）"/>
      <w:lvlJc w:val="left"/>
      <w:pPr>
        <w:tabs>
          <w:tab w:val="num" w:pos="0"/>
        </w:tabs>
        <w:ind w:left="1021" w:hanging="720"/>
      </w:pPr>
      <w:rPr>
        <w:rFonts w:ascii="方正黑体_GBK" w:hAnsi="方正黑体_GBK" w:eastAsia="方正黑体_GBK" w:hint="default"/>
      </w:rPr>
    </w:lvl>
    <w:lvl w:ilvl="1">
      <w:start w:val="1"/>
      <w:numFmt w:val="lowerLetter"/>
      <w:lvlText w:val="%2)"/>
      <w:lvlJc w:val="left"/>
      <w:pPr>
        <w:tabs>
          <w:tab w:val="num" w:pos="0"/>
        </w:tabs>
        <w:ind w:left="1141" w:hanging="420"/>
      </w:pPr>
      <w:rPr>
        <w:rFonts w:ascii="方正黑体_GBK" w:hAnsi="方正黑体_GBK" w:eastAsia="方正黑体_GBK" w:hint="default"/>
      </w:rPr>
    </w:lvl>
    <w:lvl w:ilvl="2">
      <w:start w:val="1"/>
      <w:numFmt w:val="decimal"/>
      <w:lvlText w:val="%3."/>
      <w:lvlJc w:val="right"/>
      <w:pPr>
        <w:tabs>
          <w:tab w:val="num" w:pos="0"/>
        </w:tabs>
        <w:ind w:left="1561" w:hanging="420"/>
      </w:pPr>
      <w:rPr>
        <w:rFonts w:ascii="方正黑体_GBK" w:hAnsi="方正黑体_GBK" w:eastAsia="方正黑体_GBK" w:hint="default"/>
      </w:rPr>
    </w:lvl>
    <w:lvl w:ilvl="3">
      <w:start w:val="1"/>
      <w:numFmt w:val="decimal"/>
      <w:lvlText w:val="%4."/>
      <w:lvlJc w:val="left"/>
      <w:pPr>
        <w:tabs>
          <w:tab w:val="num" w:pos="0"/>
        </w:tabs>
        <w:ind w:left="1981" w:hanging="420"/>
      </w:pPr>
      <w:rPr>
        <w:rFonts w:ascii="方正黑体_GBK" w:hAnsi="方正黑体_GBK" w:eastAsia="方正黑体_GBK" w:hint="default"/>
      </w:rPr>
    </w:lvl>
    <w:lvl w:ilvl="4">
      <w:start w:val="1"/>
      <w:numFmt w:val="lowerLetter"/>
      <w:lvlText w:val="%5)"/>
      <w:lvlJc w:val="left"/>
      <w:pPr>
        <w:tabs>
          <w:tab w:val="num" w:pos="0"/>
        </w:tabs>
        <w:ind w:left="2401" w:hanging="420"/>
      </w:pPr>
      <w:rPr>
        <w:rFonts w:ascii="方正黑体_GBK" w:hAnsi="方正黑体_GBK" w:eastAsia="方正黑体_GBK" w:hint="default"/>
      </w:rPr>
    </w:lvl>
    <w:lvl w:ilvl="5">
      <w:start w:val="1"/>
      <w:numFmt w:val="decimal"/>
      <w:lvlText w:val="%6."/>
      <w:lvlJc w:val="right"/>
      <w:pPr>
        <w:tabs>
          <w:tab w:val="num" w:pos="0"/>
        </w:tabs>
        <w:ind w:left="2821" w:hanging="420"/>
      </w:pPr>
      <w:rPr>
        <w:rFonts w:ascii="方正黑体_GBK" w:hAnsi="方正黑体_GBK" w:eastAsia="方正黑体_GBK" w:hint="default"/>
      </w:rPr>
    </w:lvl>
    <w:lvl w:ilvl="6">
      <w:start w:val="1"/>
      <w:numFmt w:val="decimal"/>
      <w:lvlText w:val="%7."/>
      <w:lvlJc w:val="left"/>
      <w:pPr>
        <w:tabs>
          <w:tab w:val="num" w:pos="0"/>
        </w:tabs>
        <w:ind w:left="3241" w:hanging="420"/>
      </w:pPr>
      <w:rPr>
        <w:rFonts w:ascii="方正黑体_GBK" w:hAnsi="方正黑体_GBK" w:eastAsia="方正黑体_GBK" w:hint="default"/>
      </w:rPr>
    </w:lvl>
    <w:lvl w:ilvl="7">
      <w:start w:val="1"/>
      <w:numFmt w:val="lowerLetter"/>
      <w:lvlText w:val="%8)"/>
      <w:lvlJc w:val="left"/>
      <w:pPr>
        <w:tabs>
          <w:tab w:val="num" w:pos="0"/>
        </w:tabs>
        <w:ind w:left="3661" w:hanging="420"/>
      </w:pPr>
      <w:rPr>
        <w:rFonts w:ascii="方正黑体_GBK" w:hAnsi="方正黑体_GBK" w:eastAsia="方正黑体_GBK" w:hint="default"/>
      </w:rPr>
    </w:lvl>
    <w:lvl w:ilvl="8">
      <w:start w:val="1"/>
      <w:numFmt w:val="decimal"/>
      <w:lvlText w:val="%9."/>
      <w:lvlJc w:val="right"/>
      <w:pPr>
        <w:tabs>
          <w:tab w:val="num" w:pos="0"/>
        </w:tabs>
        <w:ind w:left="4081" w:hanging="420"/>
      </w:pPr>
      <w:rPr>
        <w:rFonts w:ascii="方正黑体_GBK" w:hAnsi="方正黑体_GBK" w:eastAsia="方正黑体_GBK" w:hint="default"/>
      </w:rPr>
    </w:lvl>
  </w:abstractNum>
  <w:abstractNum w:abstractNumId="3">
    <w:nsid w:val="00000003"/>
    <w:multiLevelType w:val="hybridMultilevel"/>
    <w:tmpl w:val="00000000"/>
    <w:lvl w:ilvl="0">
      <w:start w:val="1"/>
      <w:numFmt w:val="decimal"/>
      <w:lvlRestart w:val="0"/>
      <w:lvlText w:val="%1."/>
      <w:lvlJc w:val="left"/>
      <w:pPr>
        <w:tabs>
          <w:tab w:val="num" w:pos="0"/>
        </w:tabs>
        <w:ind w:left="660" w:hanging="360"/>
      </w:pPr>
      <w:rPr>
        <w:rFonts w:ascii="方正黑体_GBK" w:hAnsi="方正黑体_GBK" w:eastAsia="方正黑体_GBK" w:hint="default"/>
      </w:rPr>
    </w:lvl>
    <w:lvl w:ilvl="1">
      <w:start w:val="1"/>
      <w:numFmt w:val="lowerLetter"/>
      <w:lvlText w:val="%2)"/>
      <w:lvlJc w:val="left"/>
      <w:pPr>
        <w:tabs>
          <w:tab w:val="num" w:pos="0"/>
        </w:tabs>
        <w:ind w:left="1140" w:hanging="420"/>
      </w:pPr>
      <w:rPr>
        <w:rFonts w:ascii="方正黑体_GBK" w:hAnsi="方正黑体_GBK" w:eastAsia="方正黑体_GBK" w:hint="default"/>
      </w:rPr>
    </w:lvl>
    <w:lvl w:ilvl="2">
      <w:start w:val="1"/>
      <w:numFmt w:val="decimal"/>
      <w:lvlText w:val="%3."/>
      <w:lvlJc w:val="right"/>
      <w:pPr>
        <w:tabs>
          <w:tab w:val="num" w:pos="0"/>
        </w:tabs>
        <w:ind w:left="1560" w:hanging="420"/>
      </w:pPr>
      <w:rPr>
        <w:rFonts w:ascii="方正黑体_GBK" w:hAnsi="方正黑体_GBK" w:eastAsia="方正黑体_GBK" w:hint="default"/>
      </w:rPr>
    </w:lvl>
    <w:lvl w:ilvl="3">
      <w:start w:val="1"/>
      <w:numFmt w:val="decimal"/>
      <w:lvlText w:val="%4."/>
      <w:lvlJc w:val="left"/>
      <w:pPr>
        <w:tabs>
          <w:tab w:val="num" w:pos="0"/>
        </w:tabs>
        <w:ind w:left="1980" w:hanging="420"/>
      </w:pPr>
      <w:rPr>
        <w:rFonts w:ascii="方正黑体_GBK" w:hAnsi="方正黑体_GBK" w:eastAsia="方正黑体_GBK" w:hint="default"/>
      </w:rPr>
    </w:lvl>
    <w:lvl w:ilvl="4">
      <w:start w:val="1"/>
      <w:numFmt w:val="lowerLetter"/>
      <w:lvlText w:val="%5)"/>
      <w:lvlJc w:val="left"/>
      <w:pPr>
        <w:tabs>
          <w:tab w:val="num" w:pos="0"/>
        </w:tabs>
        <w:ind w:left="2400" w:hanging="420"/>
      </w:pPr>
      <w:rPr>
        <w:rFonts w:ascii="方正黑体_GBK" w:hAnsi="方正黑体_GBK" w:eastAsia="方正黑体_GBK" w:hint="default"/>
      </w:rPr>
    </w:lvl>
    <w:lvl w:ilvl="5">
      <w:start w:val="1"/>
      <w:numFmt w:val="decimal"/>
      <w:lvlText w:val="%6."/>
      <w:lvlJc w:val="right"/>
      <w:pPr>
        <w:tabs>
          <w:tab w:val="num" w:pos="0"/>
        </w:tabs>
        <w:ind w:left="2820" w:hanging="420"/>
      </w:pPr>
      <w:rPr>
        <w:rFonts w:ascii="方正黑体_GBK" w:hAnsi="方正黑体_GBK" w:eastAsia="方正黑体_GBK" w:hint="default"/>
      </w:rPr>
    </w:lvl>
    <w:lvl w:ilvl="6">
      <w:start w:val="1"/>
      <w:numFmt w:val="decimal"/>
      <w:lvlText w:val="%7."/>
      <w:lvlJc w:val="left"/>
      <w:pPr>
        <w:tabs>
          <w:tab w:val="num" w:pos="0"/>
        </w:tabs>
        <w:ind w:left="3240" w:hanging="420"/>
      </w:pPr>
      <w:rPr>
        <w:rFonts w:ascii="方正黑体_GBK" w:hAnsi="方正黑体_GBK" w:eastAsia="方正黑体_GBK" w:hint="default"/>
      </w:rPr>
    </w:lvl>
    <w:lvl w:ilvl="7">
      <w:start w:val="1"/>
      <w:numFmt w:val="lowerLetter"/>
      <w:lvlText w:val="%8)"/>
      <w:lvlJc w:val="left"/>
      <w:pPr>
        <w:tabs>
          <w:tab w:val="num" w:pos="0"/>
        </w:tabs>
        <w:ind w:left="3660" w:hanging="420"/>
      </w:pPr>
      <w:rPr>
        <w:rFonts w:ascii="方正黑体_GBK" w:hAnsi="方正黑体_GBK" w:eastAsia="方正黑体_GBK" w:hint="default"/>
      </w:rPr>
    </w:lvl>
    <w:lvl w:ilvl="8">
      <w:start w:val="1"/>
      <w:numFmt w:val="decimal"/>
      <w:lvlText w:val="%9."/>
      <w:lvlJc w:val="right"/>
      <w:pPr>
        <w:tabs>
          <w:tab w:val="num" w:pos="0"/>
        </w:tabs>
        <w:ind w:left="4080" w:hanging="420"/>
      </w:pPr>
      <w:rPr>
        <w:rFonts w:ascii="方正黑体_GBK" w:hAnsi="方正黑体_GBK" w:eastAsia="方正黑体_GBK" w:hint="default"/>
      </w:rPr>
    </w:lvl>
  </w:abstractNum>
  <w:num w:numId="1">
    <w:abstractNumId w:val="0"/>
  </w:num>
  <w:num w:numId="2">
    <w:abstractNumId w:val="1"/>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trackRevisions/>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b/>
      <w:sz w:val="32"/>
    </w:rPr>
  </w:style>
  <w:style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w:type="character" w:default="1" w:styleId="10">
    <w:name w:val="Default Paragraph Font"/>
  </w:style>
  <w:style w:type="paragraph" w:styleId="15">
    <w:name w:val="toc 1"/>
    <w:basedOn w:val="0"/>
    <w:autoRedefine/>
    <w:next w:val="0"/>
  </w:style>
  <w:style w:type="paragraph" w:styleId="16">
    <w:name w:val="toc 2"/>
    <w:basedOn w:val="0"/>
    <w:autoRedefine/>
    <w:next w:val="0"/>
    <w:pPr>
      <w:ind w:left="420"/>
    </w:pPr>
  </w:style>
  <w:style w:type="paragraph" w:styleId="17">
    <w:name w:val="toc 3"/>
    <w:basedOn w:val="0"/>
    <w:autoRedefine/>
    <w:next w:val="0"/>
    <w:pPr>
      <w:ind w:left="840"/>
    </w:pPr>
  </w:style>
  <w:style w:type="paragraph" w:styleId="18">
    <w:name w:val="toc 4"/>
    <w:basedOn w:val="0"/>
    <w:autoRedefine/>
    <w:next w:val="0"/>
    <w:pPr>
      <w:ind w:left="1260"/>
    </w:pPr>
  </w:style>
  <w:style w:type="paragraph" w:styleId="19">
    <w:name w:val="toc 5"/>
    <w:basedOn w:val="0"/>
    <w:autoRedefine/>
    <w:next w:val="0"/>
    <w:pPr>
      <w:ind w:left="1680"/>
    </w:pPr>
  </w:style>
  <w:style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w:type="paragraph" w:styleId="21">
    <w:name w:val="footer"/>
    <w:basedOn w:val="0"/>
    <w:pPr>
      <w:tabs>
        <w:tab w:val="center" w:pos="4153"/>
        <w:tab w:val="right" w:pos="8307"/>
      </w:tabs>
      <w:adjustRightInd/>
      <w:snapToGrid w:val="0"/>
      <w:contextualSpacing w:val="0"/>
      <w:jc w:val="left"/>
    </w:pPr>
    <w:rPr>
      <w:sz w:val="18"/>
    </w:rPr>
  </w:style>
  <w:style w:type="character" w:styleId="22">
    <w:name w:val="Strong"/>
    <w:rPr>
      <w:b/>
    </w:rPr>
  </w:style>
  <w:style w:type="paragraph" w:customStyle="1" w:styleId="23">
    <w:name w:val="Normala7389f0c"/>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24">
    <w:name w:val="heading 1e9fb4ec0"/>
    <w:basedOn w:val="23"/>
    <w:next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25">
    <w:name w:val="heading 21036c326"/>
    <w:basedOn w:val="23"/>
    <w:next w:val="0"/>
    <w:pPr>
      <w:keepNext/>
      <w:keepLines/>
      <w:pageBreakBefore w:val="0"/>
      <w:widowControl w:val="0"/>
      <w:suppressLineNumbers w:val="0"/>
      <w:suppressAutoHyphens w:val="0"/>
      <w:spacing w:before="260" w:after="260" w:line="415" w:lineRule="auto"/>
      <w:outlineLvl w:val="1"/>
    </w:pPr>
    <w:rPr>
      <w:rFonts w:ascii="方正黑体_GBK" w:eastAsia="方正黑体_GBK"/>
      <w:b/>
      <w:sz w:val="32"/>
    </w:rPr>
  </w:style>
  <w:style w:type="paragraph" w:customStyle="1" w:styleId="26">
    <w:name w:val="heading 34dc7dd24"/>
    <w:basedOn w:val="23"/>
    <w:next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27">
    <w:name w:val="Default Paragraph Fontd33e93dc"/>
  </w:style>
  <w:style w:type="paragraph" w:customStyle="1" w:styleId="28">
    <w:name w:val="toc 1c076d2f0"/>
    <w:basedOn w:val="23"/>
    <w:autoRedefine/>
    <w:next w:val="0"/>
  </w:style>
  <w:style w:type="paragraph" w:customStyle="1" w:styleId="29">
    <w:name w:val="toc 2c5165502"/>
    <w:basedOn w:val="23"/>
    <w:autoRedefine/>
    <w:next w:val="0"/>
    <w:pPr>
      <w:ind w:left="420"/>
    </w:pPr>
  </w:style>
  <w:style w:type="paragraph" w:customStyle="1" w:styleId="30">
    <w:name w:val="toc 316087423"/>
    <w:basedOn w:val="23"/>
    <w:autoRedefine/>
    <w:next w:val="0"/>
    <w:pPr>
      <w:ind w:left="840"/>
    </w:pPr>
  </w:style>
  <w:style w:type="paragraph" w:customStyle="1" w:styleId="31">
    <w:name w:val="toc 4e02e1c5d"/>
    <w:basedOn w:val="23"/>
    <w:autoRedefine/>
    <w:next w:val="0"/>
    <w:pPr>
      <w:ind w:left="1260"/>
    </w:pPr>
  </w:style>
  <w:style w:type="paragraph" w:customStyle="1" w:styleId="32">
    <w:name w:val="toc 50ab3a6fc"/>
    <w:basedOn w:val="23"/>
    <w:autoRedefine/>
    <w:next w:val="0"/>
    <w:pPr>
      <w:ind w:left="1680"/>
    </w:pPr>
  </w:style>
  <w:style w:type="paragraph" w:customStyle="1" w:styleId="33">
    <w:name w:val="headera1022a8c"/>
    <w:basedOn w:val="23"/>
    <w:pPr>
      <w:pBdr>
        <w:bottom w:val="single" w:sz="6" w:space="1" w:color="auto"/>
      </w:pBdr>
      <w:tabs>
        <w:tab w:val="center" w:pos="4153"/>
        <w:tab w:val="right" w:pos="8307"/>
      </w:tabs>
      <w:adjustRightInd/>
      <w:snapToGrid w:val="0"/>
      <w:contextualSpacing w:val="0"/>
      <w:jc w:val="center"/>
    </w:pPr>
    <w:rPr>
      <w:sz w:val="18"/>
    </w:rPr>
  </w:style>
  <w:style w:type="paragraph" w:customStyle="1" w:styleId="34">
    <w:name w:val="footer525f8aaf"/>
    <w:basedOn w:val="23"/>
    <w:pPr>
      <w:tabs>
        <w:tab w:val="center" w:pos="4153"/>
        <w:tab w:val="right" w:pos="8307"/>
      </w:tabs>
      <w:adjustRightInd/>
      <w:snapToGrid w:val="0"/>
      <w:contextualSpacing w:val="0"/>
      <w:jc w:val="left"/>
    </w:pPr>
    <w:rPr>
      <w:sz w:val="18"/>
    </w:rPr>
  </w:style>
  <w:style w:type="character" w:customStyle="1" w:styleId="35">
    <w:name w:val="Strong7268d4b7"/>
    <w:rPr>
      <w:b/>
    </w:rPr>
  </w:style>
  <w:style w:type="paragraph" w:customStyle="1" w:styleId="36">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37">
    <w:name w:val="Normald6521f7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8">
    <w:name w:val="heading 1e08ecaea"/>
    <w:basedOn w:val="37"/>
    <w:next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9">
    <w:name w:val="heading 2154c6e54"/>
    <w:basedOn w:val="37"/>
    <w:next w:val="0"/>
    <w:pPr>
      <w:keepNext/>
      <w:keepLines/>
      <w:pageBreakBefore w:val="0"/>
      <w:widowControl w:val="0"/>
      <w:suppressLineNumbers w:val="0"/>
      <w:suppressAutoHyphens w:val="0"/>
      <w:spacing w:before="260" w:after="260" w:line="415" w:lineRule="auto"/>
      <w:outlineLvl w:val="1"/>
    </w:pPr>
    <w:rPr>
      <w:rFonts w:ascii="方正黑体_GBK" w:eastAsia="方正黑体_GBK"/>
      <w:b/>
      <w:sz w:val="32"/>
    </w:rPr>
  </w:style>
  <w:style w:type="paragraph" w:customStyle="1" w:styleId="40">
    <w:name w:val="heading 37c488eaf"/>
    <w:basedOn w:val="37"/>
    <w:next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1">
    <w:name w:val="Default Paragraph Font1d3bc02f"/>
  </w:style>
  <w:style w:type="paragraph" w:customStyle="1" w:styleId="42">
    <w:name w:val="Normal Indent6c9a40e7"/>
    <w:basedOn w:val="37"/>
    <w:pPr>
      <w:ind w:firstLineChars="200" w:firstLine="200"/>
    </w:pPr>
  </w:style>
  <w:style w:type="paragraph" w:customStyle="1" w:styleId="43">
    <w:name w:val="toc 5633d358c"/>
    <w:basedOn w:val="37"/>
    <w:next w:val="0"/>
    <w:pPr>
      <w:ind w:left="1680"/>
    </w:pPr>
  </w:style>
  <w:style w:type="paragraph" w:customStyle="1" w:styleId="44">
    <w:name w:val="toc 32264bb6e"/>
    <w:basedOn w:val="37"/>
    <w:next w:val="0"/>
    <w:pPr>
      <w:ind w:left="840"/>
    </w:pPr>
  </w:style>
  <w:style w:type="paragraph" w:customStyle="1" w:styleId="45">
    <w:name w:val="footer36cb7d3d"/>
    <w:basedOn w:val="37"/>
    <w:pPr>
      <w:tabs>
        <w:tab w:val="center" w:pos="4153"/>
        <w:tab w:val="right" w:pos="8307"/>
      </w:tabs>
      <w:adjustRightInd/>
      <w:snapToGrid w:val="0"/>
      <w:contextualSpacing w:val="0"/>
      <w:jc w:val="left"/>
    </w:pPr>
    <w:rPr>
      <w:sz w:val="18"/>
    </w:rPr>
  </w:style>
  <w:style w:type="paragraph" w:customStyle="1" w:styleId="46">
    <w:name w:val="header9206a34d"/>
    <w:basedOn w:val="37"/>
    <w:pPr>
      <w:pBdr>
        <w:bottom w:val="single" w:sz="6" w:space="1" w:color="auto"/>
      </w:pBdr>
      <w:tabs>
        <w:tab w:val="center" w:pos="4153"/>
        <w:tab w:val="right" w:pos="8307"/>
      </w:tabs>
      <w:adjustRightInd/>
      <w:snapToGrid w:val="0"/>
      <w:contextualSpacing w:val="0"/>
      <w:jc w:val="center"/>
    </w:pPr>
    <w:rPr>
      <w:sz w:val="18"/>
    </w:rPr>
  </w:style>
  <w:style w:type="paragraph" w:customStyle="1" w:styleId="47">
    <w:name w:val="toc 196bbc657"/>
    <w:basedOn w:val="37"/>
    <w:next w:val="0"/>
  </w:style>
  <w:style w:type="paragraph" w:customStyle="1" w:styleId="48">
    <w:name w:val="toc 462a0c91c"/>
    <w:basedOn w:val="37"/>
    <w:next w:val="0"/>
    <w:pPr>
      <w:ind w:left="1260"/>
    </w:pPr>
  </w:style>
  <w:style w:type="paragraph" w:customStyle="1" w:styleId="49">
    <w:name w:val="toc 2e777f5c2"/>
    <w:basedOn w:val="37"/>
    <w:next w:val="0"/>
    <w:pPr>
      <w:ind w:left="420"/>
    </w:pPr>
  </w:style>
  <w:style w:type="paragraph" w:customStyle="1" w:styleId="50">
    <w:name w:val="Normal (Web)16e7106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51">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52">
    <w:name w:val="Normal543ee94a543ee94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53">
    <w:name w:val="heading 199a0f21999a0f219"/>
    <w:basedOn w:val="52"/>
    <w:next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54">
    <w:name w:val="heading 28cb943148cb94314"/>
    <w:basedOn w:val="52"/>
    <w:next w:val="0"/>
    <w:pPr>
      <w:keepNext/>
      <w:keepLines/>
      <w:pageBreakBefore w:val="0"/>
      <w:widowControl w:val="0"/>
      <w:suppressLineNumbers w:val="0"/>
      <w:suppressAutoHyphens w:val="0"/>
      <w:spacing w:before="260" w:after="260" w:line="415" w:lineRule="auto"/>
      <w:outlineLvl w:val="1"/>
    </w:pPr>
    <w:rPr>
      <w:rFonts w:ascii="方正黑体_GBK" w:eastAsia="方正黑体_GBK"/>
      <w:b/>
      <w:sz w:val="32"/>
    </w:rPr>
  </w:style>
  <w:style w:type="paragraph" w:customStyle="1" w:styleId="55">
    <w:name w:val="heading 39ac5ae549ac5ae54"/>
    <w:basedOn w:val="52"/>
    <w:next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56">
    <w:name w:val="Default Paragraph Font59a2c68a59a2c68a"/>
  </w:style>
  <w:style w:type="paragraph" w:customStyle="1" w:styleId="57">
    <w:name w:val="引文目录1bcd7c5f7bcd7c5f7"/>
    <w:basedOn w:val="52"/>
    <w:next w:val="0"/>
    <w:pPr>
      <w:ind w:leftChars="200" w:left="200"/>
    </w:pPr>
  </w:style>
  <w:style w:type="paragraph" w:customStyle="1" w:styleId="58">
    <w:name w:val="toc 590a1af8090a1af80"/>
    <w:basedOn w:val="52"/>
    <w:next w:val="0"/>
    <w:pPr>
      <w:ind w:left="1680"/>
    </w:pPr>
  </w:style>
  <w:style w:type="paragraph" w:customStyle="1" w:styleId="59">
    <w:name w:val="toc 3598a9701598a9701"/>
    <w:basedOn w:val="52"/>
    <w:next w:val="0"/>
    <w:pPr>
      <w:ind w:left="840"/>
    </w:pPr>
  </w:style>
  <w:style w:type="paragraph" w:customStyle="1" w:styleId="60">
    <w:name w:val="footer1e927d9e1e927d9e"/>
    <w:basedOn w:val="52"/>
    <w:pPr>
      <w:tabs>
        <w:tab w:val="center" w:pos="4153"/>
        <w:tab w:val="right" w:pos="8307"/>
      </w:tabs>
      <w:adjustRightInd/>
      <w:snapToGrid w:val="0"/>
      <w:contextualSpacing w:val="0"/>
      <w:jc w:val="left"/>
    </w:pPr>
    <w:rPr>
      <w:sz w:val="18"/>
    </w:rPr>
  </w:style>
  <w:style w:type="paragraph" w:customStyle="1" w:styleId="61">
    <w:name w:val="header30af3dc430af3dc4"/>
    <w:basedOn w:val="52"/>
    <w:pPr>
      <w:pBdr>
        <w:bottom w:val="single" w:sz="6" w:space="1" w:color="auto"/>
      </w:pBdr>
      <w:tabs>
        <w:tab w:val="center" w:pos="4153"/>
        <w:tab w:val="right" w:pos="8307"/>
      </w:tabs>
      <w:adjustRightInd/>
      <w:snapToGrid w:val="0"/>
      <w:contextualSpacing w:val="0"/>
      <w:jc w:val="center"/>
    </w:pPr>
    <w:rPr>
      <w:sz w:val="18"/>
    </w:rPr>
  </w:style>
  <w:style w:type="paragraph" w:customStyle="1" w:styleId="62">
    <w:name w:val="toc 1a3064563a3064563"/>
    <w:basedOn w:val="52"/>
    <w:next w:val="0"/>
  </w:style>
  <w:style w:type="paragraph" w:customStyle="1" w:styleId="63">
    <w:name w:val="toc 465ce54a265ce54a2"/>
    <w:basedOn w:val="52"/>
    <w:next w:val="0"/>
    <w:pPr>
      <w:ind w:left="1260"/>
    </w:pPr>
  </w:style>
  <w:style w:type="paragraph" w:customStyle="1" w:styleId="64">
    <w:name w:val="toc 2612ba2d3612ba2d3"/>
    <w:basedOn w:val="52"/>
    <w:next w:val="0"/>
    <w:pPr>
      <w:ind w:left="420"/>
    </w:pPr>
  </w:style>
  <w:style w:type="paragraph" w:customStyle="1" w:styleId="65">
    <w:name w:val="列出段落1c68beb82c68beb82"/>
    <w:next w:val="22"/>
    <w:link w:val="65Char"/>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character" w:customStyle="1" w:styleId="65Char">
    <w:name w:val="列出段落1c68beb82c68beb82 Char"/>
    <w:basedOn w:val="10"/>
    <w:link w:val="65"/>
    <w:rPr>
      <w:rFonts w:asci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numbering" Target="numbering.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9</TotalTime>
  <Application>Yozo_Office27021597764231179</Application>
  <Pages>26</Pages>
  <Words>44867</Words>
  <Characters>47659</Characters>
  <Lines>926</Lines>
  <Paragraphs>722</Paragraphs>
  <CharactersWithSpaces>47936</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HP</dc:creator>
  <cp:lastModifiedBy>用户1002040</cp:lastModifiedBy>
  <cp:revision>0</cp:revision>
  <dcterms:created xsi:type="dcterms:W3CDTF">2022-08-09T07:38:21Z</dcterms:created>
  <dcterms:modified xsi:type="dcterms:W3CDTF">2026-05-21T02:29:05Z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