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d437d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1d437d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d437d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d437d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d437d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d437d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d437d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d437d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d437d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d437d1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d437d1d"/>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212d751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212d751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ed5a2a8"/>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南银理财珠联璧合鑫逸稳半年175期封闭式公募人民币理财产品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ZZ700322600102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Z7003226000137(投资者可依据该编码在中国理财网www.chinawealth.com.cn查询理财产品相关信息）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A份额：NYXY000441</w:t>
            </w:r>
          </w:p>
          <w:p>
            <w:pPr>
              <w:pStyle w:val="null10"/>
              <w:spacing w:lineRule="exact" w:line="200"/>
            </w:pPr>
            <w:r>
              <w:rPr>
                <w:rFonts w:ascii="方正黑体_GBK" w:hAnsi="方正黑体_GBK" w:cs="宋体" w:eastAsia="方正黑体_GBK"/>
                <w:sz w:val="18"/>
                <w:szCs w:val="18"/>
              </w:rPr>
              <w:t>B份额：NYXY000442</w:t>
            </w:r>
          </w:p>
          <w:p>
            <w:pPr>
              <w:pStyle w:val="null10"/>
              <w:spacing w:lineRule="exact" w:line="200"/>
            </w:pPr>
            <w:r>
              <w:rPr>
                <w:rFonts w:ascii="方正黑体_GBK" w:hAnsi="方正黑体_GBK" w:cs="宋体" w:eastAsia="方正黑体_GBK"/>
                <w:sz w:val="18"/>
                <w:szCs w:val="18"/>
              </w:rPr>
              <w:t>C份额：NYXY000443</w:t>
            </w:r>
          </w:p>
          <w:p>
            <w:pPr>
              <w:pStyle w:val="null10"/>
              <w:spacing w:lineRule="exact" w:line="200"/>
            </w:pPr>
            <w:r>
              <w:rPr>
                <w:rFonts w:ascii="方正黑体_GBK" w:hAnsi="方正黑体_GBK" w:cs="宋体" w:eastAsia="方正黑体_GBK"/>
                <w:sz w:val="18"/>
                <w:szCs w:val="18"/>
              </w:rPr>
              <w:t>F份额：NYXY000445</w:t>
            </w:r>
          </w:p>
          <w:p>
            <w:pPr>
              <w:pStyle w:val="null10"/>
              <w:spacing w:lineRule="exact" w:line="200"/>
            </w:pPr>
            <w:r>
              <w:rPr>
                <w:rFonts w:ascii="方正黑体_GBK" w:hAnsi="方正黑体_GBK" w:cs="宋体" w:eastAsia="方正黑体_GBK"/>
                <w:sz w:val="18"/>
                <w:szCs w:val="18"/>
              </w:rPr>
              <w:t>J份额：NYXY000448</w:t>
            </w:r>
          </w:p>
          <w:p>
            <w:pPr>
              <w:pStyle w:val="null10"/>
              <w:spacing w:lineRule="exact" w:line="200"/>
            </w:pPr>
            <w:r>
              <w:rPr>
                <w:rFonts w:ascii="方正黑体_GBK" w:hAnsi="方正黑体_GBK" w:cs="宋体" w:eastAsia="方正黑体_GBK"/>
                <w:sz w:val="18"/>
                <w:szCs w:val="18"/>
              </w:rPr>
              <w:t>L份额：NYXY000449</w:t>
            </w:r>
          </w:p>
          <w:p>
            <w:pPr>
              <w:pStyle w:val="null10"/>
              <w:spacing w:lineRule="exact" w:line="200"/>
            </w:pPr>
            <w:r>
              <w:rPr>
                <w:rFonts w:ascii="方正黑体_GBK" w:hAnsi="方正黑体_GBK" w:cs="宋体" w:eastAsia="方正黑体_GBK"/>
                <w:sz w:val="18"/>
                <w:szCs w:val="18"/>
              </w:rPr>
              <w:t>Q份额：NYXY000453</w:t>
            </w:r>
          </w:p>
          <w:p>
            <w:pPr>
              <w:pStyle w:val="null10"/>
              <w:spacing w:lineRule="exact" w:line="200"/>
            </w:pPr>
            <w:r>
              <w:rPr>
                <w:rFonts w:ascii="方正黑体_GBK" w:hAnsi="方正黑体_GBK" w:cs="宋体" w:eastAsia="方正黑体_GBK"/>
                <w:sz w:val="18"/>
                <w:szCs w:val="18"/>
              </w:rPr>
              <w:t>Q2份额：NYXY000937</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私行客户外的其他客户）、蒙商银行股份有限公司（除财富客户外的其他客户）、广州农村商业银行股份有限公司、苏州银行股份有限公司、长安银行股份有限公司、无锡农村商业银行股份有限公司、福建海峡银行股份有限公司、齐鲁银行股份有限公司（除白金/私行客户、财富客户外的其他客户）、天津农村商业银行股份有限公司(除企业拓展客户、个人新客、私行客户和私钻客户外的其他客户)、北京银行股份有限公司、贵阳银行股份有限公司、山西银行股份有限公司、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高淳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朝阳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私行客户)、徽商银行股份有限公司、杭州银行股份有限公司(除私行客户外的其他客户)、温州银行股份有限公司、江苏张家港农村商业银行股份有限公司、浙江民泰商业银行股份有限公司、广州银行股份有限公司、江苏常熟农村商业银行股份有限公司(1万元起购)、江苏江南农村商业银行股份有限公司(财富客户)、秦皇岛银行股份有限公司、齐鲁银行股份有限公司(白金/私行客户)、天津农村商业银行股份有限公司(企业拓展客户)、台州银行股份有限公司(除新客户外的其他客户)、兰州银行股份有限公司、甘肃银行股份有限公司、东营银行股份有限公司、桂林银行股份有限公司（财富客户）、石嘴山银行股份有限公司（财富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杭州银行股份有限公司(私行客户)、江苏江南农村商业银行股份有限公司(私行客户)、蒙商银行股份有限公司（财富客户）、长沙银行股份有限公司、郑州银行股份有限公司、泰安银行股份有限公司、齐鲁银行股份有限公司(财富客户 )、天津农村商业银行股份有限公司(个人新客)、台州银行股份有限公司(新客专享)、天津农村商业银行股份有限公司(除私行和财富客户外的其他客户)、江苏泰兴农村商业银行股份有限公司、江苏响水农村商业银行股份有限公司(50万元起购)、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w:t>
            </w:r>
          </w:p>
          <w:p>
            <w:pPr>
              <w:pStyle w:val="null10"/>
              <w:spacing w:lineRule="exact" w:line="200"/>
            </w:pPr>
            <w:r>
              <w:rPr>
                <w:rFonts w:ascii="方正黑体_GBK" w:hAnsi="方正黑体_GBK" w:cs="宋体" w:eastAsia="方正黑体_GBK"/>
                <w:sz w:val="18"/>
                <w:szCs w:val="18"/>
              </w:rPr>
              <w:t>Q份额：天津农村商业银行股份有限公司(私行客户)。</w:t>
            </w:r>
          </w:p>
          <w:p>
            <w:pPr>
              <w:pStyle w:val="null10"/>
              <w:spacing w:lineRule="exact" w:line="200"/>
            </w:pPr>
            <w:r>
              <w:rPr>
                <w:rFonts w:ascii="方正黑体_GBK" w:hAnsi="方正黑体_GBK" w:cs="宋体" w:eastAsia="方正黑体_GBK"/>
                <w:sz w:val="18"/>
                <w:szCs w:val="18"/>
              </w:rPr>
              <w:t>Q2份额：中国银行股份有限公司。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A份额/B份额/C份额/F份额/J份额/L份额/Q份额/Q2份额：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2026年05月07日 09:00—2026年05月12日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2026年05月13日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2026年05月13日—实际到期日（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2026年11月25日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A份额：业绩比较基准为1.83%(年化)。</w:t>
            </w:r>
          </w:p>
          <w:p>
            <w:pPr>
              <w:pStyle w:val="null10"/>
              <w:spacing w:lineRule="exact" w:line="200"/>
            </w:pPr>
            <w:r>
              <w:rPr>
                <w:rFonts w:ascii="方正黑体_GBK" w:hAnsi="方正黑体_GBK" w:cs="宋体" w:eastAsia="方正黑体_GBK"/>
                <w:sz w:val="18"/>
                <w:szCs w:val="18"/>
              </w:rPr>
              <w:t>B份额：业绩比较基准为1.93%(年化)。</w:t>
            </w:r>
          </w:p>
          <w:p>
            <w:pPr>
              <w:pStyle w:val="null10"/>
              <w:spacing w:lineRule="exact" w:line="200"/>
            </w:pPr>
            <w:r>
              <w:rPr>
                <w:rFonts w:ascii="方正黑体_GBK" w:hAnsi="方正黑体_GBK" w:cs="宋体" w:eastAsia="方正黑体_GBK"/>
                <w:sz w:val="18"/>
                <w:szCs w:val="18"/>
              </w:rPr>
              <w:t>C份额：业绩比较基准为2.03%(年化)。</w:t>
            </w:r>
          </w:p>
          <w:p>
            <w:pPr>
              <w:pStyle w:val="null10"/>
              <w:spacing w:lineRule="exact" w:line="200"/>
            </w:pPr>
            <w:r>
              <w:rPr>
                <w:rFonts w:ascii="方正黑体_GBK" w:hAnsi="方正黑体_GBK" w:cs="宋体" w:eastAsia="方正黑体_GBK"/>
                <w:sz w:val="18"/>
                <w:szCs w:val="18"/>
              </w:rPr>
              <w:t>F份额：业绩比较基准为2.03%(年化)。</w:t>
            </w:r>
          </w:p>
          <w:p>
            <w:pPr>
              <w:pStyle w:val="null10"/>
              <w:spacing w:lineRule="exact" w:line="200"/>
            </w:pPr>
            <w:r>
              <w:rPr>
                <w:rFonts w:ascii="方正黑体_GBK" w:hAnsi="方正黑体_GBK" w:cs="宋体" w:eastAsia="方正黑体_GBK"/>
                <w:sz w:val="18"/>
                <w:szCs w:val="18"/>
              </w:rPr>
              <w:t>J份额：业绩比较基准为1.83%(年化)。</w:t>
            </w:r>
          </w:p>
          <w:p>
            <w:pPr>
              <w:pStyle w:val="null10"/>
              <w:spacing w:lineRule="exact" w:line="200"/>
            </w:pPr>
            <w:r>
              <w:rPr>
                <w:rFonts w:ascii="方正黑体_GBK" w:hAnsi="方正黑体_GBK" w:cs="宋体" w:eastAsia="方正黑体_GBK"/>
                <w:sz w:val="18"/>
                <w:szCs w:val="18"/>
              </w:rPr>
              <w:t>L份额：业绩比较基准为2.08%(年化)。</w:t>
            </w:r>
          </w:p>
          <w:p>
            <w:pPr>
              <w:pStyle w:val="null10"/>
              <w:spacing w:lineRule="exact" w:line="200"/>
            </w:pPr>
            <w:r>
              <w:rPr>
                <w:rFonts w:ascii="方正黑体_GBK" w:hAnsi="方正黑体_GBK" w:cs="宋体" w:eastAsia="方正黑体_GBK"/>
                <w:sz w:val="18"/>
                <w:szCs w:val="18"/>
              </w:rPr>
              <w:t>Q份额：业绩比较基准为1.98%(年化)。</w:t>
            </w:r>
          </w:p>
          <w:p>
            <w:pPr>
              <w:pStyle w:val="null10"/>
              <w:spacing w:lineRule="exact" w:line="200"/>
            </w:pPr>
            <w:r>
              <w:rPr>
                <w:rFonts w:ascii="方正黑体_GBK" w:hAnsi="方正黑体_GBK" w:cs="宋体" w:eastAsia="方正黑体_GBK"/>
                <w:sz w:val="18"/>
                <w:szCs w:val="18"/>
              </w:rPr>
              <w:t>Q2份额：业绩比较基准为1.9%(年化)。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F份额：销售费年化0.1%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Q2份额：销售费年化0.3%</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Q份额：固定管理费年化0.13%</w:t>
            </w:r>
          </w:p>
          <w:p>
            <w:pPr>
              <w:pStyle w:val="null10"/>
              <w:spacing w:lineRule="exact" w:line="200"/>
            </w:pPr>
            <w:r>
              <w:rPr>
                <w:rFonts w:ascii="方正黑体_GBK" w:hAnsi="方正黑体_GBK" w:cs="宋体" w:eastAsia="方正黑体_GBK"/>
                <w:sz w:val="18"/>
                <w:b/>
                <w:szCs w:val="18"/>
              </w:rPr>
              <w:t>Q2份额：固定管理费年化0.01%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Q2份额：到期兑付时，当期产品投资的实际资产组合收益（扣除销售费、固定管理费、托管费等相关费用）超过1.9%（年化，即产品该份额对应的业绩报酬计提基准）时，超过部分管理人将按60%收取业绩报酬。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兰州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湖州银行股份有限公司、江苏灌云农村商业银行股份有限公司、江苏海安农村商业银行股份有限公司、广州农村商业银行股份有限公司、江苏泰州农村商业银行股份有限公司、朝阳银行股份有限公司、江苏启东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212d751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6e3de3d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6e3de3d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6e3de3d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6e3de3d5"/>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6e3de3d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6e3de3d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6e3de3d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6e3de3d5"/>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南银理财珠联璧合鑫逸稳半年175期封闭式公募人民币理财产品</w:t>
      </w:r>
      <w:r>
        <w:rPr>
          <w:rFonts w:ascii="方正黑体_GBK" w:eastAsia="方正黑体_GBK" w:hint="eastAsia" w:hAnsi="方正黑体_GBK"/>
          <w:vanish w:val="0"/>
          <w:color w:val="3D3D3D"/>
          <w:kern w:val="0"/>
          <w:sz w:val="15"/>
          <w:szCs w:val="15"/>
        </w:rPr>
        <w:t>。</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6e3de3d5"/>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6e3de3d5"/>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6e3de3d5"/>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6e3de3d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957a84f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957a84f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957a84f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957a84f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957a84f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957a84f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6e3de3d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6e3de3d5"/>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6e3de3d5"/>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957a84f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212d751a"/>
        <w:keepNext w:val="0"/>
        <w:keepLines w:val="0"/>
        <w:pageBreakBefore w:val="0"/>
        <w:widowControl/>
        <w:suppressLineNumbers w:val="0"/>
        <w:suppressAutoHyphens w:val="0"/>
        <w:spacing w:line="200" w:lineRule="exact"/>
        <w:ind w:firstLineChars="200" w:firstLine="300"/>
        <w:rPr>
          <w:rStyle w:val="957a84f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212d751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212d751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212d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212d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212d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212d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212d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212d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212d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212d751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212d751a"/>
        <w:keepNext w:val="0"/>
        <w:keepLines w:val="0"/>
        <w:pageBreakBefore w:val="0"/>
        <w:widowControl/>
        <w:numPr>
          <w:ilvl w:val="0"/>
          <w:numId w:val="4"/>
        </w:numPr>
        <w:suppressLineNumbers w:val="0"/>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212d751a"/>
        <w:keepNext w:val="0"/>
        <w:keepLines w:val="0"/>
        <w:pageBreakBefore w:val="0"/>
        <w:widowControl/>
        <w:suppressLineNumbers w:val="0"/>
        <w:suppressAutoHyphens w:val="0"/>
        <w:spacing w:line="200" w:lineRule="exact"/>
        <w:ind w:firstLine="0"/>
        <w:rPr>
          <w:rFonts w:ascii="方正黑体_GBK" w:hint="eastAsia" w:hAnsi="方正黑体_GBK" w:eastAsia="方正黑体_GBK"/>
          <w:bCs/>
          <w:color w:val="3D3D3D"/>
          <w:kern w:val="0"/>
          <w:sz w:val="15"/>
          <w:szCs w:val="15"/>
        </w:rPr>
      </w:pPr>
      <w:r>
        <w:rPr>
          <w:rFonts w:ascii="方正黑体_GBK" w:hint="eastAsia" w:hAnsi="方正黑体_GBK" w:eastAsia="方正黑体_GBK"/>
          <w:b/>
          <w:bCs/>
          <w:color w:val="3D3D3D"/>
          <w:kern w:val="0"/>
          <w:sz w:val="15"/>
          <w:szCs w:val="15"/>
        </w:rPr>
        <w:t xml:space="preserve">    </w:t>
      </w:r>
      <w:r>
        <w:rPr>
          <w:rFonts w:ascii="方正黑体_GBK" w:hint="eastAsia" w:hAnsi="方正黑体_GBK" w:eastAsia="方正黑体_GBK"/>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212d751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212d751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212d751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212d751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212d751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2"/>
  </w:num>
  <w:num w:numId="3">
    <w:abstractNumId w:val="3"/>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d437d1d">
    <w:name w:val="Normal1d437d1d"/>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f8a0f79">
    <w:name w:val="heading 1bf8a0f79"/>
    <w:basedOn w:val="1d437d1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e76fe79">
    <w:name w:val="heading 26e76fe79"/>
    <w:basedOn w:val="1d437d1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d4052f3">
    <w:name w:val="heading 37d4052f3"/>
    <w:basedOn w:val="1d437d1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744c4af">
    <w:name w:val="Default Paragraph Fonte744c4af"/>
  </w:style>
  <w:style xmlns:r="http://schemas.openxmlformats.org/officeDocument/2006/relationships" w:type="paragraph" w:styleId="ee5cab07">
    <w:name w:val="toc 1ee5cab07"/>
    <w:basedOn w:val="1d437d1d"/>
    <w:autoRedefine/>
    <w:next w:val="0"/>
  </w:style>
  <w:style xmlns:r="http://schemas.openxmlformats.org/officeDocument/2006/relationships" w:type="paragraph" w:styleId="4bc0b288">
    <w:name w:val="toc 24bc0b288"/>
    <w:basedOn w:val="1d437d1d"/>
    <w:autoRedefine/>
    <w:next w:val="0"/>
    <w:pPr>
      <w:ind w:left="420"/>
    </w:pPr>
  </w:style>
  <w:style xmlns:r="http://schemas.openxmlformats.org/officeDocument/2006/relationships" w:type="paragraph" w:styleId="23b21cb4">
    <w:name w:val="toc 323b21cb4"/>
    <w:basedOn w:val="1d437d1d"/>
    <w:autoRedefine/>
    <w:next w:val="0"/>
    <w:pPr>
      <w:ind w:left="840"/>
    </w:pPr>
  </w:style>
  <w:style xmlns:r="http://schemas.openxmlformats.org/officeDocument/2006/relationships" w:type="paragraph" w:styleId="30e5c454">
    <w:name w:val="toc 430e5c454"/>
    <w:basedOn w:val="1d437d1d"/>
    <w:autoRedefine/>
    <w:next w:val="0"/>
    <w:pPr>
      <w:ind w:left="1260"/>
    </w:pPr>
  </w:style>
  <w:style xmlns:r="http://schemas.openxmlformats.org/officeDocument/2006/relationships" w:type="paragraph" w:styleId="314aa064">
    <w:name w:val="toc 5314aa064"/>
    <w:basedOn w:val="1d437d1d"/>
    <w:autoRedefine/>
    <w:next w:val="0"/>
    <w:pPr>
      <w:ind w:left="1680"/>
    </w:pPr>
  </w:style>
  <w:style xmlns:r="http://schemas.openxmlformats.org/officeDocument/2006/relationships" w:type="paragraph" w:styleId="c160ef37">
    <w:name w:val="headerc160ef37"/>
    <w:basedOn w:val="1d437d1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fa00f0a">
    <w:name w:val="footerdfa00f0a"/>
    <w:basedOn w:val="1d437d1d"/>
    <w:pPr>
      <w:tabs>
        <w:tab w:val="center" w:pos="4153"/>
        <w:tab w:val="right" w:pos="8307"/>
      </w:tabs>
      <w:adjustRightInd/>
      <w:snapToGrid w:val="0"/>
      <w:contextualSpacing w:val="0"/>
      <w:jc w:val="left"/>
    </w:pPr>
    <w:rPr>
      <w:sz w:val="18"/>
    </w:rPr>
  </w:style>
  <w:style xmlns:r="http://schemas.openxmlformats.org/officeDocument/2006/relationships" w:type="character" w:styleId="63886d3d">
    <w:name w:val="Strong63886d3d"/>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12d751a">
    <w:name w:val="Normal212d751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42828ee">
    <w:name w:val="heading 1f42828ee"/>
    <w:basedOn w:val="212d751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e237890">
    <w:name w:val="heading 27e237890"/>
    <w:basedOn w:val="212d751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4c15aef">
    <w:name w:val="heading 3d4c15aef"/>
    <w:basedOn w:val="212d751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4c45820">
    <w:name w:val="Default Paragraph Fontd4c45820"/>
  </w:style>
  <w:style xmlns:r="http://schemas.openxmlformats.org/officeDocument/2006/relationships" w:type="paragraph" w:styleId="46f1f5c7">
    <w:name w:val="Normal Indent46f1f5c7"/>
    <w:basedOn w:val="212d751a"/>
    <w:pPr>
      <w:ind w:firstLineChars="200" w:firstLine="200"/>
    </w:pPr>
  </w:style>
  <w:style xmlns:r="http://schemas.openxmlformats.org/officeDocument/2006/relationships" w:type="paragraph" w:styleId="8b6169d9">
    <w:name w:val="toc 58b6169d9"/>
    <w:basedOn w:val="212d751a"/>
    <w:next w:val="0"/>
    <w:pPr>
      <w:ind w:left="1680"/>
    </w:pPr>
  </w:style>
  <w:style xmlns:r="http://schemas.openxmlformats.org/officeDocument/2006/relationships" w:type="paragraph" w:styleId="1b18d332">
    <w:name w:val="toc 31b18d332"/>
    <w:basedOn w:val="212d751a"/>
    <w:next w:val="0"/>
    <w:pPr>
      <w:ind w:left="840"/>
    </w:pPr>
  </w:style>
  <w:style xmlns:r="http://schemas.openxmlformats.org/officeDocument/2006/relationships" w:type="paragraph" w:styleId="fa7849b2">
    <w:name w:val="footerfa7849b2"/>
    <w:basedOn w:val="212d751a"/>
    <w:pPr>
      <w:tabs>
        <w:tab w:val="center" w:pos="4153"/>
        <w:tab w:val="right" w:pos="8307"/>
      </w:tabs>
      <w:adjustRightInd/>
      <w:snapToGrid w:val="0"/>
      <w:contextualSpacing w:val="0"/>
      <w:jc w:val="left"/>
    </w:pPr>
    <w:rPr>
      <w:sz w:val="18"/>
    </w:rPr>
  </w:style>
  <w:style xmlns:r="http://schemas.openxmlformats.org/officeDocument/2006/relationships" w:type="paragraph" w:styleId="fe32d760">
    <w:name w:val="headerfe32d760"/>
    <w:basedOn w:val="212d751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4f00cfd">
    <w:name w:val="toc 1a4f00cfd"/>
    <w:basedOn w:val="212d751a"/>
    <w:next w:val="0"/>
  </w:style>
  <w:style xmlns:r="http://schemas.openxmlformats.org/officeDocument/2006/relationships" w:type="paragraph" w:styleId="781539e4">
    <w:name w:val="toc 4781539e4"/>
    <w:basedOn w:val="212d751a"/>
    <w:next w:val="0"/>
    <w:pPr>
      <w:ind w:left="1260"/>
    </w:pPr>
  </w:style>
  <w:style xmlns:r="http://schemas.openxmlformats.org/officeDocument/2006/relationships" w:type="paragraph" w:styleId="6e24f18c">
    <w:name w:val="toc 26e24f18c"/>
    <w:basedOn w:val="212d751a"/>
    <w:next w:val="0"/>
    <w:pPr>
      <w:ind w:left="420"/>
    </w:pPr>
  </w:style>
  <w:style xmlns:r="http://schemas.openxmlformats.org/officeDocument/2006/relationships" w:type="paragraph" w:styleId="7ed5a2a8">
    <w:name w:val="Normal (Web)7ed5a2a8"/>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e3de3d5">
    <w:name w:val="Normal6e3de3d56e3de3d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68671a06">
    <w:name w:val="heading 168671a0668671a06"/>
    <w:basedOn w:val="6e3de3d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fe85e6f">
    <w:name w:val="heading 2ffe85e6fffe85e6f"/>
    <w:basedOn w:val="6e3de3d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90f8c59">
    <w:name w:val="heading 3890f8c59890f8c59"/>
    <w:basedOn w:val="6e3de3d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d2608f3">
    <w:name w:val="Default Paragraph Font7d2608f37d2608f3"/>
  </w:style>
  <w:style xmlns:r="http://schemas.openxmlformats.org/officeDocument/2006/relationships" w:type="paragraph" w:customStyle="1" w:styleId="a62411f6">
    <w:name w:val="引文目录1a62411f6a62411f6"/>
    <w:basedOn w:val="6e3de3d5"/>
    <w:next w:val="0"/>
    <w:pPr>
      <w:ind w:leftChars="200" w:left="200"/>
    </w:pPr>
  </w:style>
  <w:style xmlns:r="http://schemas.openxmlformats.org/officeDocument/2006/relationships" w:type="paragraph" w:styleId="c5558eb9">
    <w:name w:val="toc 5c5558eb9c5558eb9"/>
    <w:basedOn w:val="6e3de3d5"/>
    <w:next w:val="0"/>
    <w:pPr>
      <w:ind w:left="1680"/>
    </w:pPr>
  </w:style>
  <w:style xmlns:r="http://schemas.openxmlformats.org/officeDocument/2006/relationships" w:type="paragraph" w:styleId="fe26ec66">
    <w:name w:val="toc 3fe26ec66fe26ec66"/>
    <w:basedOn w:val="6e3de3d5"/>
    <w:next w:val="0"/>
    <w:pPr>
      <w:ind w:left="840"/>
    </w:pPr>
  </w:style>
  <w:style xmlns:r="http://schemas.openxmlformats.org/officeDocument/2006/relationships" w:type="paragraph" w:styleId="2f85644c">
    <w:name w:val="footer2f85644c2f85644c"/>
    <w:basedOn w:val="6e3de3d5"/>
    <w:pPr>
      <w:tabs>
        <w:tab w:val="center" w:pos="4153"/>
        <w:tab w:val="right" w:pos="8307"/>
      </w:tabs>
      <w:adjustRightInd/>
      <w:snapToGrid w:val="0"/>
      <w:contextualSpacing w:val="0"/>
      <w:jc w:val="left"/>
    </w:pPr>
    <w:rPr>
      <w:sz w:val="18"/>
    </w:rPr>
  </w:style>
  <w:style xmlns:r="http://schemas.openxmlformats.org/officeDocument/2006/relationships" w:type="paragraph" w:styleId="5c08a4f8">
    <w:name w:val="header5c08a4f85c08a4f8"/>
    <w:basedOn w:val="6e3de3d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0957f8c">
    <w:name w:val="toc 190957f8c90957f8c"/>
    <w:basedOn w:val="6e3de3d5"/>
    <w:next w:val="0"/>
  </w:style>
  <w:style xmlns:r="http://schemas.openxmlformats.org/officeDocument/2006/relationships" w:type="paragraph" w:styleId="166d58e8">
    <w:name w:val="toc 4166d58e8166d58e8"/>
    <w:basedOn w:val="6e3de3d5"/>
    <w:next w:val="0"/>
    <w:pPr>
      <w:ind w:left="1260"/>
    </w:pPr>
  </w:style>
  <w:style xmlns:r="http://schemas.openxmlformats.org/officeDocument/2006/relationships" w:type="paragraph" w:styleId="a036515f">
    <w:name w:val="toc 2a036515fa036515f"/>
    <w:basedOn w:val="6e3de3d5"/>
    <w:next w:val="0"/>
    <w:pPr>
      <w:ind w:left="420"/>
    </w:pPr>
  </w:style>
  <w:style xmlns:r="http://schemas.openxmlformats.org/officeDocument/2006/relationships" w:type="paragraph" w:customStyle="1" w:styleId="957a84f6">
    <w:name w:val="列出段落1957a84f6957a84f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