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5d583b3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5d583b3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5d583b3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d583b3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d583b3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d583b3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d583b3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d583b3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d583b3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d583b3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d583b3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732ccf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732ccf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c0189468"/>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南银理财珠联璧合鑫逸稳一年272期封闭式公募人民币理财产品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ZZ700322600103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Z7003226000135(投资者可依据该编码在中国理财网www.chinawealth.com.cn查询理财产品相关信息）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A份额：NYXY000456</w:t>
            </w:r>
          </w:p>
          <w:p>
            <w:pPr>
              <w:pStyle w:val="null10"/>
              <w:spacing w:lineRule="exact" w:line="200"/>
            </w:pPr>
            <w:r>
              <w:rPr>
                <w:rFonts w:ascii="方正黑体_GBK" w:hAnsi="方正黑体_GBK" w:cs="宋体" w:eastAsia="方正黑体_GBK"/>
                <w:sz w:val="18"/>
                <w:szCs w:val="18"/>
              </w:rPr>
              <w:t>B份额：NYXY000457</w:t>
            </w:r>
          </w:p>
          <w:p>
            <w:pPr>
              <w:pStyle w:val="null10"/>
              <w:spacing w:lineRule="exact" w:line="200"/>
            </w:pPr>
            <w:r>
              <w:rPr>
                <w:rFonts w:ascii="方正黑体_GBK" w:hAnsi="方正黑体_GBK" w:cs="宋体" w:eastAsia="方正黑体_GBK"/>
                <w:sz w:val="18"/>
                <w:szCs w:val="18"/>
              </w:rPr>
              <w:t>C份额：NYXY000458</w:t>
            </w:r>
          </w:p>
          <w:p>
            <w:pPr>
              <w:pStyle w:val="null10"/>
              <w:spacing w:lineRule="exact" w:line="200"/>
            </w:pPr>
            <w:r>
              <w:rPr>
                <w:rFonts w:ascii="方正黑体_GBK" w:hAnsi="方正黑体_GBK" w:cs="宋体" w:eastAsia="方正黑体_GBK"/>
                <w:sz w:val="18"/>
                <w:szCs w:val="18"/>
              </w:rPr>
              <w:t>F份额：NYXY000460</w:t>
            </w:r>
          </w:p>
          <w:p>
            <w:pPr>
              <w:pStyle w:val="null10"/>
              <w:spacing w:lineRule="exact" w:line="200"/>
            </w:pPr>
            <w:r>
              <w:rPr>
                <w:rFonts w:ascii="方正黑体_GBK" w:hAnsi="方正黑体_GBK" w:cs="宋体" w:eastAsia="方正黑体_GBK"/>
                <w:sz w:val="18"/>
                <w:szCs w:val="18"/>
              </w:rPr>
              <w:t>L份额：NYXY000463</w:t>
            </w:r>
          </w:p>
          <w:p>
            <w:pPr>
              <w:pStyle w:val="null10"/>
              <w:spacing w:lineRule="exact" w:line="200"/>
            </w:pPr>
            <w:r>
              <w:rPr>
                <w:rFonts w:ascii="方正黑体_GBK" w:hAnsi="方正黑体_GBK" w:cs="宋体" w:eastAsia="方正黑体_GBK"/>
                <w:sz w:val="18"/>
                <w:szCs w:val="18"/>
              </w:rPr>
              <w:t>O份额：NYXY000465</w:t>
            </w:r>
          </w:p>
          <w:p>
            <w:pPr>
              <w:pStyle w:val="null10"/>
              <w:spacing w:lineRule="exact" w:line="200"/>
            </w:pPr>
            <w:r>
              <w:rPr>
                <w:rFonts w:ascii="方正黑体_GBK" w:hAnsi="方正黑体_GBK" w:cs="宋体" w:eastAsia="方正黑体_GBK"/>
                <w:sz w:val="18"/>
                <w:szCs w:val="18"/>
              </w:rPr>
              <w:t>Q份额：NYXY000466</w:t>
            </w:r>
          </w:p>
          <w:p>
            <w:pPr>
              <w:pStyle w:val="null10"/>
              <w:spacing w:lineRule="exact" w:line="200"/>
            </w:pPr>
            <w:r>
              <w:rPr>
                <w:rFonts w:ascii="方正黑体_GBK" w:hAnsi="方正黑体_GBK" w:cs="宋体" w:eastAsia="方正黑体_GBK"/>
                <w:sz w:val="18"/>
                <w:szCs w:val="18"/>
              </w:rPr>
              <w:t>Q1份额：NYXY000468</w:t>
            </w:r>
          </w:p>
          <w:p>
            <w:pPr>
              <w:pStyle w:val="null10"/>
              <w:spacing w:lineRule="exact" w:line="200"/>
            </w:pPr>
            <w:r>
              <w:rPr>
                <w:rFonts w:ascii="方正黑体_GBK" w:hAnsi="方正黑体_GBK" w:cs="宋体" w:eastAsia="方正黑体_GBK"/>
                <w:sz w:val="18"/>
                <w:szCs w:val="18"/>
              </w:rPr>
              <w:t>Q2份额：NYXY000938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江苏苏州农村商业银行股份有限公司、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天津农村商业银行股份有限公司(除企业拓展客户、个人新客、私行客户和私钻客户外的其他客户)、北京银行股份有限公司（除南京分行客户外的其他客户）、山西银行股份有限公司（1元起购）、德州银行股份有限公司、宁夏银行股份有限公司、九江银行股份有限公司、海南银行股份有限公司、廊坊银行股份有限公司、乌鲁木齐银行股份有限公司、上海农村商业银行股份有限公司、富邦华一银行有限公司、湖州银行股份有限公司、宁波通商银行股份有限公司、桂林银行有限公司（除财富客户外的其他客户）、石嘴山银行股份有限公司、无锡锡商银行股份有限公司、江苏丹阳农村商业银行股份有限公司、江苏宜兴农村商业银行股份有限公司、江苏高淳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限公司、江苏南通农村商业银行股份有限公司（除代发、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朝阳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徽商银行股份有限公司(除代发客户外的其他客户)、杭州银行股份有限公司(除私行客户外的其他客户)、温州银行股份有限公司、齐商银行股份有限公司、嘉兴银行股份有限公司（私行客户）、广州银行股份有限公司、秦皇岛银行股份有限公司、齐鲁银行股份有限公司(白金/私行客户)、天津农村商业银行股份有限公司(企业拓展客户)、东营银行股份有限公司、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杭州银行股份有限公司(私行客户)、蒙商银行股份有限公司（代发工资客户）、郑州银行股份有限公司、日照银行股份有限公司、泰安银行股份有限公司、齐鲁银行股份有限公司(财富客户)、天津农村商业银行股份有限公司(个人新客)、山西银行股份有限公司(50万元起购)、江苏泰兴农村商业银行股份有限公司、江苏响水农村商业银行股份有限公司(50万元起购)、江苏靖江农村商业银行股份有限公司、江苏盐城农村商业银行股份有限公司（代发客户）、江苏南通农村商业银行股份有限公司( 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L份额：潍坊银行股份有限公司、天津农村商业银行股份有限公司(私钻客户)、江苏兴化农村商业银行股份有限公司(人民医院职工客户)。</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szCs w:val="18"/>
              </w:rPr>
              <w:t>Q份额：天津农村商业银行股份有限公司(私行客户)、桂林银行有限公司（财富客户）。</w:t>
            </w:r>
          </w:p>
          <w:p>
            <w:pPr>
              <w:pStyle w:val="null10"/>
              <w:spacing w:lineRule="exact" w:line="200"/>
            </w:pPr>
            <w:r>
              <w:rPr>
                <w:rFonts w:ascii="方正黑体_GBK" w:hAnsi="方正黑体_GBK" w:cs="宋体" w:eastAsia="方正黑体_GBK"/>
                <w:sz w:val="18"/>
                <w:szCs w:val="18"/>
              </w:rPr>
              <w:t>Q1份额：徽商银行股份有限公司（代发客户）、西藏银行股份有限公司。</w:t>
            </w:r>
          </w:p>
          <w:p>
            <w:pPr>
              <w:pStyle w:val="null10"/>
              <w:spacing w:lineRule="exact" w:line="200"/>
            </w:pPr>
            <w:r>
              <w:rPr>
                <w:rFonts w:ascii="方正黑体_GBK" w:hAnsi="方正黑体_GBK" w:cs="宋体" w:eastAsia="方正黑体_GBK"/>
                <w:sz w:val="18"/>
                <w:szCs w:val="18"/>
              </w:rPr>
              <w:t>Q2份额：北京银行股份有限公司（南京分行客户）。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A份额/B份额/C份额/F份额/L份额/O份额/Q份额/Q1份额/Q2份额：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2026年05月07日 09:00—2026年05月12日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2026年05月13日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2026年05月13日—实际到期日（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2027年06月16日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F份额：业绩比较基准为年化2.5%-2.75% 。</w:t>
            </w:r>
          </w:p>
          <w:p>
            <w:pPr>
              <w:pStyle w:val="null10"/>
              <w:spacing w:lineRule="exact" w:line="200"/>
            </w:pPr>
            <w:r>
              <w:rPr>
                <w:rFonts w:ascii="方正黑体_GBK" w:hAnsi="方正黑体_GBK" w:cs="宋体" w:eastAsia="方正黑体_GBK"/>
                <w:sz w:val="18"/>
                <w:szCs w:val="18"/>
              </w:rPr>
              <w:t>L份额：业绩比较基准为年化2.65%-2.9% 。</w:t>
            </w:r>
          </w:p>
          <w:p>
            <w:pPr>
              <w:pStyle w:val="null10"/>
              <w:spacing w:lineRule="exact" w:line="200"/>
            </w:pPr>
            <w:r>
              <w:rPr>
                <w:rFonts w:ascii="方正黑体_GBK" w:hAnsi="方正黑体_GBK" w:cs="宋体" w:eastAsia="方正黑体_GBK"/>
                <w:sz w:val="18"/>
                <w:szCs w:val="18"/>
              </w:rPr>
              <w:t>O份额：业绩比较基准为年化2.45%-2.7% 。</w:t>
            </w:r>
          </w:p>
          <w:p>
            <w:pPr>
              <w:pStyle w:val="null10"/>
              <w:spacing w:lineRule="exact" w:line="200"/>
            </w:pPr>
            <w:r>
              <w:rPr>
                <w:rFonts w:ascii="方正黑体_GBK" w:hAnsi="方正黑体_GBK" w:cs="宋体" w:eastAsia="方正黑体_GBK"/>
                <w:sz w:val="18"/>
                <w:szCs w:val="18"/>
              </w:rPr>
              <w:t>Q份额：业绩比较基准为年化2.55%-2.8% 。</w:t>
            </w:r>
          </w:p>
          <w:p>
            <w:pPr>
              <w:pStyle w:val="null10"/>
              <w:spacing w:lineRule="exact" w:line="200"/>
            </w:pPr>
            <w:r>
              <w:rPr>
                <w:rFonts w:ascii="方正黑体_GBK" w:hAnsi="方正黑体_GBK" w:cs="宋体" w:eastAsia="方正黑体_GBK"/>
                <w:sz w:val="18"/>
                <w:szCs w:val="18"/>
              </w:rPr>
              <w:t>Q1份额：业绩比较基准为年化2.53%-2.78% 。</w:t>
            </w:r>
          </w:p>
          <w:p>
            <w:pPr>
              <w:pStyle w:val="null10"/>
              <w:spacing w:lineRule="exact" w:line="200"/>
            </w:pPr>
            <w:r>
              <w:rPr>
                <w:rFonts w:ascii="方正黑体_GBK" w:hAnsi="方正黑体_GBK" w:cs="宋体" w:eastAsia="方正黑体_GBK"/>
                <w:sz w:val="18"/>
                <w:szCs w:val="18"/>
              </w:rPr>
              <w:t>Q2份额：业绩比较基准为年化2.6%-2.85%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A份额，F份额：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C份额，L份额：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本理财产品一次性收取年化0.25%的销售费，按日摊销。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Q份额，Q2份额：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Q1份额：</w:t>
            </w:r>
          </w:p>
          <w:p>
            <w:pPr>
              <w:pStyle w:val="null10"/>
              <w:spacing w:lineRule="exact" w:line="200"/>
            </w:pPr>
            <w:r>
              <w:rPr>
                <w:rFonts w:ascii="方正黑体_GBK" w:hAnsi="方正黑体_GBK" w:cs="宋体" w:eastAsia="方正黑体_GBK"/>
                <w:sz w:val="18"/>
                <w:b/>
                <w:szCs w:val="18"/>
              </w:rPr>
              <w:t>本理财产品按前一日理财产品资产净值收取年化0.17%的销售费，按日计提。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F份额：固定管理费年化0.1%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Q2份额：固定管理费年化0.1%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pPr>
              <w:pStyle w:val="null10"/>
              <w:spacing w:lineRule="exact" w:line="200"/>
            </w:pPr>
            <w:r>
              <w:rPr>
                <w:rFonts w:ascii="方正黑体_GBK" w:hAnsi="方正黑体_GBK" w:cs="宋体" w:eastAsia="方正黑体_GBK"/>
                <w:sz w:val="18"/>
                <w:b/>
                <w:szCs w:val="18"/>
              </w:rPr>
              <w:t>Q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西藏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732ccfc"/>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d80719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d80719f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d80719f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d80719f3"/>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d80719f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d80719f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d80719f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d80719f3"/>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南银理财珠联璧合鑫逸稳一年272期封闭式公募人民币理财产品</w:t>
      </w:r>
      <w:r>
        <w:rPr>
          <w:rFonts w:ascii="方正黑体_GBK" w:eastAsia="方正黑体_GBK" w:hint="eastAsia" w:hAnsi="方正黑体_GBK"/>
          <w:vanish w:val="0"/>
          <w:color w:val="3D3D3D"/>
          <w:kern w:val="0"/>
          <w:sz w:val="15"/>
          <w:szCs w:val="15"/>
        </w:rPr>
        <w:t>。</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d80719f3"/>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d80719f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d80719f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d80719f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fd3f70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fd3f70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fd3f70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fd3f70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fd3f70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fd3f70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d80719f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d80719f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d80719f3"/>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fd3f70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732ccfc"/>
        <w:keepNext w:val="0"/>
        <w:keepLines w:val="0"/>
        <w:pageBreakBefore w:val="0"/>
        <w:widowControl/>
        <w:suppressLineNumbers w:val="0"/>
        <w:suppressAutoHyphens w:val="0"/>
        <w:spacing w:line="200" w:lineRule="exact"/>
        <w:ind w:firstLineChars="200" w:firstLine="300"/>
        <w:rPr>
          <w:rStyle w:val="4fd3f70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732ccf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732ccf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c732ccf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c732ccf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c732ccf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c732ccf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c732ccf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c732ccf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c732ccf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c732ccf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c732ccfc"/>
        <w:keepNext w:val="0"/>
        <w:keepLines w:val="0"/>
        <w:pageBreakBefore w:val="0"/>
        <w:widowControl/>
        <w:numPr>
          <w:ilvl w:val="0"/>
          <w:numId w:val="4"/>
        </w:numPr>
        <w:suppressLineNumbers w:val="0"/>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c732ccfc"/>
        <w:keepNext w:val="0"/>
        <w:keepLines w:val="0"/>
        <w:pageBreakBefore w:val="0"/>
        <w:widowControl/>
        <w:suppressLineNumbers w:val="0"/>
        <w:suppressAutoHyphens w:val="0"/>
        <w:spacing w:line="200" w:lineRule="exact"/>
        <w:ind w:firstLine="0"/>
        <w:rPr>
          <w:rFonts w:ascii="方正黑体_GBK" w:hint="eastAsia" w:hAnsi="方正黑体_GBK" w:eastAsia="方正黑体_GBK"/>
          <w:bCs/>
          <w:color w:val="3D3D3D"/>
          <w:kern w:val="0"/>
          <w:sz w:val="15"/>
          <w:szCs w:val="15"/>
        </w:rPr>
      </w:pPr>
      <w:r>
        <w:rPr>
          <w:rFonts w:ascii="方正黑体_GBK" w:hint="eastAsia" w:hAnsi="方正黑体_GBK" w:eastAsia="方正黑体_GBK"/>
          <w:b/>
          <w:bCs/>
          <w:color w:val="3D3D3D"/>
          <w:kern w:val="0"/>
          <w:sz w:val="15"/>
          <w:szCs w:val="15"/>
        </w:rPr>
        <w:t xml:space="preserve">    </w:t>
      </w:r>
      <w:r>
        <w:rPr>
          <w:rFonts w:ascii="方正黑体_GBK" w:hint="eastAsia" w:hAnsi="方正黑体_GBK" w:eastAsia="方正黑体_GBK"/>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c732ccf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732ccf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732ccf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732cc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732ccfc"/>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4"/>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d583b38">
    <w:name w:val="Normal5d583b3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d7a70f1">
    <w:name w:val="heading 1cd7a70f1"/>
    <w:basedOn w:val="5d583b3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32eeb18">
    <w:name w:val="heading 2832eeb18"/>
    <w:basedOn w:val="5d583b3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196366d">
    <w:name w:val="heading 38196366d"/>
    <w:basedOn w:val="5d583b3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89c4846">
    <w:name w:val="Default Paragraph Font489c4846"/>
  </w:style>
  <w:style xmlns:r="http://schemas.openxmlformats.org/officeDocument/2006/relationships" w:type="paragraph" w:styleId="c81ebc77">
    <w:name w:val="toc 1c81ebc77"/>
    <w:basedOn w:val="5d583b38"/>
    <w:autoRedefine/>
    <w:next w:val="0"/>
  </w:style>
  <w:style xmlns:r="http://schemas.openxmlformats.org/officeDocument/2006/relationships" w:type="paragraph" w:styleId="cf9fc088">
    <w:name w:val="toc 2cf9fc088"/>
    <w:basedOn w:val="5d583b38"/>
    <w:autoRedefine/>
    <w:next w:val="0"/>
    <w:pPr>
      <w:ind w:left="420"/>
    </w:pPr>
  </w:style>
  <w:style xmlns:r="http://schemas.openxmlformats.org/officeDocument/2006/relationships" w:type="paragraph" w:styleId="6bd492e9">
    <w:name w:val="toc 36bd492e9"/>
    <w:basedOn w:val="5d583b38"/>
    <w:autoRedefine/>
    <w:next w:val="0"/>
    <w:pPr>
      <w:ind w:left="840"/>
    </w:pPr>
  </w:style>
  <w:style xmlns:r="http://schemas.openxmlformats.org/officeDocument/2006/relationships" w:type="paragraph" w:styleId="5b440cd2">
    <w:name w:val="toc 45b440cd2"/>
    <w:basedOn w:val="5d583b38"/>
    <w:autoRedefine/>
    <w:next w:val="0"/>
    <w:pPr>
      <w:ind w:left="1260"/>
    </w:pPr>
  </w:style>
  <w:style xmlns:r="http://schemas.openxmlformats.org/officeDocument/2006/relationships" w:type="paragraph" w:styleId="79dc3edd">
    <w:name w:val="toc 579dc3edd"/>
    <w:basedOn w:val="5d583b38"/>
    <w:autoRedefine/>
    <w:next w:val="0"/>
    <w:pPr>
      <w:ind w:left="1680"/>
    </w:pPr>
  </w:style>
  <w:style xmlns:r="http://schemas.openxmlformats.org/officeDocument/2006/relationships" w:type="paragraph" w:styleId="cc6cd14f">
    <w:name w:val="headercc6cd14f"/>
    <w:basedOn w:val="5d583b3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38ec3fd">
    <w:name w:val="footer538ec3fd"/>
    <w:basedOn w:val="5d583b38"/>
    <w:pPr>
      <w:tabs>
        <w:tab w:val="center" w:pos="4153"/>
        <w:tab w:val="right" w:pos="8307"/>
      </w:tabs>
      <w:adjustRightInd/>
      <w:snapToGrid w:val="0"/>
      <w:contextualSpacing w:val="0"/>
      <w:jc w:val="left"/>
    </w:pPr>
    <w:rPr>
      <w:sz w:val="18"/>
    </w:rPr>
  </w:style>
  <w:style xmlns:r="http://schemas.openxmlformats.org/officeDocument/2006/relationships" w:type="character" w:styleId="665f740a">
    <w:name w:val="Strong665f740a"/>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732ccfc">
    <w:name w:val="Normalc732ccf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23f8696">
    <w:name w:val="heading 1223f8696"/>
    <w:basedOn w:val="c732ccf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a12e747">
    <w:name w:val="heading 20a12e747"/>
    <w:basedOn w:val="c732ccf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62e9b83">
    <w:name w:val="heading 3a62e9b83"/>
    <w:basedOn w:val="c732ccf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35a671c">
    <w:name w:val="Default Paragraph Fonte35a671c"/>
  </w:style>
  <w:style xmlns:r="http://schemas.openxmlformats.org/officeDocument/2006/relationships" w:type="paragraph" w:styleId="f6a4323d">
    <w:name w:val="Normal Indentf6a4323d"/>
    <w:basedOn w:val="c732ccfc"/>
    <w:pPr>
      <w:ind w:firstLineChars="200" w:firstLine="200"/>
    </w:pPr>
  </w:style>
  <w:style xmlns:r="http://schemas.openxmlformats.org/officeDocument/2006/relationships" w:type="paragraph" w:styleId="705a86c9">
    <w:name w:val="toc 5705a86c9"/>
    <w:basedOn w:val="c732ccfc"/>
    <w:next w:val="0"/>
    <w:pPr>
      <w:ind w:left="1680"/>
    </w:pPr>
  </w:style>
  <w:style xmlns:r="http://schemas.openxmlformats.org/officeDocument/2006/relationships" w:type="paragraph" w:styleId="d283988a">
    <w:name w:val="toc 3d283988a"/>
    <w:basedOn w:val="c732ccfc"/>
    <w:next w:val="0"/>
    <w:pPr>
      <w:ind w:left="840"/>
    </w:pPr>
  </w:style>
  <w:style xmlns:r="http://schemas.openxmlformats.org/officeDocument/2006/relationships" w:type="paragraph" w:styleId="a79891af">
    <w:name w:val="footera79891af"/>
    <w:basedOn w:val="c732ccfc"/>
    <w:pPr>
      <w:tabs>
        <w:tab w:val="center" w:pos="4153"/>
        <w:tab w:val="right" w:pos="8307"/>
      </w:tabs>
      <w:adjustRightInd/>
      <w:snapToGrid w:val="0"/>
      <w:contextualSpacing w:val="0"/>
      <w:jc w:val="left"/>
    </w:pPr>
    <w:rPr>
      <w:sz w:val="18"/>
    </w:rPr>
  </w:style>
  <w:style xmlns:r="http://schemas.openxmlformats.org/officeDocument/2006/relationships" w:type="paragraph" w:styleId="39612bb4">
    <w:name w:val="header39612bb4"/>
    <w:basedOn w:val="c732ccf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60615af">
    <w:name w:val="toc 1560615af"/>
    <w:basedOn w:val="c732ccfc"/>
    <w:next w:val="0"/>
  </w:style>
  <w:style xmlns:r="http://schemas.openxmlformats.org/officeDocument/2006/relationships" w:type="paragraph" w:styleId="43400b5e">
    <w:name w:val="toc 443400b5e"/>
    <w:basedOn w:val="c732ccfc"/>
    <w:next w:val="0"/>
    <w:pPr>
      <w:ind w:left="1260"/>
    </w:pPr>
  </w:style>
  <w:style xmlns:r="http://schemas.openxmlformats.org/officeDocument/2006/relationships" w:type="paragraph" w:styleId="c6e2c272">
    <w:name w:val="toc 2c6e2c272"/>
    <w:basedOn w:val="c732ccfc"/>
    <w:next w:val="0"/>
    <w:pPr>
      <w:ind w:left="420"/>
    </w:pPr>
  </w:style>
  <w:style xmlns:r="http://schemas.openxmlformats.org/officeDocument/2006/relationships" w:type="paragraph" w:styleId="c0189468">
    <w:name w:val="Normal (Web)c0189468"/>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80719f3">
    <w:name w:val="Normald80719f3d80719f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1378984">
    <w:name w:val="heading 13137898431378984"/>
    <w:basedOn w:val="d80719f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2dec780">
    <w:name w:val="heading 242dec78042dec780"/>
    <w:basedOn w:val="d80719f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d564b3e">
    <w:name w:val="heading 35d564b3e5d564b3e"/>
    <w:basedOn w:val="d80719f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cf4ecb1">
    <w:name w:val="Default Paragraph Font1cf4ecb11cf4ecb1"/>
  </w:style>
  <w:style xmlns:r="http://schemas.openxmlformats.org/officeDocument/2006/relationships" w:type="paragraph" w:customStyle="1" w:styleId="065eacf0">
    <w:name w:val="引文目录1065eacf0065eacf0"/>
    <w:basedOn w:val="d80719f3"/>
    <w:next w:val="0"/>
    <w:pPr>
      <w:ind w:leftChars="200" w:left="200"/>
    </w:pPr>
  </w:style>
  <w:style xmlns:r="http://schemas.openxmlformats.org/officeDocument/2006/relationships" w:type="paragraph" w:styleId="f5f89481">
    <w:name w:val="toc 5f5f89481f5f89481"/>
    <w:basedOn w:val="d80719f3"/>
    <w:next w:val="0"/>
    <w:pPr>
      <w:ind w:left="1680"/>
    </w:pPr>
  </w:style>
  <w:style xmlns:r="http://schemas.openxmlformats.org/officeDocument/2006/relationships" w:type="paragraph" w:styleId="5da8e11c">
    <w:name w:val="toc 35da8e11c5da8e11c"/>
    <w:basedOn w:val="d80719f3"/>
    <w:next w:val="0"/>
    <w:pPr>
      <w:ind w:left="840"/>
    </w:pPr>
  </w:style>
  <w:style xmlns:r="http://schemas.openxmlformats.org/officeDocument/2006/relationships" w:type="paragraph" w:styleId="a54eadb4">
    <w:name w:val="footera54eadb4a54eadb4"/>
    <w:basedOn w:val="d80719f3"/>
    <w:pPr>
      <w:tabs>
        <w:tab w:val="center" w:pos="4153"/>
        <w:tab w:val="right" w:pos="8307"/>
      </w:tabs>
      <w:adjustRightInd/>
      <w:snapToGrid w:val="0"/>
      <w:contextualSpacing w:val="0"/>
      <w:jc w:val="left"/>
    </w:pPr>
    <w:rPr>
      <w:sz w:val="18"/>
    </w:rPr>
  </w:style>
  <w:style xmlns:r="http://schemas.openxmlformats.org/officeDocument/2006/relationships" w:type="paragraph" w:styleId="a6433ee3">
    <w:name w:val="headera6433ee3a6433ee3"/>
    <w:basedOn w:val="d80719f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2ac7fb1">
    <w:name w:val="toc 1d2ac7fb1d2ac7fb1"/>
    <w:basedOn w:val="d80719f3"/>
    <w:next w:val="0"/>
  </w:style>
  <w:style xmlns:r="http://schemas.openxmlformats.org/officeDocument/2006/relationships" w:type="paragraph" w:styleId="fc3471e2">
    <w:name w:val="toc 4fc3471e2fc3471e2"/>
    <w:basedOn w:val="d80719f3"/>
    <w:next w:val="0"/>
    <w:pPr>
      <w:ind w:left="1260"/>
    </w:pPr>
  </w:style>
  <w:style xmlns:r="http://schemas.openxmlformats.org/officeDocument/2006/relationships" w:type="paragraph" w:styleId="d140dc4e">
    <w:name w:val="toc 2d140dc4ed140dc4e"/>
    <w:basedOn w:val="d80719f3"/>
    <w:next w:val="0"/>
    <w:pPr>
      <w:ind w:left="420"/>
    </w:pPr>
  </w:style>
  <w:style xmlns:r="http://schemas.openxmlformats.org/officeDocument/2006/relationships" w:type="paragraph" w:customStyle="1" w:styleId="4fd3f706">
    <w:name w:val="列出段落14fd3f7064fd3f70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