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7B116">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22DEEDF0">
      <w:pPr>
        <w:adjustRightInd w:val="0"/>
        <w:spacing w:line="360" w:lineRule="auto"/>
        <w:jc w:val="center"/>
        <w:rPr>
          <w:rStyle w:val="27"/>
          <w:rFonts w:ascii="宋体" w:hAnsi="宋体"/>
          <w:sz w:val="32"/>
          <w:szCs w:val="32"/>
        </w:rPr>
      </w:pPr>
    </w:p>
    <w:p w14:paraId="0B62B698">
      <w:pPr>
        <w:adjustRightInd w:val="0"/>
        <w:spacing w:line="360" w:lineRule="auto"/>
        <w:jc w:val="center"/>
        <w:rPr>
          <w:rStyle w:val="27"/>
          <w:rFonts w:ascii="宋体" w:hAnsi="宋体"/>
          <w:sz w:val="32"/>
          <w:szCs w:val="32"/>
        </w:rPr>
      </w:pPr>
    </w:p>
    <w:p w14:paraId="6192A590">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6AC44733">
      <w:pPr>
        <w:adjustRightInd w:val="0"/>
        <w:spacing w:line="360" w:lineRule="auto"/>
        <w:jc w:val="center"/>
        <w:rPr>
          <w:rStyle w:val="27"/>
          <w:rFonts w:ascii="宋体" w:hAnsi="宋体"/>
          <w:sz w:val="32"/>
          <w:szCs w:val="32"/>
        </w:rPr>
      </w:pPr>
    </w:p>
    <w:p w14:paraId="3FE999B9">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【兴银理财甄合封闭式173号固收类理财产品】</w:t>
      </w:r>
      <w:permEnd w:id="0"/>
    </w:p>
    <w:p w14:paraId="1721EA86">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649B7ADA">
      <w:pPr>
        <w:adjustRightInd w:val="0"/>
        <w:spacing w:line="360" w:lineRule="auto"/>
        <w:jc w:val="center"/>
        <w:rPr>
          <w:rStyle w:val="27"/>
          <w:rFonts w:ascii="宋体" w:hAnsi="宋体"/>
          <w:sz w:val="32"/>
          <w:szCs w:val="32"/>
        </w:rPr>
      </w:pPr>
    </w:p>
    <w:p w14:paraId="2A00112F">
      <w:pPr>
        <w:adjustRightInd w:val="0"/>
        <w:spacing w:line="360" w:lineRule="auto"/>
        <w:jc w:val="center"/>
        <w:rPr>
          <w:rStyle w:val="27"/>
          <w:rFonts w:ascii="黑体" w:hAnsi="黑体" w:eastAsia="黑体"/>
          <w:bCs w:val="0"/>
          <w:sz w:val="28"/>
          <w:szCs w:val="28"/>
        </w:rPr>
      </w:pPr>
    </w:p>
    <w:p w14:paraId="6A7D8EEE">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569D2CC4">
      <w:pPr>
        <w:adjustRightInd w:val="0"/>
        <w:spacing w:line="360" w:lineRule="auto"/>
        <w:jc w:val="center"/>
        <w:rPr>
          <w:rStyle w:val="27"/>
          <w:rFonts w:ascii="宋体" w:hAnsi="宋体"/>
          <w:sz w:val="32"/>
          <w:szCs w:val="32"/>
        </w:rPr>
      </w:pPr>
    </w:p>
    <w:p w14:paraId="3F134593">
      <w:pPr>
        <w:adjustRightInd w:val="0"/>
        <w:spacing w:line="360" w:lineRule="auto"/>
        <w:jc w:val="center"/>
        <w:rPr>
          <w:rStyle w:val="27"/>
          <w:rFonts w:ascii="宋体" w:hAnsi="宋体"/>
          <w:sz w:val="32"/>
          <w:szCs w:val="32"/>
        </w:rPr>
      </w:pPr>
    </w:p>
    <w:p w14:paraId="23A26E9B">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w:t>
      </w:r>
      <w:r>
        <w:rPr>
          <w:rStyle w:val="27"/>
          <w:rFonts w:hint="eastAsia" w:ascii="宋体" w:hAnsi="宋体" w:cs="Times New Roman"/>
          <w:sz w:val="32"/>
          <w:szCs w:val="32"/>
          <w:lang w:val="en-US" w:eastAsia="zh-CN"/>
        </w:rPr>
        <w:t>4</w:t>
      </w:r>
      <w:r>
        <w:rPr>
          <w:rStyle w:val="27"/>
          <w:rFonts w:hint="eastAsia" w:ascii="宋体" w:hAnsi="宋体" w:cs="Times New Roman"/>
          <w:sz w:val="32"/>
          <w:szCs w:val="32"/>
        </w:rPr>
        <w:t>】月</w:t>
      </w:r>
      <w:permEnd w:id="1"/>
    </w:p>
    <w:p w14:paraId="02283AAE">
      <w:pPr>
        <w:adjustRightInd w:val="0"/>
        <w:spacing w:line="360" w:lineRule="auto"/>
        <w:jc w:val="center"/>
        <w:rPr>
          <w:rStyle w:val="27"/>
          <w:rFonts w:ascii="宋体" w:hAnsi="宋体"/>
          <w:sz w:val="32"/>
          <w:szCs w:val="32"/>
        </w:rPr>
      </w:pPr>
    </w:p>
    <w:p w14:paraId="1E8E5D6A">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5F28212D">
          <w:pPr>
            <w:pStyle w:val="48"/>
            <w:spacing w:line="360" w:lineRule="auto"/>
            <w:jc w:val="center"/>
          </w:pPr>
          <w:bookmarkStart w:id="0" w:name="_Toc78276587"/>
          <w:permStart w:id="2" w:edGrp="everyone"/>
          <w:r>
            <w:rPr>
              <w:lang w:val="zh-CN"/>
            </w:rPr>
            <w:t>目录</w:t>
          </w:r>
        </w:p>
        <w:p w14:paraId="1F545DA3">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41A6910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1D9266D1">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14</w:t>
          </w:r>
          <w:r>
            <w:fldChar w:fldCharType="end"/>
          </w:r>
          <w:r>
            <w:fldChar w:fldCharType="end"/>
          </w:r>
        </w:p>
        <w:p w14:paraId="13603AB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16</w:t>
          </w:r>
          <w:r>
            <w:fldChar w:fldCharType="end"/>
          </w:r>
          <w:r>
            <w:fldChar w:fldCharType="end"/>
          </w:r>
        </w:p>
        <w:p w14:paraId="59994F6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17</w:t>
          </w:r>
          <w:r>
            <w:fldChar w:fldCharType="end"/>
          </w:r>
          <w:r>
            <w:fldChar w:fldCharType="end"/>
          </w:r>
        </w:p>
        <w:p w14:paraId="0F1D650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20</w:t>
          </w:r>
          <w:r>
            <w:fldChar w:fldCharType="end"/>
          </w:r>
          <w:r>
            <w:fldChar w:fldCharType="end"/>
          </w:r>
        </w:p>
        <w:p w14:paraId="356D9D5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21</w:t>
          </w:r>
          <w:r>
            <w:fldChar w:fldCharType="end"/>
          </w:r>
          <w:r>
            <w:fldChar w:fldCharType="end"/>
          </w:r>
        </w:p>
        <w:p w14:paraId="2C49135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25</w:t>
          </w:r>
          <w:r>
            <w:fldChar w:fldCharType="end"/>
          </w:r>
          <w:r>
            <w:fldChar w:fldCharType="end"/>
          </w:r>
        </w:p>
        <w:p w14:paraId="65760AE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26</w:t>
          </w:r>
          <w:r>
            <w:fldChar w:fldCharType="end"/>
          </w:r>
          <w:r>
            <w:fldChar w:fldCharType="end"/>
          </w:r>
        </w:p>
        <w:p w14:paraId="68BCBF81">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4267E89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68FDDC3">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3F49E45E">
          <w:pPr>
            <w:spacing w:line="360" w:lineRule="auto"/>
          </w:pPr>
          <w:r>
            <w:fldChar w:fldCharType="end"/>
          </w:r>
        </w:p>
      </w:sdtContent>
    </w:sdt>
    <w:permEnd w:id="2"/>
    <w:p w14:paraId="33C956BC">
      <w:pPr>
        <w:rPr>
          <w:rFonts w:ascii="Times New Roman"/>
          <w:sz w:val="30"/>
        </w:rPr>
      </w:pPr>
      <w:r>
        <w:rPr>
          <w:rFonts w:ascii="Times New Roman"/>
          <w:sz w:val="30"/>
        </w:rPr>
        <w:br w:type="page"/>
      </w:r>
    </w:p>
    <w:p w14:paraId="35E7EF90">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757B059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E77C0AE">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62AC0EE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1CDB254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18446A1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4643EC2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07D6C22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43F01D1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4DA38BF0">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736A50A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35B237B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3BB6497A">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14:paraId="1853F513">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14:paraId="6EFF81E8">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14:paraId="1E6802C4">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14:paraId="6426EFC0">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14:paraId="12EFCD4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14:paraId="3641AD40">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226EB0C2">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【兴银理财甄合封闭式173号固收类理财产品】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5E68988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【兴银理财甄合封闭式173号固收类理财产品】</w:t>
      </w:r>
      <w:permEnd w:id="5"/>
      <w:r>
        <w:rPr>
          <w:rFonts w:hint="eastAsia" w:asciiTheme="majorEastAsia" w:hAnsiTheme="majorEastAsia" w:eastAsiaTheme="majorEastAsia"/>
          <w:bCs/>
          <w:sz w:val="18"/>
          <w:szCs w:val="18"/>
        </w:rPr>
        <w:t>投资协议书》，以及对该文件的有效修改或补充。</w:t>
      </w:r>
    </w:p>
    <w:p w14:paraId="6F63DF6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【兴银理财甄合封闭式173号固收类理财产品】</w:t>
      </w:r>
      <w:permEnd w:id="6"/>
      <w:r>
        <w:rPr>
          <w:rFonts w:hint="eastAsia" w:asciiTheme="majorEastAsia" w:hAnsiTheme="majorEastAsia" w:eastAsiaTheme="majorEastAsia"/>
          <w:bCs/>
          <w:sz w:val="18"/>
          <w:szCs w:val="18"/>
        </w:rPr>
        <w:t>产品说明书》，以及对该文件的有效修改或补充。</w:t>
      </w:r>
    </w:p>
    <w:p w14:paraId="718B8A3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【兴银理财甄合封闭式173号固收类理财产品】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【兴银理财甄合封闭式173号固收类理财产品】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307DCED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【兴银理财甄合封闭式173号固收类理财产品】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【兴银理财甄合封闭式173号固收类理财产品】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1DCC24D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【兴银理财甄合封闭式173号固收类理财产品】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【兴银理财甄合封闭式173号固收类理财产品】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12537999">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32CFB27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1BA8A8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616F5FF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3D746F9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0624E3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1182CD0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64D87B6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1A4E5D8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2A523A7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2AAA6DB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4A01159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3C0F943A">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3BD38F3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13A24E8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318F53B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2BC775B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1F09AED1">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4CB0ED6C">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0C33900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6D7CB44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1CD7909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53BB2A4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67E588B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7E8A26BC">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45D03CD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395E4A1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5BEB1F84">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7173D997">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69CB4BA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3AB3397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6FA9110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6CC6B9E9">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769687B0">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35489FEC">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5369EEE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69804C04">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7B1EB87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484CAA1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691C10F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1B1DF8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6EC6AEE5">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74AE9E09">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608318B1">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62F771C2">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1807CEDE">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017145E5">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4B5E49B4">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34E8C0E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1E839048">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2FFBCA0C">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43D3C1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vAlign w:val="top"/>
          </w:tcPr>
          <w:p w14:paraId="339CDD6D">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34BE8A78">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bCs/>
                <w:sz w:val="18"/>
                <w:szCs w:val="18"/>
              </w:rPr>
              <w:t>【兴银理财甄合封闭式173号固收类理财产品】</w:t>
            </w:r>
          </w:p>
        </w:tc>
      </w:tr>
      <w:tr w14:paraId="64ADC1C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vAlign w:val="top"/>
          </w:tcPr>
          <w:p w14:paraId="581686B4">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3476EEEB">
            <w:pPr>
              <w:keepNext w:val="0"/>
              <w:keepLines w:val="0"/>
              <w:widowControl/>
              <w:suppressLineNumbers w:val="0"/>
              <w:spacing w:before="0" w:beforeAutospacing="0" w:after="0" w:afterAutospacing="0" w:line="360" w:lineRule="auto"/>
              <w:ind w:left="0" w:leftChars="0" w:right="0" w:rightChars="0"/>
              <w:jc w:val="left"/>
              <w:rPr>
                <w:rFonts w:ascii="宋体" w:hAnsi="宋体"/>
                <w:kern w:val="0"/>
                <w:sz w:val="22"/>
              </w:rPr>
            </w:pPr>
            <w:r>
              <w:rPr>
                <w:rFonts w:ascii="宋体" w:hAnsi="宋体" w:eastAsia="宋体" w:cs="宋体"/>
                <w:sz w:val="18"/>
              </w:rPr>
              <w:t>【甄合封闭式173号（兴普惠）A】 (适用【A】类份额)</w:t>
            </w:r>
            <w:r>
              <w:rPr>
                <w:rFonts w:ascii="宋体" w:hAnsi="宋体" w:eastAsia="宋体" w:cs="宋体"/>
                <w:sz w:val="18"/>
              </w:rPr>
              <w:br w:type="textWrapping"/>
            </w:r>
            <w:r>
              <w:rPr>
                <w:rFonts w:ascii="宋体" w:hAnsi="宋体" w:eastAsia="宋体" w:cs="宋体"/>
                <w:sz w:val="18"/>
              </w:rPr>
              <w:t>【甄合封闭式173号（兴普惠）B】 (适用【B】类份额)</w:t>
            </w:r>
            <w:r>
              <w:rPr>
                <w:rFonts w:ascii="宋体" w:hAnsi="宋体" w:eastAsia="宋体" w:cs="宋体"/>
                <w:sz w:val="18"/>
              </w:rPr>
              <w:br w:type="textWrapping"/>
            </w:r>
            <w:r>
              <w:rPr>
                <w:rFonts w:ascii="宋体" w:hAnsi="宋体" w:eastAsia="宋体" w:cs="宋体"/>
                <w:sz w:val="18"/>
              </w:rPr>
              <w:t>【甄合封闭式173号</w:t>
            </w:r>
            <w:bookmarkStart w:id="156" w:name="_GoBack"/>
            <w:bookmarkEnd w:id="156"/>
            <w:r>
              <w:rPr>
                <w:rFonts w:ascii="宋体" w:hAnsi="宋体" w:eastAsia="宋体" w:cs="宋体"/>
                <w:sz w:val="18"/>
              </w:rPr>
              <w:t>C】 (适用【C】类份额)</w:t>
            </w:r>
          </w:p>
        </w:tc>
      </w:tr>
      <w:tr w14:paraId="69F2584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top"/>
          </w:tcPr>
          <w:p w14:paraId="31F51241">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14:paraId="307DB37D">
            <w:pPr>
              <w:keepNext w:val="0"/>
              <w:keepLines w:val="0"/>
              <w:suppressLineNumbers w:val="0"/>
              <w:spacing w:before="0" w:beforeAutospacing="0" w:after="0" w:afterAutospacing="0" w:line="360" w:lineRule="auto"/>
              <w:ind w:left="0" w:leftChars="0" w:right="0" w:rightChars="0"/>
              <w:jc w:val="left"/>
              <w:rPr>
                <w:rFonts w:ascii="宋体" w:hAnsi="宋体"/>
                <w:b/>
                <w:sz w:val="18"/>
                <w:szCs w:val="18"/>
              </w:rPr>
            </w:pPr>
            <w:r>
              <w:rPr>
                <w:rFonts w:hint="eastAsia" w:asciiTheme="minorEastAsia" w:hAnsiTheme="minorEastAsia"/>
                <w:sz w:val="18"/>
                <w:szCs w:val="18"/>
              </w:rPr>
              <w:t>【Z7002026000785】</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48453D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1D53F59E">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6EB4A904">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default" w:ascii="宋体" w:hAnsi="宋体"/>
                <w:bCs/>
                <w:sz w:val="18"/>
                <w:szCs w:val="18"/>
              </w:rPr>
              <w:t>【</w:t>
            </w:r>
            <w:r>
              <w:rPr>
                <w:rFonts w:hint="eastAsia" w:ascii="宋体" w:hAnsi="宋体"/>
                <w:bCs/>
                <w:sz w:val="18"/>
                <w:szCs w:val="18"/>
              </w:rPr>
              <w:t>9ZH64730】</w:t>
            </w:r>
          </w:p>
        </w:tc>
      </w:tr>
      <w:tr w14:paraId="5F14F0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top"/>
          </w:tcPr>
          <w:p w14:paraId="4291AE40">
            <w:pPr>
              <w:keepNext w:val="0"/>
              <w:keepLines w:val="0"/>
              <w:suppressLineNumbers w:val="0"/>
              <w:spacing w:before="0" w:beforeAutospacing="0" w:after="0" w:afterAutospacing="0" w:line="360" w:lineRule="auto"/>
              <w:ind w:left="0" w:leftChars="0" w:right="0" w:rightChars="0"/>
              <w:jc w:val="left"/>
              <w:rPr>
                <w:rFonts w:hAnsi="宋体"/>
                <w:b/>
                <w:sz w:val="18"/>
                <w:szCs w:val="18"/>
              </w:rPr>
            </w:pPr>
            <w:r>
              <w:rPr>
                <w:rFonts w:hint="eastAsia" w:hAnsi="宋体"/>
                <w:b/>
                <w:sz w:val="18"/>
                <w:szCs w:val="18"/>
              </w:rPr>
              <w:t>★销售代码</w:t>
            </w:r>
          </w:p>
        </w:tc>
        <w:tc>
          <w:tcPr>
            <w:tcW w:w="7674" w:type="dxa"/>
            <w:shd w:val="solid" w:color="FFFFFF" w:fill="FFFFFF"/>
            <w:vAlign w:val="top"/>
          </w:tcPr>
          <w:p w14:paraId="4285D41B">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ascii="宋体" w:hAnsi="宋体" w:eastAsia="宋体" w:cs="宋体"/>
                <w:sz w:val="18"/>
              </w:rPr>
              <w:t>【9ZH6473A】 (适用【A】类份额)</w:t>
            </w:r>
            <w:r>
              <w:rPr>
                <w:rFonts w:ascii="宋体" w:hAnsi="宋体" w:eastAsia="宋体" w:cs="宋体"/>
                <w:sz w:val="18"/>
              </w:rPr>
              <w:br w:type="textWrapping"/>
            </w:r>
            <w:r>
              <w:rPr>
                <w:rFonts w:ascii="宋体" w:hAnsi="宋体" w:eastAsia="宋体" w:cs="宋体"/>
                <w:sz w:val="18"/>
              </w:rPr>
              <w:t>【9ZH6473B】 (适用【B】类份额)</w:t>
            </w:r>
            <w:r>
              <w:rPr>
                <w:rFonts w:ascii="宋体" w:hAnsi="宋体" w:eastAsia="宋体" w:cs="宋体"/>
                <w:sz w:val="18"/>
              </w:rPr>
              <w:br w:type="textWrapping"/>
            </w:r>
            <w:r>
              <w:rPr>
                <w:rFonts w:ascii="宋体" w:hAnsi="宋体" w:eastAsia="宋体" w:cs="宋体"/>
                <w:sz w:val="18"/>
              </w:rPr>
              <w:t>【9ZH6473C】 (适用【C】类份额)</w:t>
            </w:r>
          </w:p>
        </w:tc>
      </w:tr>
      <w:tr w14:paraId="1DCF0B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06C3F3D0">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63925CFA">
            <w:pPr>
              <w:spacing w:line="360" w:lineRule="auto"/>
              <w:rPr>
                <w:rFonts w:hint="eastAsia" w:ascii="宋体" w:hAnsi="宋体"/>
                <w:bCs/>
                <w:sz w:val="18"/>
                <w:szCs w:val="18"/>
              </w:rPr>
            </w:pPr>
            <w:r>
              <w:rPr>
                <w:rFonts w:hint="eastAsia" w:ascii="宋体" w:hAnsi="宋体"/>
                <w:bCs/>
                <w:sz w:val="18"/>
                <w:szCs w:val="18"/>
              </w:rPr>
              <w:t>1.本产品根据投资者购买理财产品的金额、投资者类型、销售渠道等因素，对投资者所持有的理财产品份额设置不同的理财产品份额类别。</w:t>
            </w:r>
          </w:p>
          <w:p w14:paraId="4D97A89A">
            <w:pPr>
              <w:spacing w:line="360" w:lineRule="auto"/>
              <w:rPr>
                <w:rFonts w:hint="eastAsia" w:ascii="宋体" w:hAnsi="宋体"/>
                <w:bCs/>
                <w:sz w:val="18"/>
                <w:szCs w:val="18"/>
              </w:rPr>
            </w:pPr>
            <w:r>
              <w:rPr>
                <w:rFonts w:hint="eastAsia" w:ascii="宋体" w:hAnsi="宋体"/>
                <w:bCs/>
                <w:sz w:val="18"/>
                <w:szCs w:val="18"/>
              </w:rPr>
              <w:t>2.本产品设置不同的理财产品份额，每类理财产品份额以下内容可能单独设置：</w:t>
            </w:r>
          </w:p>
          <w:p w14:paraId="0C0593CB">
            <w:pPr>
              <w:spacing w:line="360" w:lineRule="auto"/>
              <w:rPr>
                <w:rFonts w:hint="eastAsia" w:ascii="宋体" w:hAnsi="宋体"/>
                <w:bCs/>
                <w:sz w:val="18"/>
                <w:szCs w:val="18"/>
              </w:rPr>
            </w:pPr>
            <w:r>
              <w:rPr>
                <w:rFonts w:hint="eastAsia" w:ascii="宋体" w:hAnsi="宋体"/>
                <w:bCs/>
                <w:sz w:val="18"/>
                <w:szCs w:val="18"/>
              </w:rPr>
              <w:t>（1）销售名称</w:t>
            </w:r>
          </w:p>
          <w:p w14:paraId="4270A808">
            <w:pPr>
              <w:spacing w:line="360" w:lineRule="auto"/>
              <w:rPr>
                <w:rFonts w:hint="eastAsia" w:ascii="宋体" w:hAnsi="宋体"/>
                <w:bCs/>
                <w:sz w:val="18"/>
                <w:szCs w:val="18"/>
              </w:rPr>
            </w:pPr>
            <w:r>
              <w:rPr>
                <w:rFonts w:hint="eastAsia" w:ascii="宋体" w:hAnsi="宋体"/>
                <w:bCs/>
                <w:sz w:val="18"/>
                <w:szCs w:val="18"/>
              </w:rPr>
              <w:t>（2）收费方式</w:t>
            </w:r>
          </w:p>
          <w:p w14:paraId="585A934C">
            <w:pPr>
              <w:spacing w:line="360" w:lineRule="auto"/>
              <w:rPr>
                <w:rFonts w:hint="eastAsia" w:ascii="宋体" w:hAnsi="宋体"/>
                <w:bCs/>
                <w:sz w:val="18"/>
                <w:szCs w:val="18"/>
              </w:rPr>
            </w:pPr>
            <w:r>
              <w:rPr>
                <w:rFonts w:hint="eastAsia" w:ascii="宋体" w:hAnsi="宋体"/>
                <w:bCs/>
                <w:sz w:val="18"/>
                <w:szCs w:val="18"/>
              </w:rPr>
              <w:t>（3）销售服务费</w:t>
            </w:r>
          </w:p>
          <w:p w14:paraId="43D950DC">
            <w:pPr>
              <w:spacing w:line="360" w:lineRule="auto"/>
              <w:rPr>
                <w:rFonts w:hint="eastAsia" w:ascii="宋体" w:hAnsi="宋体"/>
                <w:bCs/>
                <w:sz w:val="18"/>
                <w:szCs w:val="18"/>
              </w:rPr>
            </w:pPr>
            <w:r>
              <w:rPr>
                <w:rFonts w:hint="eastAsia" w:ascii="宋体" w:hAnsi="宋体"/>
                <w:bCs/>
                <w:sz w:val="18"/>
                <w:szCs w:val="18"/>
              </w:rPr>
              <w:t>（4）销售代码</w:t>
            </w:r>
          </w:p>
          <w:p w14:paraId="326FFD17">
            <w:pPr>
              <w:spacing w:line="360" w:lineRule="auto"/>
              <w:rPr>
                <w:rFonts w:hint="eastAsia" w:ascii="宋体" w:hAnsi="宋体"/>
                <w:bCs/>
                <w:sz w:val="18"/>
                <w:szCs w:val="18"/>
              </w:rPr>
            </w:pPr>
            <w:r>
              <w:rPr>
                <w:rFonts w:hint="eastAsia" w:ascii="宋体" w:hAnsi="宋体"/>
                <w:bCs/>
                <w:sz w:val="18"/>
                <w:szCs w:val="18"/>
              </w:rPr>
              <w:t>（5）销售对象</w:t>
            </w:r>
          </w:p>
          <w:p w14:paraId="5DC875B0">
            <w:pPr>
              <w:spacing w:line="360" w:lineRule="auto"/>
              <w:rPr>
                <w:rFonts w:hint="eastAsia" w:ascii="宋体" w:hAnsi="宋体"/>
                <w:bCs/>
                <w:sz w:val="18"/>
                <w:szCs w:val="18"/>
              </w:rPr>
            </w:pPr>
            <w:r>
              <w:rPr>
                <w:rFonts w:hint="eastAsia" w:ascii="宋体" w:hAnsi="宋体"/>
                <w:bCs/>
                <w:sz w:val="18"/>
                <w:szCs w:val="18"/>
              </w:rPr>
              <w:t>（6）销售起点金额（认购、申购的起点金额）</w:t>
            </w:r>
          </w:p>
          <w:p w14:paraId="623ACBF4">
            <w:pPr>
              <w:spacing w:line="360" w:lineRule="auto"/>
              <w:rPr>
                <w:rFonts w:hint="eastAsia" w:ascii="宋体" w:hAnsi="宋体"/>
                <w:bCs/>
                <w:sz w:val="18"/>
                <w:szCs w:val="18"/>
              </w:rPr>
            </w:pPr>
            <w:r>
              <w:rPr>
                <w:rFonts w:hint="eastAsia" w:ascii="宋体" w:hAnsi="宋体"/>
                <w:bCs/>
                <w:sz w:val="18"/>
                <w:szCs w:val="18"/>
              </w:rPr>
              <w:t>（7）投资者认购、申购和赎回的数量限制</w:t>
            </w:r>
          </w:p>
          <w:p w14:paraId="7D87B6C4">
            <w:pPr>
              <w:spacing w:line="360" w:lineRule="auto"/>
              <w:rPr>
                <w:rFonts w:hint="eastAsia" w:ascii="宋体" w:hAnsi="宋体"/>
                <w:bCs/>
                <w:sz w:val="18"/>
                <w:szCs w:val="18"/>
              </w:rPr>
            </w:pPr>
            <w:r>
              <w:rPr>
                <w:rFonts w:hint="eastAsia" w:ascii="宋体" w:hAnsi="宋体"/>
                <w:bCs/>
                <w:sz w:val="18"/>
                <w:szCs w:val="18"/>
              </w:rPr>
              <w:t>（8）投资者持有本产品的最高限额、最低限额</w:t>
            </w:r>
          </w:p>
          <w:p w14:paraId="73471050">
            <w:pPr>
              <w:spacing w:line="360" w:lineRule="auto"/>
              <w:rPr>
                <w:rFonts w:hint="eastAsia" w:ascii="宋体" w:hAnsi="宋体"/>
                <w:bCs/>
                <w:sz w:val="18"/>
                <w:szCs w:val="18"/>
              </w:rPr>
            </w:pPr>
            <w:r>
              <w:rPr>
                <w:rFonts w:hint="eastAsia" w:ascii="宋体" w:hAnsi="宋体"/>
                <w:bCs/>
                <w:sz w:val="18"/>
                <w:szCs w:val="18"/>
              </w:rPr>
              <w:t>（9）分别计算和公告产品份额净值</w:t>
            </w:r>
          </w:p>
          <w:p w14:paraId="0B9F4DFD">
            <w:pPr>
              <w:spacing w:line="360" w:lineRule="auto"/>
              <w:rPr>
                <w:rFonts w:hint="eastAsia" w:ascii="宋体" w:hAnsi="宋体"/>
                <w:bCs/>
                <w:sz w:val="18"/>
                <w:szCs w:val="18"/>
              </w:rPr>
            </w:pPr>
            <w:r>
              <w:rPr>
                <w:rFonts w:hint="eastAsia" w:ascii="宋体" w:hAnsi="宋体"/>
                <w:bCs/>
                <w:sz w:val="18"/>
                <w:szCs w:val="18"/>
              </w:rPr>
              <w:t>3.投资者可根据实际情况自行选择认购的产品份额类别。</w:t>
            </w:r>
          </w:p>
          <w:p w14:paraId="2005DD89">
            <w:pPr>
              <w:spacing w:line="360" w:lineRule="auto"/>
              <w:rPr>
                <w:rFonts w:ascii="宋体" w:hAnsi="宋体"/>
                <w:b/>
                <w:bCs/>
                <w:sz w:val="18"/>
                <w:szCs w:val="18"/>
              </w:rPr>
            </w:pPr>
            <w:r>
              <w:rPr>
                <w:rFonts w:hint="eastAsia" w:ascii="宋体" w:hAnsi="宋体"/>
                <w:bCs/>
                <w:sz w:val="18"/>
                <w:szCs w:val="18"/>
              </w:rPr>
              <w:t>注：本产品说明书所列示产品份额类别仅为本产品项下某一类产品份额。其他类别的产品份额情况以产品管理人披露为准。</w:t>
            </w:r>
          </w:p>
        </w:tc>
      </w:tr>
      <w:tr w14:paraId="0EED3C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34A0B3">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604F66B9">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46379E0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1615D91">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00CA05D">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75E4F24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6E0CDC7">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6C309AF9">
            <w:pPr>
              <w:spacing w:line="360" w:lineRule="auto"/>
              <w:rPr>
                <w:rFonts w:ascii="宋体" w:hAnsi="宋体"/>
                <w:bCs/>
                <w:sz w:val="18"/>
                <w:szCs w:val="18"/>
              </w:rPr>
            </w:pPr>
            <w:r>
              <w:rPr>
                <w:rFonts w:hint="eastAsia" w:ascii="宋体" w:hAnsi="宋体"/>
                <w:bCs/>
                <w:sz w:val="18"/>
                <w:szCs w:val="18"/>
              </w:rPr>
              <w:t>封闭式</w:t>
            </w:r>
          </w:p>
        </w:tc>
      </w:tr>
      <w:tr w14:paraId="7AE9372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EA0E374">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61B4E14D">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5C0DE8D4">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13D27DE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C8428B8">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30921122">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0D6A3DF">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2B09A82E">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61F20B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0AD2555">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5FF51D08">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645ED4C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15BAA4E">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vAlign w:val="top"/>
          </w:tcPr>
          <w:p w14:paraId="06DA28D7">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14:paraId="2AFFB455">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22D9CA34">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14:paraId="4C87CC8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2DF0F45">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0AA8243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w:t>
            </w:r>
          </w:p>
          <w:p w14:paraId="47BC93B9">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14:paraId="49600DB5">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14:paraId="7EC83F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45253FD">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7A5B6C0D">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6599D416">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0D6291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7FE8BF4">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19388AB8">
            <w:pPr>
              <w:spacing w:line="360" w:lineRule="auto"/>
              <w:jc w:val="left"/>
              <w:rPr>
                <w:rFonts w:ascii="宋体" w:hAnsi="宋体"/>
                <w:sz w:val="18"/>
                <w:szCs w:val="18"/>
              </w:rPr>
            </w:pPr>
            <w:r>
              <w:rPr>
                <w:rFonts w:hint="eastAsia" w:ascii="宋体" w:hAnsi="宋体"/>
                <w:sz w:val="18"/>
                <w:szCs w:val="18"/>
              </w:rPr>
              <w:t>□ 直销适用</w:t>
            </w:r>
          </w:p>
          <w:p w14:paraId="1B9E7CBA">
            <w:pPr>
              <w:spacing w:line="360" w:lineRule="auto"/>
              <w:jc w:val="left"/>
              <w:rPr>
                <w:rFonts w:ascii="宋体" w:hAnsi="宋体"/>
                <w:sz w:val="18"/>
                <w:szCs w:val="18"/>
              </w:rPr>
            </w:pPr>
            <w:r>
              <w:rPr>
                <w:rFonts w:hint="eastAsia" w:ascii="宋体" w:hAnsi="宋体"/>
                <w:sz w:val="18"/>
                <w:szCs w:val="18"/>
              </w:rPr>
              <w:t>本产品由产品管理人销售。</w:t>
            </w:r>
          </w:p>
          <w:p w14:paraId="2E01BC21">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bCs/>
                <w:sz w:val="18"/>
                <w:szCs w:val="18"/>
                <w:lang w:bidi="ar"/>
              </w:rPr>
              <w:t>■</w:t>
            </w:r>
            <w:r>
              <w:rPr>
                <w:rFonts w:hint="eastAsia" w:ascii="宋体" w:hAnsi="宋体"/>
                <w:sz w:val="18"/>
                <w:szCs w:val="18"/>
              </w:rPr>
              <w:t>代销适用</w:t>
            </w:r>
          </w:p>
          <w:p w14:paraId="57B8119F">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31DCFDBE">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6351AC3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63C8B4F">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0B6573EB">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6061EB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DD80DFB">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558E933A">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14:paraId="23972C7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C2208AA">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3381159F">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lang w:eastAsia="zh-CN"/>
              </w:rPr>
              <w:t>1.本产品计划初始募集规模为【</w:t>
            </w:r>
            <w:r>
              <w:rPr>
                <w:rFonts w:hint="eastAsia" w:asciiTheme="majorEastAsia" w:hAnsiTheme="majorEastAsia" w:eastAsiaTheme="majorEastAsia"/>
                <w:bCs/>
                <w:sz w:val="18"/>
                <w:szCs w:val="18"/>
              </w:rPr>
              <w:t>2.5</w:t>
            </w:r>
            <w:r>
              <w:rPr>
                <w:rFonts w:hint="eastAsia" w:asciiTheme="majorEastAsia" w:hAnsiTheme="majorEastAsia" w:eastAsiaTheme="majorEastAsia"/>
                <w:bCs/>
                <w:sz w:val="18"/>
                <w:szCs w:val="18"/>
                <w:lang w:eastAsia="zh-CN"/>
              </w:rPr>
              <w:t>】亿元，最小成立规模为【</w:t>
            </w: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】亿元。</w:t>
            </w:r>
          </w:p>
          <w:p w14:paraId="748925F8">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14:paraId="1A33FF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69362F4">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802289">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■有固定期限:【1093天】</w:t>
            </w:r>
          </w:p>
          <w:p w14:paraId="0BE2FD0E">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14:paraId="69AB9F11">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1844EB6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3B7EFA5">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721C0EB9">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【2026年04月01日】【09:00】至【2026年04月14日】【17:00】</w:t>
            </w:r>
            <w:r>
              <w:rPr>
                <w:rFonts w:asciiTheme="majorEastAsia" w:hAnsiTheme="majorEastAsia" w:eastAsiaTheme="majorEastAsia"/>
                <w:sz w:val="18"/>
                <w:szCs w:val="18"/>
              </w:rPr>
              <w:t>。</w:t>
            </w:r>
          </w:p>
          <w:p w14:paraId="59AB11F7">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3FF5DE99">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14:paraId="53B5D2D2">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55E879F5">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7A5DE95D">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42F3664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D28BBAA">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2B14C4C1">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007A110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E07DFDD">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56A122D6">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cs="Times New Roman" w:asciiTheme="minorEastAsia" w:hAnsiTheme="minorEastAsia"/>
                <w:sz w:val="18"/>
                <w:szCs w:val="18"/>
              </w:rPr>
              <w:t>【2026年04月15日</w:t>
            </w:r>
            <w:r>
              <w:rPr>
                <w:rFonts w:hint="default" w:cs="Times New Roman" w:asciiTheme="minorEastAsia" w:hAnsiTheme="minorEastAsia"/>
                <w:sz w:val="18"/>
                <w:szCs w:val="18"/>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59576431">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14:paraId="5577E3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B327D7F">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0B7C4DF0">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cs="Times New Roman" w:asciiTheme="minorEastAsia" w:hAnsiTheme="minorEastAsia"/>
                <w:sz w:val="18"/>
                <w:szCs w:val="18"/>
              </w:rPr>
              <w:t>【2029年04月12日</w:t>
            </w:r>
            <w:r>
              <w:rPr>
                <w:rFonts w:hint="default" w:cs="Times New Roman" w:asciiTheme="minorEastAsia" w:hAnsiTheme="minorEastAsia"/>
                <w:sz w:val="18"/>
                <w:szCs w:val="18"/>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17D86C25">
            <w:pPr>
              <w:keepNext w:val="0"/>
              <w:keepLines w:val="0"/>
              <w:suppressLineNumbers w:val="0"/>
              <w:spacing w:before="0" w:beforeAutospacing="0" w:after="0" w:afterAutospacing="0" w:line="360" w:lineRule="auto"/>
              <w:ind w:left="0" w:leftChars="0" w:right="0" w:rightChars="0"/>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5EC81F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CCE1AA8">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14:paraId="3043B8F7">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p>
          <w:p w14:paraId="598727D3">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4BCB9FE8">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608EEE78">
            <w:pPr>
              <w:keepNext w:val="0"/>
              <w:keepLines w:val="0"/>
              <w:suppressLineNumbers w:val="0"/>
              <w:spacing w:before="0" w:beforeAutospacing="0" w:after="0" w:afterAutospacing="0" w:line="360" w:lineRule="auto"/>
              <w:ind w:left="0" w:leftChars="0" w:right="0" w:rightChars="0"/>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200B01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168DDD2">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780699DA">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p>
          <w:p w14:paraId="7B990DE6">
            <w:pPr>
              <w:keepNext w:val="0"/>
              <w:keepLines w:val="0"/>
              <w:suppressLineNumbers w:val="0"/>
              <w:spacing w:before="0" w:beforeAutospacing="0" w:after="0" w:afterAutospacing="0" w:line="360" w:lineRule="auto"/>
              <w:ind w:left="0" w:right="0"/>
              <w:rPr>
                <w:rFonts w:hint="default" w:ascii="宋体" w:hAnsi="宋体" w:eastAsia="宋体" w:cs="宋体"/>
                <w:sz w:val="18"/>
                <w:lang w:val="en-US" w:eastAsia="zh-CN"/>
              </w:rPr>
            </w:pPr>
            <w:r>
              <w:rPr>
                <w:rFonts w:hint="eastAsia" w:ascii="宋体" w:hAnsi="宋体" w:cs="宋体"/>
                <w:sz w:val="18"/>
                <w:lang w:val="en-US" w:eastAsia="zh-CN"/>
              </w:rPr>
              <w:t>如需突破上限，请与产品管理人或销售机构客户经理联系。</w:t>
            </w:r>
          </w:p>
          <w:p w14:paraId="1B89F41F">
            <w:pPr>
              <w:keepNext w:val="0"/>
              <w:keepLines w:val="0"/>
              <w:suppressLineNumbers w:val="0"/>
              <w:spacing w:before="0" w:beforeAutospacing="0" w:after="0" w:afterAutospacing="0" w:line="360" w:lineRule="auto"/>
              <w:ind w:left="0" w:leftChars="0" w:right="0" w:rightChars="0"/>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14:paraId="65DB8F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76EDCE1">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3AD5D8B6">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34B505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C31B534">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5F8ED24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7BE9CCBC">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7AF4E418">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3D483ED8">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0EE067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5AD437A3">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57A4B2C6">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（1）业绩比较基准的说明：【以一年期定期存款利率为无风险利率，基于当前对未来市场的判断，根据拟投资债权类资产的信用利差、久期敞口以及流动性溢价，预判组合的波动幅度】。</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年化【2.9%-3.2%】。（适用【A】类份额)</w:t>
            </w:r>
            <w:r>
              <w:rPr>
                <w:rFonts w:ascii="宋体" w:hAnsi="宋体" w:eastAsia="宋体" w:cs="宋体"/>
                <w:sz w:val="18"/>
              </w:rPr>
              <w:br w:type="textWrapping"/>
            </w:r>
            <w:r>
              <w:rPr>
                <w:rFonts w:ascii="宋体" w:hAnsi="宋体" w:eastAsia="宋体" w:cs="宋体"/>
                <w:sz w:val="18"/>
              </w:rPr>
              <w:t>年化【2.95%-3.25%】。（适用【B】类份额)</w:t>
            </w:r>
            <w:r>
              <w:rPr>
                <w:rFonts w:ascii="宋体" w:hAnsi="宋体" w:eastAsia="宋体" w:cs="宋体"/>
                <w:sz w:val="18"/>
              </w:rPr>
              <w:br w:type="textWrapping"/>
            </w:r>
            <w:r>
              <w:rPr>
                <w:rFonts w:ascii="宋体" w:hAnsi="宋体" w:eastAsia="宋体" w:cs="宋体"/>
                <w:sz w:val="18"/>
              </w:rPr>
              <w:t>年化【2.9%-3.2%】。（适用【C】类份额)</w:t>
            </w:r>
            <w:r>
              <w:rPr>
                <w:rFonts w:ascii="宋体" w:hAnsi="宋体" w:eastAsia="宋体" w:cs="宋体"/>
                <w:sz w:val="18"/>
              </w:rPr>
              <w:br w:type="textWrapping"/>
            </w:r>
            <w:r>
              <w:rPr>
                <w:rFonts w:ascii="宋体" w:hAnsi="宋体" w:eastAsia="宋体" w:cs="宋体"/>
                <w:sz w:val="18"/>
              </w:rPr>
              <w:t>□ 产品管理人不设置业绩比较基准。</w:t>
            </w:r>
          </w:p>
          <w:p w14:paraId="6065836A">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7C27FA50">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3BBBB8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2A3C05CD">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6CAAF93B">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年化【】。（适用【A】类份额)</w:t>
            </w:r>
            <w:r>
              <w:rPr>
                <w:rFonts w:ascii="宋体" w:hAnsi="宋体" w:eastAsia="宋体" w:cs="宋体"/>
                <w:sz w:val="18"/>
              </w:rPr>
              <w:br w:type="textWrapping"/>
            </w:r>
            <w:r>
              <w:rPr>
                <w:rFonts w:ascii="宋体" w:hAnsi="宋体" w:eastAsia="宋体" w:cs="宋体"/>
                <w:sz w:val="18"/>
              </w:rPr>
              <w:t>年化【】。（适用【B】类份额)</w:t>
            </w:r>
            <w:r>
              <w:rPr>
                <w:rFonts w:ascii="宋体" w:hAnsi="宋体" w:eastAsia="宋体" w:cs="宋体"/>
                <w:sz w:val="18"/>
              </w:rPr>
              <w:br w:type="textWrapping"/>
            </w:r>
            <w:r>
              <w:rPr>
                <w:rFonts w:ascii="宋体" w:hAnsi="宋体" w:eastAsia="宋体" w:cs="宋体"/>
                <w:sz w:val="18"/>
              </w:rPr>
              <w:t>年化【】。（适用【C】类份额)</w:t>
            </w:r>
            <w:r>
              <w:rPr>
                <w:rFonts w:ascii="宋体" w:hAnsi="宋体" w:eastAsia="宋体" w:cs="宋体"/>
                <w:sz w:val="18"/>
              </w:rPr>
              <w:br w:type="textWrapping"/>
            </w:r>
            <w:r>
              <w:rPr>
                <w:rFonts w:ascii="宋体" w:hAnsi="宋体" w:eastAsia="宋体" w:cs="宋体"/>
                <w:sz w:val="18"/>
              </w:rPr>
              <w:t>■ 产品管理人不设置业绩报酬计提基准。</w:t>
            </w:r>
          </w:p>
          <w:p w14:paraId="68835BDA">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0FC4A6A9">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351EF0CA">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0DF7F4F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2A673674">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1E61054E">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4260FF2D">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5FE69AE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C11ADA2">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7878DE57">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年化费率【0.2%】。（适用【A】类份额）</w:t>
            </w:r>
            <w:r>
              <w:rPr>
                <w:rFonts w:ascii="黑体" w:hAnsi="黑体" w:eastAsia="黑体" w:cs="黑体"/>
                <w:sz w:val="18"/>
              </w:rPr>
              <w:br w:type="textWrapping"/>
            </w:r>
            <w:r>
              <w:rPr>
                <w:rFonts w:ascii="黑体" w:hAnsi="黑体" w:eastAsia="黑体" w:cs="黑体"/>
                <w:sz w:val="18"/>
              </w:rPr>
              <w:t>年化费率【0.15%】。（适用【B】类份额）</w:t>
            </w:r>
            <w:r>
              <w:rPr>
                <w:rFonts w:ascii="黑体" w:hAnsi="黑体" w:eastAsia="黑体" w:cs="黑体"/>
                <w:sz w:val="18"/>
              </w:rPr>
              <w:br w:type="textWrapping"/>
            </w:r>
            <w:r>
              <w:rPr>
                <w:rFonts w:ascii="黑体" w:hAnsi="黑体" w:eastAsia="黑体" w:cs="黑体"/>
                <w:sz w:val="18"/>
              </w:rPr>
              <w:t>年化费率【0.2%】。（适用【C】类份额）</w:t>
            </w:r>
            <w:r>
              <w:rPr>
                <w:rFonts w:ascii="黑体" w:hAnsi="黑体" w:eastAsia="黑体" w:cs="黑体"/>
                <w:sz w:val="18"/>
              </w:rPr>
              <w:br w:type="textWrapping"/>
            </w:r>
            <w:r>
              <w:rPr>
                <w:rFonts w:ascii="黑体" w:hAnsi="黑体" w:eastAsia="黑体" w:cs="黑体"/>
                <w:sz w:val="18"/>
              </w:rPr>
              <w:t>（3）投资管理费：年化费率【0.05%】</w:t>
            </w:r>
            <w:r>
              <w:rPr>
                <w:rFonts w:ascii="黑体" w:hAnsi="黑体" w:eastAsia="黑体" w:cs="黑体"/>
                <w:sz w:val="18"/>
              </w:rPr>
              <w:br w:type="textWrapping"/>
            </w:r>
            <w:r>
              <w:rPr>
                <w:rFonts w:ascii="黑体" w:hAnsi="黑体" w:eastAsia="黑体" w:cs="黑体"/>
                <w:sz w:val="18"/>
              </w:rPr>
              <w:t>（4）产品托管费：年化费率【0.005%】</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14:paraId="34FD4ED6">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DD0EECB">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010C7A5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444B717">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3DADABA5">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79E250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98FAB07">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7755F525">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26D42C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77A945">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331343B5">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4CFFC720">
      <w:pPr>
        <w:pStyle w:val="34"/>
        <w:spacing w:line="360" w:lineRule="auto"/>
        <w:rPr>
          <w:rFonts w:hAnsi="宋体"/>
          <w:sz w:val="18"/>
          <w:szCs w:val="18"/>
        </w:rPr>
      </w:pPr>
    </w:p>
    <w:p w14:paraId="1D8CFAC3">
      <w:pPr>
        <w:widowControl/>
        <w:spacing w:line="360" w:lineRule="auto"/>
        <w:jc w:val="left"/>
        <w:rPr>
          <w:rFonts w:ascii="宋体" w:hAnsi="宋体"/>
          <w:color w:val="000000"/>
          <w:kern w:val="0"/>
          <w:sz w:val="18"/>
          <w:szCs w:val="18"/>
        </w:rPr>
      </w:pPr>
      <w:r>
        <w:rPr>
          <w:rFonts w:hAnsi="宋体"/>
          <w:sz w:val="18"/>
          <w:szCs w:val="18"/>
        </w:rPr>
        <w:br w:type="page"/>
      </w:r>
    </w:p>
    <w:p w14:paraId="54BB8A54">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1ED274C1">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41BD98AE">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0BDD33B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1E341CB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4B3830A1">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3A0D78B0">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714467CB">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293FAD80">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3CB361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738D8774">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386DE87C">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201CC185">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2B1FA96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4D505121">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0E46877B">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2C01F248">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48DFB080">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6F39343B">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0A3D10B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4BDB660C">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0A03E709">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3D1BB7D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16EE0D1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477386A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6F7876DD">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6C399152">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3C0C79B5">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61D3BDF8">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7A20DA45">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2AEDDA27">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27F4AC38">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214EB2A0">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55A49219">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14:paraId="44F4609B">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27B11FA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34852DE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6EBD2A9C">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0025FD2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3213867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7CC4A7A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133EA01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7E0EF76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278AC0E7">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20121ED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6A572DAB">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65867D0D">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6269BB09">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5034B7BD">
      <w:pPr>
        <w:pStyle w:val="2"/>
        <w:spacing w:before="0" w:after="0" w:line="360" w:lineRule="auto"/>
        <w:jc w:val="center"/>
        <w:rPr>
          <w:rFonts w:ascii="Times New Roman"/>
          <w:sz w:val="30"/>
        </w:rPr>
      </w:pPr>
      <w:bookmarkStart w:id="9" w:name="_Toc4771"/>
      <w:bookmarkStart w:id="10" w:name="_Toc176189756"/>
      <w:bookmarkStart w:id="11" w:name="_Toc79154668"/>
      <w:bookmarkStart w:id="12" w:name="_Toc27226"/>
      <w:bookmarkStart w:id="13" w:name="_Toc29784"/>
      <w:bookmarkStart w:id="14" w:name="_Toc29948"/>
      <w:bookmarkStart w:id="15" w:name="_Toc27189"/>
      <w:bookmarkStart w:id="16" w:name="_Toc90742688"/>
      <w:bookmarkStart w:id="17" w:name="_Toc15203"/>
      <w:bookmarkStart w:id="18" w:name="_Toc90742390"/>
      <w:bookmarkStart w:id="19" w:name="_Toc16265"/>
      <w:bookmarkStart w:id="20" w:name="_Toc6714"/>
      <w:bookmarkStart w:id="21" w:name="_Toc22074"/>
      <w:bookmarkStart w:id="22" w:name="_Toc7151"/>
      <w:bookmarkStart w:id="23" w:name="_Toc3266"/>
      <w:bookmarkStart w:id="24" w:name="_Toc74065741"/>
      <w:bookmarkStart w:id="25" w:name="_Toc9074232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42D50D6A">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52E58753">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7D9C3461">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3312F0">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3747FABB">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1058208C">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10DD10D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6AF8A109">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3DF68108">
      <w:pPr>
        <w:pStyle w:val="34"/>
        <w:spacing w:line="360" w:lineRule="auto"/>
        <w:ind w:firstLine="360" w:firstLineChars="200"/>
        <w:rPr>
          <w:rFonts w:hint="eastAsia" w:asciiTheme="majorEastAsia" w:hAnsiTheme="majorEastAsia" w:eastAsiaTheme="majorEastAsia"/>
          <w:bCs/>
          <w:color w:val="auto"/>
          <w:sz w:val="18"/>
          <w:szCs w:val="18"/>
          <w:lang w:eastAsia="zh-CN"/>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资产支持票据、次级债、可转债、可交换债等银行间和交易所市场债券及债务融资工具，外币债以及其他固定收益类投资工具等。</w:t>
      </w:r>
      <w:r>
        <w:rPr>
          <w:rFonts w:ascii="宋体" w:hAnsi="宋体" w:eastAsia="宋体" w:cs="宋体"/>
          <w:sz w:val="18"/>
        </w:rPr>
        <w:br w:type="textWrapping"/>
      </w:r>
      <w:r>
        <w:rPr>
          <w:rFonts w:ascii="宋体" w:hAnsi="宋体" w:eastAsia="宋体" w:cs="宋体"/>
          <w:sz w:val="18"/>
        </w:rPr>
        <w:t>（3）国债期货、利率互换、债券借贷、信用风险缓释工具、交易所信用保护工具、股指期货、权证、期权、收益互换、商品期货、外汇衍生工具等。</w:t>
      </w:r>
      <w:r>
        <w:rPr>
          <w:rFonts w:ascii="宋体" w:hAnsi="宋体" w:eastAsia="宋体" w:cs="宋体"/>
          <w:sz w:val="18"/>
        </w:rPr>
        <w:br w:type="textWrapping"/>
      </w:r>
      <w:r>
        <w:rPr>
          <w:rFonts w:ascii="宋体" w:hAnsi="宋体" w:eastAsia="宋体" w:cs="宋体"/>
          <w:sz w:val="18"/>
        </w:rPr>
        <w:t>（4）公开募集证券投资基金。</w:t>
      </w:r>
      <w:r>
        <w:rPr>
          <w:rFonts w:ascii="宋体" w:hAnsi="宋体" w:eastAsia="宋体" w:cs="宋体"/>
          <w:sz w:val="18"/>
        </w:rPr>
        <w:br w:type="textWrapping"/>
      </w:r>
      <w:r>
        <w:rPr>
          <w:rFonts w:ascii="宋体" w:hAnsi="宋体" w:eastAsia="宋体" w:cs="宋体"/>
          <w:sz w:val="18"/>
        </w:rPr>
        <w:t>（5）信用结构化产品，包括信用挂钩结构性存款、结构化票据。</w:t>
      </w:r>
      <w:r>
        <w:rPr>
          <w:rFonts w:ascii="宋体" w:hAnsi="宋体" w:eastAsia="宋体" w:cs="宋体"/>
          <w:sz w:val="18"/>
        </w:rPr>
        <w:br w:type="textWrapping"/>
      </w:r>
      <w:r>
        <w:rPr>
          <w:rFonts w:ascii="宋体" w:hAnsi="宋体" w:eastAsia="宋体" w:cs="宋体"/>
          <w:sz w:val="18"/>
        </w:rPr>
        <w:t>（6）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rPr>
        <w:br w:type="textWrapping"/>
      </w:r>
      <w:r>
        <w:rPr>
          <w:rFonts w:ascii="宋体" w:hAnsi="宋体" w:eastAsia="宋体" w:cs="宋体"/>
          <w:sz w:val="18"/>
        </w:rPr>
        <w:t>（7）其他风险不高于前述资产的资产。】</w:t>
      </w:r>
    </w:p>
    <w:permEnd w:id="15"/>
    <w:p w14:paraId="62316C0B">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75718DE3">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5696C945">
      <w:pPr>
        <w:pStyle w:val="34"/>
        <w:spacing w:line="360" w:lineRule="auto"/>
        <w:ind w:firstLine="360" w:firstLineChars="200"/>
        <w:jc w:val="both"/>
        <w:rPr>
          <w:rFonts w:hint="eastAsia" w:asciiTheme="majorEastAsia" w:hAnsiTheme="majorEastAsia" w:eastAsiaTheme="majorEastAsia"/>
          <w:bCs/>
          <w:sz w:val="18"/>
          <w:szCs w:val="18"/>
          <w:lang w:eastAsia="zh-CN"/>
        </w:rPr>
      </w:pPr>
      <w:permStart w:id="16" w:edGrp="everyone"/>
      <w:r>
        <w:rPr>
          <w:rFonts w:hint="eastAsia" w:asciiTheme="majorEastAsia" w:hAnsiTheme="majorEastAsia" w:eastAsiaTheme="majorEastAsia"/>
          <w:bCs/>
          <w:color w:val="auto"/>
          <w:sz w:val="18"/>
          <w:szCs w:val="18"/>
        </w:rPr>
        <w:t>本产品投资于债权类资产的比例不低于产品总资产的90%，投资于商品及金融衍生品类资产的投资比例不超过产品总资产的10%。
</w:t>
      </w:r>
    </w:p>
    <w:p w14:paraId="67494351">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471AB9E">
      <w:pPr>
        <w:autoSpaceDE w:val="0"/>
        <w:autoSpaceDN w:val="0"/>
        <w:adjustRightInd w:val="0"/>
        <w:spacing w:line="360" w:lineRule="auto"/>
        <w:ind w:firstLine="361"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14:paraId="26BD6C7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11189C7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56FC63E4">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65ACC4EF">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6F4D5CA2">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1C0910AA">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6DF8B352">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6FB1D4DD">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7A78DE0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216707C4">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59AEB59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472DCD9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48CC995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45515886">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53C09AE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044F3E86">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7BF1462D">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6E519A4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5555AF3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67F5B22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080E313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1CD35EC6">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69BB0595">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38405172">
      <w:pPr>
        <w:pStyle w:val="34"/>
        <w:spacing w:line="360" w:lineRule="auto"/>
        <w:ind w:firstLine="360" w:firstLineChars="200"/>
        <w:rPr>
          <w:rFonts w:asciiTheme="majorEastAsia" w:hAnsiTheme="majorEastAsia" w:eastAsiaTheme="majorEastAsia"/>
          <w:sz w:val="18"/>
          <w:szCs w:val="18"/>
        </w:rPr>
      </w:pPr>
      <w:permStart w:id="19" w:edGrp="everyone"/>
      <w:r>
        <w:rPr>
          <w:rFonts w:ascii="宋体" w:hAnsi="宋体" w:eastAsia="宋体" w:cs="宋体"/>
          <w:sz w:val="18"/>
        </w:rPr>
        <w:t>【1、资产配置策略</w:t>
      </w:r>
      <w:r>
        <w:rPr>
          <w:rFonts w:ascii="宋体" w:hAnsi="宋体" w:eastAsia="宋体" w:cs="宋体"/>
          <w:sz w:val="18"/>
        </w:rPr>
        <w:br w:type="textWrapping"/>
      </w:r>
      <w:r>
        <w:rPr>
          <w:rFonts w:ascii="宋体" w:hAnsi="宋体" w:eastAsia="宋体" w:cs="宋体"/>
          <w:sz w:val="18"/>
        </w:rPr>
        <w:t>本系列产品将充分发挥专户管理人的资产配置能力，在各类资产之间进行灵活配置。以债权类资产为主要配置，同时依托丰富的投资经验和优秀的风险控制能力在控制组合回撤风险的基础上增厚组合收益，力争获取持续稳定的稳定收益。</w:t>
      </w:r>
      <w:r>
        <w:rPr>
          <w:rFonts w:ascii="宋体" w:hAnsi="宋体" w:eastAsia="宋体" w:cs="宋体"/>
          <w:sz w:val="18"/>
        </w:rPr>
        <w:br w:type="textWrapping"/>
      </w:r>
      <w:r>
        <w:rPr>
          <w:rFonts w:ascii="宋体" w:hAnsi="宋体" w:eastAsia="宋体" w:cs="宋体"/>
          <w:sz w:val="18"/>
        </w:rPr>
        <w:t>2、固定收益投资策略</w:t>
      </w:r>
      <w:r>
        <w:rPr>
          <w:rFonts w:ascii="宋体" w:hAnsi="宋体" w:eastAsia="宋体" w:cs="宋体"/>
          <w:sz w:val="18"/>
        </w:rPr>
        <w:br w:type="textWrapping"/>
      </w:r>
      <w:r>
        <w:rPr>
          <w:rFonts w:ascii="宋体" w:hAnsi="宋体" w:eastAsia="宋体" w:cs="宋体"/>
          <w:sz w:val="18"/>
        </w:rPr>
        <w:t>包括久期偏离策略、收益率曲线配置策略、类别选择策略、相对价值策略、个券选择策略、信用债投资策略等。】</w:t>
      </w:r>
    </w:p>
    <w:permEnd w:id="19"/>
    <w:p w14:paraId="5EFA021C">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7953171">
      <w:pPr>
        <w:pStyle w:val="2"/>
        <w:spacing w:before="0" w:after="0" w:line="360" w:lineRule="auto"/>
        <w:jc w:val="center"/>
        <w:rPr>
          <w:rFonts w:ascii="Times New Roman"/>
          <w:sz w:val="30"/>
        </w:rPr>
      </w:pPr>
      <w:bookmarkStart w:id="27" w:name="_Toc1823"/>
      <w:bookmarkStart w:id="28" w:name="_Toc4741"/>
      <w:bookmarkStart w:id="29" w:name="_Toc18797"/>
      <w:bookmarkStart w:id="30" w:name="_Toc74065742"/>
      <w:bookmarkStart w:id="31" w:name="_Toc141703885"/>
      <w:bookmarkStart w:id="32" w:name="_Toc79154669"/>
      <w:bookmarkStart w:id="33" w:name="_Toc7848"/>
      <w:bookmarkStart w:id="34" w:name="_Toc21988"/>
      <w:bookmarkStart w:id="35" w:name="_Toc18329"/>
      <w:bookmarkStart w:id="36" w:name="_Toc139991735"/>
      <w:bookmarkStart w:id="37" w:name="_Toc26986"/>
      <w:bookmarkStart w:id="38" w:name="_Toc18526"/>
      <w:bookmarkStart w:id="39" w:name="_Toc14893"/>
      <w:bookmarkStart w:id="40" w:name="_Toc17912"/>
      <w:bookmarkStart w:id="41" w:name="_Toc17618975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E8C3B6">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2B925F0B">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62B3672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47738F7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3EF0F83D">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5AE6DD9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217F00C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038EF180">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7C8686A3">
      <w:pPr>
        <w:pStyle w:val="2"/>
        <w:spacing w:before="0" w:after="0" w:line="360" w:lineRule="auto"/>
        <w:jc w:val="center"/>
        <w:rPr>
          <w:rFonts w:ascii="Times New Roman"/>
          <w:sz w:val="30"/>
        </w:rPr>
      </w:pPr>
      <w:bookmarkStart w:id="43" w:name="_Toc123112234"/>
      <w:bookmarkStart w:id="44" w:name="_Toc610"/>
      <w:bookmarkStart w:id="45" w:name="_Toc74065743"/>
      <w:bookmarkStart w:id="46" w:name="_Toc48649707"/>
      <w:bookmarkStart w:id="47" w:name="_Toc23822"/>
      <w:bookmarkStart w:id="48" w:name="_Toc123051452"/>
      <w:bookmarkStart w:id="49" w:name="_Toc17244"/>
      <w:bookmarkStart w:id="50" w:name="_Toc4003"/>
      <w:bookmarkStart w:id="51" w:name="_Toc141703886"/>
      <w:bookmarkStart w:id="52" w:name="_Toc23261"/>
      <w:bookmarkStart w:id="53" w:name="_Toc98560352"/>
      <w:bookmarkStart w:id="54" w:name="_Toc20733"/>
      <w:bookmarkStart w:id="55" w:name="_Toc176189759"/>
      <w:bookmarkStart w:id="56" w:name="_Toc123102453"/>
      <w:bookmarkStart w:id="57" w:name="_Toc79392606"/>
      <w:bookmarkStart w:id="58" w:name="_Toc139991736"/>
      <w:bookmarkStart w:id="59" w:name="_Toc1270"/>
      <w:bookmarkStart w:id="60" w:name="_Toc7920"/>
      <w:bookmarkStart w:id="61" w:name="_Toc79154670"/>
      <w:bookmarkStart w:id="62" w:name="_Toc1427"/>
      <w:bookmarkStart w:id="63" w:name="_Toc1046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395A1DA">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559D1D32">
      <w:pPr>
        <w:pStyle w:val="34"/>
        <w:spacing w:line="360" w:lineRule="auto"/>
        <w:ind w:firstLine="361" w:firstLineChars="200"/>
        <w:rPr>
          <w:rFonts w:hAnsi="宋体"/>
          <w:b/>
          <w:bCs/>
          <w:sz w:val="18"/>
          <w:szCs w:val="18"/>
        </w:rPr>
      </w:pPr>
      <w:r>
        <w:rPr>
          <w:rFonts w:hint="eastAsia" w:hAnsi="宋体"/>
          <w:b/>
          <w:bCs/>
          <w:sz w:val="18"/>
          <w:szCs w:val="18"/>
        </w:rPr>
        <w:t>（一）估值目的</w:t>
      </w:r>
    </w:p>
    <w:p w14:paraId="1D9654EA">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7CDF35BA">
      <w:pPr>
        <w:pStyle w:val="34"/>
        <w:spacing w:line="360" w:lineRule="auto"/>
        <w:ind w:firstLine="361" w:firstLineChars="200"/>
        <w:rPr>
          <w:rFonts w:hAnsi="宋体"/>
          <w:b/>
          <w:bCs/>
          <w:sz w:val="18"/>
          <w:szCs w:val="18"/>
        </w:rPr>
      </w:pPr>
      <w:r>
        <w:rPr>
          <w:rFonts w:hint="eastAsia" w:hAnsi="宋体"/>
          <w:b/>
          <w:bCs/>
          <w:sz w:val="18"/>
          <w:szCs w:val="18"/>
        </w:rPr>
        <w:t>（二）估值频率</w:t>
      </w:r>
    </w:p>
    <w:p w14:paraId="3CDCBB81">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14:paraId="246A06D6">
      <w:pPr>
        <w:pStyle w:val="34"/>
        <w:spacing w:line="360" w:lineRule="auto"/>
        <w:ind w:firstLine="452" w:firstLineChars="250"/>
        <w:rPr>
          <w:rFonts w:hAnsi="宋体"/>
          <w:b/>
          <w:bCs/>
          <w:sz w:val="18"/>
          <w:szCs w:val="18"/>
        </w:rPr>
      </w:pPr>
      <w:r>
        <w:rPr>
          <w:rFonts w:hint="eastAsia" w:hAnsi="宋体"/>
          <w:b/>
          <w:bCs/>
          <w:sz w:val="18"/>
          <w:szCs w:val="18"/>
        </w:rPr>
        <w:t>（三）估值对象</w:t>
      </w:r>
    </w:p>
    <w:p w14:paraId="15371599">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1BFB25A4">
      <w:pPr>
        <w:pStyle w:val="34"/>
        <w:spacing w:line="360" w:lineRule="auto"/>
        <w:ind w:firstLine="452" w:firstLineChars="250"/>
        <w:rPr>
          <w:rFonts w:hAnsi="宋体"/>
          <w:b/>
          <w:bCs/>
          <w:sz w:val="18"/>
          <w:szCs w:val="18"/>
        </w:rPr>
      </w:pPr>
      <w:r>
        <w:rPr>
          <w:rFonts w:hint="eastAsia" w:hAnsi="宋体"/>
          <w:b/>
          <w:bCs/>
          <w:sz w:val="18"/>
          <w:szCs w:val="18"/>
        </w:rPr>
        <w:t>（四）估值方法</w:t>
      </w:r>
    </w:p>
    <w:p w14:paraId="40819003">
      <w:pPr>
        <w:pStyle w:val="34"/>
        <w:spacing w:line="360" w:lineRule="auto"/>
        <w:ind w:firstLine="360" w:firstLineChars="200"/>
        <w:rPr>
          <w:rFonts w:hAnsi="宋体"/>
          <w:bCs/>
          <w:sz w:val="18"/>
          <w:szCs w:val="18"/>
        </w:rPr>
      </w:pPr>
      <w:r>
        <w:rPr>
          <w:rFonts w:hAnsi="宋体"/>
          <w:bCs/>
          <w:sz w:val="18"/>
          <w:szCs w:val="18"/>
        </w:rPr>
        <w:t>1.标准化债权类资产估值</w:t>
      </w:r>
    </w:p>
    <w:p w14:paraId="00FEE466">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73869482">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149A97A8">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18B12C1C">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7AA5727E">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06E855D5">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618256F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0F426E3E">
      <w:pPr>
        <w:pStyle w:val="34"/>
        <w:spacing w:line="360" w:lineRule="auto"/>
        <w:ind w:firstLine="360" w:firstLineChars="200"/>
        <w:rPr>
          <w:rFonts w:hAnsi="宋体"/>
          <w:sz w:val="18"/>
          <w:szCs w:val="18"/>
        </w:rPr>
      </w:pPr>
      <w:r>
        <w:rPr>
          <w:rFonts w:hAnsi="宋体"/>
          <w:bCs/>
          <w:sz w:val="18"/>
          <w:szCs w:val="18"/>
        </w:rPr>
        <w:t>3.非标准化债权类资产</w:t>
      </w:r>
    </w:p>
    <w:p w14:paraId="01B93B40">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02CCDCA5">
      <w:pPr>
        <w:pStyle w:val="34"/>
        <w:spacing w:line="360" w:lineRule="auto"/>
        <w:ind w:firstLine="360" w:firstLineChars="200"/>
        <w:rPr>
          <w:rFonts w:hAnsi="宋体"/>
          <w:bCs/>
          <w:sz w:val="18"/>
          <w:szCs w:val="18"/>
        </w:rPr>
      </w:pPr>
      <w:r>
        <w:rPr>
          <w:rFonts w:hAnsi="宋体"/>
          <w:bCs/>
          <w:sz w:val="18"/>
          <w:szCs w:val="18"/>
        </w:rPr>
        <w:t>4.上市公司股票估值</w:t>
      </w:r>
    </w:p>
    <w:p w14:paraId="649E5C45">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5369E1E2">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3BDA3F24">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0E7F7DFE">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1B405C06">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0E79A951">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12C024E8">
      <w:pPr>
        <w:pStyle w:val="34"/>
        <w:spacing w:line="360" w:lineRule="auto"/>
        <w:ind w:firstLine="360" w:firstLineChars="200"/>
        <w:rPr>
          <w:rFonts w:hAnsi="宋体"/>
          <w:bCs/>
          <w:sz w:val="18"/>
          <w:szCs w:val="18"/>
        </w:rPr>
      </w:pPr>
      <w:r>
        <w:rPr>
          <w:rFonts w:hAnsi="宋体"/>
          <w:bCs/>
          <w:sz w:val="18"/>
          <w:szCs w:val="18"/>
        </w:rPr>
        <w:t>5.未上市公司股权</w:t>
      </w:r>
    </w:p>
    <w:p w14:paraId="775432B4">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0527704F">
      <w:pPr>
        <w:pStyle w:val="34"/>
        <w:spacing w:line="360" w:lineRule="auto"/>
        <w:ind w:firstLine="360" w:firstLineChars="200"/>
        <w:rPr>
          <w:rFonts w:hAnsi="宋体"/>
          <w:bCs/>
          <w:sz w:val="18"/>
          <w:szCs w:val="18"/>
        </w:rPr>
      </w:pPr>
      <w:r>
        <w:rPr>
          <w:rFonts w:hAnsi="宋体"/>
          <w:bCs/>
          <w:sz w:val="18"/>
          <w:szCs w:val="18"/>
        </w:rPr>
        <w:t>6.优先股</w:t>
      </w:r>
    </w:p>
    <w:p w14:paraId="7B7A50EB">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36BBD243">
      <w:pPr>
        <w:pStyle w:val="34"/>
        <w:spacing w:line="360" w:lineRule="auto"/>
        <w:ind w:firstLine="360" w:firstLineChars="200"/>
        <w:rPr>
          <w:rFonts w:hAnsi="宋体"/>
          <w:bCs/>
          <w:sz w:val="18"/>
          <w:szCs w:val="18"/>
        </w:rPr>
      </w:pPr>
      <w:r>
        <w:rPr>
          <w:rFonts w:hAnsi="宋体"/>
          <w:bCs/>
          <w:sz w:val="18"/>
          <w:szCs w:val="18"/>
        </w:rPr>
        <w:t>7.证券投资基金估值</w:t>
      </w:r>
    </w:p>
    <w:p w14:paraId="0654CB7D">
      <w:pPr>
        <w:pStyle w:val="34"/>
        <w:spacing w:line="360" w:lineRule="auto"/>
        <w:ind w:firstLine="360" w:firstLineChars="200"/>
        <w:rPr>
          <w:rFonts w:hAnsi="宋体"/>
          <w:sz w:val="18"/>
          <w:szCs w:val="18"/>
        </w:rPr>
      </w:pPr>
      <w:r>
        <w:rPr>
          <w:rFonts w:hint="eastAsia" w:hAnsi="宋体"/>
          <w:sz w:val="18"/>
          <w:szCs w:val="18"/>
        </w:rPr>
        <w:t>（1）非上市基金估值</w:t>
      </w:r>
    </w:p>
    <w:p w14:paraId="1B4725CC">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2712BDDE">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3801D07A">
      <w:pPr>
        <w:pStyle w:val="34"/>
        <w:spacing w:line="360" w:lineRule="auto"/>
        <w:ind w:firstLine="360" w:firstLineChars="200"/>
        <w:rPr>
          <w:rFonts w:hAnsi="宋体"/>
          <w:sz w:val="18"/>
          <w:szCs w:val="18"/>
        </w:rPr>
      </w:pPr>
      <w:r>
        <w:rPr>
          <w:rFonts w:hint="eastAsia" w:hAnsi="宋体"/>
          <w:sz w:val="18"/>
          <w:szCs w:val="18"/>
        </w:rPr>
        <w:t>（2）上市基金估值</w:t>
      </w:r>
    </w:p>
    <w:p w14:paraId="30673B50">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2D072B29">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350BCA1B">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1D1A7223">
      <w:pPr>
        <w:pStyle w:val="34"/>
        <w:spacing w:line="360" w:lineRule="auto"/>
        <w:ind w:firstLine="360" w:firstLineChars="200"/>
        <w:rPr>
          <w:rFonts w:hAnsi="宋体"/>
          <w:bCs/>
          <w:sz w:val="18"/>
          <w:szCs w:val="18"/>
        </w:rPr>
      </w:pPr>
      <w:r>
        <w:rPr>
          <w:rFonts w:hAnsi="宋体"/>
          <w:bCs/>
          <w:sz w:val="18"/>
          <w:szCs w:val="18"/>
        </w:rPr>
        <w:t>8.其他资产管理产品的估值</w:t>
      </w:r>
    </w:p>
    <w:p w14:paraId="4AF20E8B">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61E59D2C">
      <w:pPr>
        <w:pStyle w:val="34"/>
        <w:spacing w:line="360" w:lineRule="auto"/>
        <w:ind w:firstLine="360" w:firstLineChars="200"/>
        <w:rPr>
          <w:rFonts w:hAnsi="宋体"/>
          <w:bCs/>
          <w:sz w:val="18"/>
          <w:szCs w:val="18"/>
        </w:rPr>
      </w:pPr>
      <w:r>
        <w:rPr>
          <w:rFonts w:hAnsi="宋体"/>
          <w:bCs/>
          <w:sz w:val="18"/>
          <w:szCs w:val="18"/>
        </w:rPr>
        <w:t>9.衍生金融工具估值</w:t>
      </w:r>
    </w:p>
    <w:p w14:paraId="3697222D">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0BFBC8A0">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1C52FB3C">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791AB45C">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60F9095F">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29756EB5">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2A0BB21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314D653C">
      <w:pPr>
        <w:pStyle w:val="34"/>
        <w:spacing w:line="360" w:lineRule="auto"/>
        <w:ind w:firstLine="361" w:firstLineChars="200"/>
        <w:rPr>
          <w:rFonts w:hAnsi="宋体"/>
          <w:b/>
          <w:bCs/>
          <w:sz w:val="18"/>
          <w:szCs w:val="18"/>
        </w:rPr>
      </w:pPr>
      <w:r>
        <w:rPr>
          <w:rFonts w:hint="eastAsia" w:hAnsi="宋体"/>
          <w:b/>
          <w:bCs/>
          <w:sz w:val="18"/>
          <w:szCs w:val="18"/>
        </w:rPr>
        <w:t>（五）估值程序</w:t>
      </w:r>
    </w:p>
    <w:p w14:paraId="58F9ED5A">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5ECF2A21">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59CCFFAD">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48214794">
      <w:pPr>
        <w:pStyle w:val="34"/>
        <w:spacing w:line="360" w:lineRule="auto"/>
        <w:ind w:firstLine="361" w:firstLineChars="200"/>
        <w:rPr>
          <w:rFonts w:hAnsi="宋体"/>
          <w:b/>
          <w:bCs/>
          <w:sz w:val="18"/>
          <w:szCs w:val="18"/>
        </w:rPr>
      </w:pPr>
      <w:r>
        <w:rPr>
          <w:rFonts w:hint="eastAsia" w:hAnsi="宋体"/>
          <w:b/>
          <w:bCs/>
          <w:sz w:val="18"/>
          <w:szCs w:val="18"/>
        </w:rPr>
        <w:t>（六）估值主体</w:t>
      </w:r>
    </w:p>
    <w:p w14:paraId="614B0FFE">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6D4DF79B">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563D8B20">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4A652729">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50007D79">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1B3E7ADF">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7B584284">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148DDEF6">
      <w:pPr>
        <w:widowControl/>
        <w:spacing w:line="360" w:lineRule="auto"/>
        <w:jc w:val="left"/>
        <w:rPr>
          <w:rFonts w:ascii="宋体" w:hAnsi="宋体"/>
          <w:kern w:val="0"/>
          <w:sz w:val="18"/>
          <w:szCs w:val="18"/>
        </w:rPr>
      </w:pPr>
      <w:r>
        <w:rPr>
          <w:rFonts w:hAnsi="宋体"/>
          <w:sz w:val="18"/>
          <w:szCs w:val="18"/>
        </w:rPr>
        <w:br w:type="page"/>
      </w:r>
    </w:p>
    <w:p w14:paraId="60694A04">
      <w:pPr>
        <w:pStyle w:val="2"/>
        <w:spacing w:before="0" w:after="0" w:line="360" w:lineRule="auto"/>
        <w:ind w:left="60" w:firstLine="10"/>
        <w:jc w:val="center"/>
        <w:rPr>
          <w:rFonts w:ascii="Times New Roman"/>
          <w:sz w:val="30"/>
        </w:rPr>
      </w:pPr>
      <w:bookmarkStart w:id="64" w:name="_Hlt70481650"/>
      <w:bookmarkEnd w:id="64"/>
      <w:bookmarkStart w:id="65" w:name="_Toc6405"/>
      <w:bookmarkStart w:id="66" w:name="_Toc79154671"/>
      <w:bookmarkStart w:id="67" w:name="_Toc139991737"/>
      <w:bookmarkStart w:id="68" w:name="_Toc123112235"/>
      <w:bookmarkStart w:id="69" w:name="_Toc176189760"/>
      <w:bookmarkStart w:id="70" w:name="_Toc74065744"/>
      <w:bookmarkStart w:id="71" w:name="_Toc3601"/>
      <w:bookmarkStart w:id="72" w:name="_Toc29251"/>
      <w:bookmarkStart w:id="73" w:name="_Toc14835"/>
      <w:bookmarkStart w:id="74" w:name="_Toc98560353"/>
      <w:bookmarkStart w:id="75" w:name="_Toc15143"/>
      <w:bookmarkStart w:id="76" w:name="_Toc123102454"/>
      <w:bookmarkStart w:id="77" w:name="_Toc26207"/>
      <w:bookmarkStart w:id="78" w:name="_Toc31235"/>
      <w:bookmarkStart w:id="79" w:name="_Toc141703887"/>
      <w:bookmarkStart w:id="80" w:name="_Toc12245"/>
      <w:bookmarkStart w:id="81" w:name="_Toc31644"/>
      <w:bookmarkStart w:id="82" w:name="_Toc31653"/>
      <w:bookmarkStart w:id="83" w:name="_Toc12305145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7530239"/>
      <w:bookmarkStart w:id="87" w:name="_Toc15118234"/>
      <w:bookmarkStart w:id="88" w:name="_Toc523711668"/>
    </w:p>
    <w:p w14:paraId="150A3B5A">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3C75F2F3">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6AA6B0A3">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5E22005B">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1D0AC60">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64E4777E">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245C67FE">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01C653B7">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5E38DBFF">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03907305">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6AF7EFE2">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047193E9">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0E07A839">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5B0F849D">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414A806B">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0173186E">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5A84618C">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016D33A3">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0C0C10B0">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0B055FC1">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3771"/>
      <w:bookmarkStart w:id="92" w:name="_Toc141703888"/>
      <w:bookmarkStart w:id="93" w:name="_Toc3321"/>
      <w:bookmarkStart w:id="94" w:name="_Toc6447"/>
      <w:bookmarkStart w:id="95" w:name="_Toc7058"/>
      <w:bookmarkStart w:id="96" w:name="_Toc9706"/>
      <w:bookmarkStart w:id="97" w:name="_Toc123112236"/>
      <w:bookmarkStart w:id="98" w:name="_Toc11030"/>
      <w:bookmarkStart w:id="99" w:name="_Toc123102455"/>
      <w:bookmarkStart w:id="100" w:name="_Toc79154672"/>
      <w:bookmarkStart w:id="101" w:name="_Toc176189761"/>
      <w:bookmarkStart w:id="102" w:name="_Toc18567"/>
      <w:bookmarkStart w:id="103" w:name="_Toc25783"/>
      <w:bookmarkStart w:id="104" w:name="_Toc79392583"/>
      <w:bookmarkStart w:id="105" w:name="_Toc10650"/>
      <w:bookmarkStart w:id="106" w:name="_Toc123051454"/>
      <w:bookmarkStart w:id="107" w:name="_Toc4559"/>
      <w:bookmarkStart w:id="108" w:name="_Toc139991738"/>
      <w:bookmarkStart w:id="109" w:name="_Toc74065745"/>
      <w:bookmarkStart w:id="110" w:name="_Toc985603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8DF63E1">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7EEA99B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18E7A32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4E7DDB2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6607CE2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50655A2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480C8C0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1ED2048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4203479F">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5A87D04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499CF97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613DA01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56AA6D3B">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4B37B39F">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14:paraId="593E36A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05684B3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7A8A17C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0A041F4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6FD2C78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2529EB9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51667C2C">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350CA952">
      <w:pPr>
        <w:widowControl/>
        <w:spacing w:line="360" w:lineRule="auto"/>
        <w:ind w:firstLine="420" w:firstLineChars="0"/>
        <w:jc w:val="left"/>
        <w:rPr>
          <w:rFonts w:hint="eastAsia" w:ascii="黑体" w:hAnsi="黑体" w:eastAsia="黑体" w:cs="黑体"/>
          <w:sz w:val="18"/>
          <w:szCs w:val="18"/>
        </w:rPr>
      </w:pPr>
      <w:r>
        <w:rPr>
          <w:rFonts w:hint="eastAsia" w:ascii="黑体" w:hAnsi="黑体" w:eastAsia="黑体" w:cs="黑体"/>
          <w:sz w:val="18"/>
          <w:szCs w:val="18"/>
        </w:rPr>
        <w:t>本产品不收取超额业绩报酬</w:t>
      </w:r>
    </w:p>
    <w:permEnd w:id="24"/>
    <w:p w14:paraId="1ABEA14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59A6B6B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00BDB10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31EC26E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649ED5A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43E97A5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068C793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2B14629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20F6F1E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549FC98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25FFD030">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4B539BDE">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3174D7BB">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4E316CFF">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08DB757D">
      <w:pPr>
        <w:pStyle w:val="2"/>
        <w:spacing w:line="360" w:lineRule="auto"/>
        <w:jc w:val="center"/>
      </w:pPr>
      <w:bookmarkStart w:id="111" w:name="_Toc1745"/>
      <w:bookmarkStart w:id="112" w:name="_Toc3963"/>
      <w:r>
        <w:br w:type="page"/>
      </w:r>
      <w:bookmarkStart w:id="113" w:name="_Toc123112237"/>
      <w:bookmarkStart w:id="114" w:name="_Toc141703889"/>
      <w:bookmarkStart w:id="115" w:name="_Toc139991739"/>
      <w:bookmarkStart w:id="116" w:name="_Toc18206"/>
      <w:bookmarkStart w:id="117" w:name="_Toc10398"/>
      <w:bookmarkStart w:id="118" w:name="_Toc21735"/>
      <w:bookmarkStart w:id="119" w:name="_Toc3572"/>
      <w:bookmarkStart w:id="120" w:name="_Toc123102456"/>
      <w:bookmarkStart w:id="121" w:name="_Toc176189762"/>
      <w:bookmarkStart w:id="122" w:name="_Toc123051455"/>
      <w:bookmarkStart w:id="123" w:name="_Toc31821"/>
      <w:bookmarkStart w:id="124" w:name="_Toc74065746"/>
      <w:bookmarkStart w:id="125" w:name="_Toc98560355"/>
      <w:bookmarkStart w:id="126" w:name="_Toc3080"/>
      <w:bookmarkStart w:id="127" w:name="_Toc725"/>
      <w:bookmarkStart w:id="128" w:name="_Toc16164"/>
      <w:bookmarkStart w:id="129" w:name="_Toc79154673"/>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4E8867C">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14:paraId="744A67B3">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7ECB8544">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39419E4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59D7CFD5">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267793A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4020C5CB">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173A569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7299129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CDA915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5F937B1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5EB746E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1CD2CD1B">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4D767187">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202EE930">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4526ECC9">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67ED4600">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77EDB6E">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6736DB59">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2E5B1B99">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67BE6489">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756BA57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5756D36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5DA6FA0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4792EB0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01A137DC">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3E32B9FD">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2099228F">
      <w:pPr>
        <w:pStyle w:val="2"/>
        <w:spacing w:before="0" w:after="0" w:line="360" w:lineRule="auto"/>
        <w:jc w:val="center"/>
        <w:rPr>
          <w:rFonts w:ascii="Times New Roman"/>
          <w:sz w:val="30"/>
        </w:rPr>
      </w:pPr>
      <w:r>
        <w:rPr>
          <w:rFonts w:ascii="Times New Roman"/>
          <w:b w:val="0"/>
          <w:bCs w:val="0"/>
          <w:kern w:val="2"/>
        </w:rPr>
        <w:br w:type="page"/>
      </w:r>
      <w:bookmarkStart w:id="133" w:name="_Toc3329"/>
      <w:bookmarkStart w:id="134" w:name="_Toc29408"/>
      <w:bookmarkStart w:id="135" w:name="_Toc21237"/>
      <w:bookmarkStart w:id="136" w:name="_Toc123112238"/>
      <w:bookmarkStart w:id="137" w:name="_Toc79392622"/>
      <w:bookmarkStart w:id="138" w:name="_Toc32584"/>
      <w:bookmarkStart w:id="139" w:name="_Toc176189763"/>
      <w:bookmarkStart w:id="140" w:name="_Toc17920"/>
      <w:bookmarkStart w:id="141" w:name="_Toc98560356"/>
      <w:bookmarkStart w:id="142" w:name="_Toc139991740"/>
      <w:bookmarkStart w:id="143" w:name="_Toc739"/>
      <w:bookmarkStart w:id="144" w:name="_Toc17198"/>
      <w:bookmarkStart w:id="145" w:name="_Toc48649708"/>
      <w:bookmarkStart w:id="146" w:name="_Toc123102457"/>
      <w:bookmarkStart w:id="147" w:name="_Toc74065747"/>
      <w:bookmarkStart w:id="148" w:name="_Toc123051456"/>
      <w:bookmarkStart w:id="149" w:name="_Toc5170"/>
      <w:bookmarkStart w:id="150" w:name="_Toc32092"/>
      <w:bookmarkStart w:id="151" w:name="_Toc79154674"/>
      <w:bookmarkStart w:id="152" w:name="_Toc141703890"/>
      <w:bookmarkStart w:id="153" w:name="_Toc8791"/>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C5DA6A8">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1804241E">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51F2AE3B">
      <w:pPr>
        <w:spacing w:line="360" w:lineRule="auto"/>
        <w:ind w:firstLine="361"/>
        <w:rPr>
          <w:rFonts w:ascii="宋体" w:hAnsi="宋体"/>
          <w:b/>
          <w:bCs/>
          <w:sz w:val="18"/>
          <w:szCs w:val="18"/>
        </w:rPr>
      </w:pPr>
      <w:r>
        <w:rPr>
          <w:rFonts w:hint="eastAsia" w:ascii="宋体" w:hAnsi="宋体"/>
          <w:b/>
          <w:bCs/>
          <w:sz w:val="18"/>
          <w:szCs w:val="18"/>
        </w:rPr>
        <w:t>（二）信息披露的渠道</w:t>
      </w:r>
    </w:p>
    <w:p w14:paraId="19CA110A">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4C233690">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58AB89A7">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76A43D3F">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612F8A82">
      <w:pPr>
        <w:spacing w:line="360" w:lineRule="auto"/>
        <w:ind w:firstLine="361"/>
        <w:rPr>
          <w:rFonts w:ascii="宋体" w:hAnsi="宋体"/>
          <w:b/>
          <w:bCs/>
          <w:sz w:val="18"/>
          <w:szCs w:val="18"/>
        </w:rPr>
      </w:pPr>
      <w:r>
        <w:rPr>
          <w:rFonts w:hint="eastAsia" w:ascii="宋体" w:hAnsi="宋体"/>
          <w:b/>
          <w:bCs/>
          <w:sz w:val="18"/>
          <w:szCs w:val="18"/>
        </w:rPr>
        <w:t>（三）信息披露的内容</w:t>
      </w:r>
    </w:p>
    <w:p w14:paraId="789846B0">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0F677DEC">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70752D87">
      <w:pPr>
        <w:spacing w:line="360" w:lineRule="auto"/>
        <w:ind w:firstLine="360"/>
        <w:rPr>
          <w:rFonts w:ascii="宋体" w:hAnsi="宋体"/>
          <w:bCs/>
          <w:sz w:val="18"/>
          <w:szCs w:val="18"/>
        </w:rPr>
      </w:pPr>
      <w:r>
        <w:rPr>
          <w:rFonts w:ascii="宋体" w:hAnsi="宋体"/>
          <w:bCs/>
          <w:sz w:val="18"/>
          <w:szCs w:val="18"/>
        </w:rPr>
        <w:t>1.产品成立公告</w:t>
      </w:r>
    </w:p>
    <w:p w14:paraId="30B261F8">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19441BB3">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7636CDBA">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3BF5E34E">
      <w:pPr>
        <w:spacing w:line="360" w:lineRule="auto"/>
        <w:ind w:firstLine="360"/>
        <w:rPr>
          <w:rFonts w:ascii="宋体" w:hAnsi="宋体"/>
          <w:bCs/>
          <w:sz w:val="18"/>
          <w:szCs w:val="18"/>
        </w:rPr>
      </w:pPr>
      <w:r>
        <w:rPr>
          <w:rFonts w:ascii="宋体" w:hAnsi="宋体"/>
          <w:bCs/>
          <w:sz w:val="18"/>
          <w:szCs w:val="18"/>
        </w:rPr>
        <w:t>3.定期报告</w:t>
      </w:r>
    </w:p>
    <w:p w14:paraId="1035AF96">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6F14DA89">
      <w:pPr>
        <w:spacing w:line="360" w:lineRule="auto"/>
        <w:ind w:firstLine="360"/>
        <w:rPr>
          <w:rFonts w:ascii="宋体" w:hAnsi="宋体"/>
          <w:bCs/>
          <w:sz w:val="18"/>
          <w:szCs w:val="18"/>
        </w:rPr>
      </w:pPr>
      <w:r>
        <w:rPr>
          <w:rFonts w:ascii="宋体" w:hAnsi="宋体"/>
          <w:bCs/>
          <w:sz w:val="18"/>
          <w:szCs w:val="18"/>
        </w:rPr>
        <w:t>4.到期公告</w:t>
      </w:r>
    </w:p>
    <w:p w14:paraId="0D40B62E">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6F0D8345">
      <w:pPr>
        <w:spacing w:line="360" w:lineRule="auto"/>
        <w:ind w:firstLine="360"/>
        <w:rPr>
          <w:rFonts w:ascii="宋体" w:hAnsi="宋体"/>
          <w:bCs/>
          <w:sz w:val="18"/>
          <w:szCs w:val="18"/>
        </w:rPr>
      </w:pPr>
      <w:r>
        <w:rPr>
          <w:rFonts w:ascii="宋体" w:hAnsi="宋体"/>
          <w:bCs/>
          <w:sz w:val="18"/>
          <w:szCs w:val="18"/>
        </w:rPr>
        <w:t>5.估值日公告</w:t>
      </w:r>
    </w:p>
    <w:p w14:paraId="6841F8D7">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14:paraId="10C2E4B0">
      <w:pPr>
        <w:spacing w:line="360" w:lineRule="auto"/>
        <w:ind w:firstLine="360"/>
        <w:rPr>
          <w:rFonts w:ascii="宋体" w:hAnsi="宋体"/>
          <w:bCs/>
          <w:sz w:val="18"/>
          <w:szCs w:val="18"/>
        </w:rPr>
      </w:pPr>
      <w:r>
        <w:rPr>
          <w:rFonts w:ascii="宋体" w:hAnsi="宋体"/>
          <w:bCs/>
          <w:sz w:val="18"/>
          <w:szCs w:val="18"/>
        </w:rPr>
        <w:t>6.临时公告</w:t>
      </w:r>
    </w:p>
    <w:p w14:paraId="7C7F3C8F">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5D34E25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137AD660">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457CF3D6">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1F5D0AE6">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70D2A70F">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4975C56C">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33605C2D">
      <w:pPr>
        <w:widowControl/>
        <w:spacing w:line="360" w:lineRule="auto"/>
        <w:jc w:val="left"/>
        <w:rPr>
          <w:bCs/>
          <w:sz w:val="24"/>
        </w:rPr>
      </w:pPr>
      <w:r>
        <w:rPr>
          <w:bCs/>
          <w:sz w:val="24"/>
        </w:rPr>
        <w:br w:type="page"/>
      </w:r>
    </w:p>
    <w:p w14:paraId="6989FCD6">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FFFF0F8">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0C243EB4">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73DF0CBA">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0EB3CB69">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3B902B46">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96E53FF">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5AEA2FE6">
      <w:pPr>
        <w:spacing w:line="360" w:lineRule="auto"/>
        <w:ind w:firstLine="360" w:firstLineChars="200"/>
        <w:rPr>
          <w:rFonts w:hint="eastAsia"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3E4087A5">
      <w:pPr>
        <w:spacing w:line="360" w:lineRule="auto"/>
        <w:ind w:firstLine="360" w:firstLineChars="200"/>
        <w:rPr>
          <w:rFonts w:hint="eastAsia" w:ascii="宋体" w:hAnsi="宋体"/>
          <w:sz w:val="18"/>
          <w:szCs w:val="18"/>
        </w:rPr>
      </w:pPr>
      <w:r>
        <w:rPr>
          <w:rFonts w:hint="eastAsia" w:ascii="宋体" w:hAnsi="宋体"/>
          <w:sz w:val="18"/>
          <w:szCs w:val="18"/>
        </w:rPr>
        <w:t xml:space="preserve">（2）投资商品和金融衍生品类资产的风险 </w:t>
      </w:r>
    </w:p>
    <w:p w14:paraId="65103E95">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14:paraId="25CC4F56">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030234E">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15A3538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5E98F387">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A239B8E">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1C5C429B">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2A7E0DD7">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5BDFC49F">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B10E6B2">
      <w:pPr>
        <w:spacing w:line="360" w:lineRule="auto"/>
        <w:ind w:firstLine="360" w:firstLineChars="200"/>
        <w:rPr>
          <w:rFonts w:ascii="宋体" w:hAnsi="宋体"/>
          <w:sz w:val="18"/>
          <w:szCs w:val="18"/>
        </w:rPr>
      </w:pPr>
      <w:r>
        <w:rPr>
          <w:rFonts w:hint="eastAsia" w:ascii="宋体" w:hAnsi="宋体"/>
          <w:sz w:val="18"/>
          <w:szCs w:val="18"/>
        </w:rPr>
        <w:t>4.流动性风险</w:t>
      </w:r>
    </w:p>
    <w:p w14:paraId="7C6FC412">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76BB6058">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376D5719">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4D45E3B6">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62F1223C">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365163DA">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7FEFFD6E">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601E2AD">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6E261B32">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423C810F">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1F278D2F">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64190939">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0688D794">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223D9E48">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7CE47CB7">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42AB641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1ED47ABD">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6FD9643C">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1ED5BA80">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46395A0F">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24EC5ED5">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0BE390BB">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5F3BF9BD">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42C4B648">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5DB1BD63">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676F46DC">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57218497">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8207576">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32083D22">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1E5E509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18D464B8">
            <w:pPr>
              <w:spacing w:line="280" w:lineRule="atLeast"/>
              <w:ind w:firstLine="422"/>
              <w:jc w:val="center"/>
              <w:rPr>
                <w:rFonts w:ascii="宋体" w:hAnsi="宋体" w:cs="Arial"/>
                <w:b/>
                <w:szCs w:val="21"/>
              </w:rPr>
            </w:pPr>
            <w:r>
              <w:rPr>
                <w:rFonts w:hint="eastAsia" w:ascii="宋体" w:hAnsi="宋体" w:cs="Arial"/>
                <w:b/>
                <w:szCs w:val="21"/>
              </w:rPr>
              <w:t>投资者确认栏</w:t>
            </w:r>
          </w:p>
          <w:p w14:paraId="38B63B52">
            <w:pPr>
              <w:spacing w:line="360" w:lineRule="auto"/>
              <w:ind w:firstLine="361"/>
              <w:rPr>
                <w:b/>
                <w:sz w:val="18"/>
                <w:szCs w:val="18"/>
              </w:rPr>
            </w:pPr>
          </w:p>
        </w:tc>
      </w:tr>
      <w:tr w14:paraId="7B053E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16CD112E">
            <w:pPr>
              <w:spacing w:line="360" w:lineRule="auto"/>
              <w:jc w:val="left"/>
              <w:rPr>
                <w:b/>
                <w:sz w:val="18"/>
                <w:szCs w:val="18"/>
              </w:rPr>
            </w:pPr>
            <w:r>
              <w:rPr>
                <w:rFonts w:hint="eastAsia"/>
                <w:b/>
                <w:sz w:val="18"/>
                <w:szCs w:val="18"/>
              </w:rPr>
              <w:t>个人投资者适用</w:t>
            </w:r>
          </w:p>
        </w:tc>
        <w:tc>
          <w:tcPr>
            <w:tcW w:w="7371" w:type="dxa"/>
          </w:tcPr>
          <w:p w14:paraId="3E86806F">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61F50D34">
            <w:pPr>
              <w:spacing w:line="360" w:lineRule="auto"/>
              <w:ind w:firstLine="361"/>
              <w:jc w:val="left"/>
              <w:rPr>
                <w:b/>
                <w:sz w:val="18"/>
                <w:szCs w:val="18"/>
              </w:rPr>
            </w:pPr>
          </w:p>
          <w:p w14:paraId="7E45A390">
            <w:pPr>
              <w:spacing w:line="360" w:lineRule="auto"/>
              <w:ind w:firstLine="360"/>
              <w:jc w:val="left"/>
              <w:rPr>
                <w:sz w:val="18"/>
                <w:szCs w:val="18"/>
              </w:rPr>
            </w:pPr>
            <w:r>
              <w:rPr>
                <w:rFonts w:hint="eastAsia"/>
                <w:sz w:val="18"/>
                <w:szCs w:val="18"/>
              </w:rPr>
              <w:t>日期：</w:t>
            </w:r>
          </w:p>
        </w:tc>
      </w:tr>
      <w:tr w14:paraId="7E3211C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4D753418">
            <w:pPr>
              <w:spacing w:line="360" w:lineRule="auto"/>
              <w:jc w:val="left"/>
              <w:rPr>
                <w:b/>
                <w:sz w:val="18"/>
                <w:szCs w:val="18"/>
              </w:rPr>
            </w:pPr>
            <w:r>
              <w:rPr>
                <w:rFonts w:hint="eastAsia"/>
                <w:b/>
                <w:sz w:val="18"/>
                <w:szCs w:val="18"/>
              </w:rPr>
              <w:t>机构投资者适用</w:t>
            </w:r>
          </w:p>
        </w:tc>
        <w:tc>
          <w:tcPr>
            <w:tcW w:w="7371" w:type="dxa"/>
          </w:tcPr>
          <w:p w14:paraId="26CD1DE7">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44ADB079">
            <w:pPr>
              <w:tabs>
                <w:tab w:val="left" w:pos="5609"/>
              </w:tabs>
              <w:spacing w:line="360" w:lineRule="auto"/>
              <w:ind w:firstLine="360"/>
              <w:jc w:val="left"/>
              <w:rPr>
                <w:rFonts w:cs="Arial"/>
                <w:sz w:val="18"/>
                <w:szCs w:val="18"/>
              </w:rPr>
            </w:pPr>
            <w:r>
              <w:rPr>
                <w:rFonts w:cs="Arial"/>
                <w:sz w:val="18"/>
                <w:szCs w:val="18"/>
              </w:rPr>
              <w:tab/>
            </w:r>
          </w:p>
          <w:p w14:paraId="2E3CA955">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3E155CD2">
            <w:pPr>
              <w:spacing w:line="360" w:lineRule="auto"/>
              <w:ind w:firstLine="360"/>
              <w:jc w:val="left"/>
              <w:rPr>
                <w:sz w:val="18"/>
                <w:szCs w:val="18"/>
              </w:rPr>
            </w:pPr>
            <w:r>
              <w:rPr>
                <w:rFonts w:hint="eastAsia"/>
                <w:sz w:val="18"/>
                <w:szCs w:val="18"/>
              </w:rPr>
              <w:t>日期：</w:t>
            </w:r>
          </w:p>
        </w:tc>
      </w:tr>
    </w:tbl>
    <w:p w14:paraId="3E2A43BE">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025646ED">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C49FB">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C7F3A">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1A1E414E">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8103ED3"/>
    <w:rsid w:val="0944308A"/>
    <w:rsid w:val="0BE22C8C"/>
    <w:rsid w:val="0C023D8C"/>
    <w:rsid w:val="0E94232E"/>
    <w:rsid w:val="0F1306D5"/>
    <w:rsid w:val="10134CDE"/>
    <w:rsid w:val="11295396"/>
    <w:rsid w:val="12432CFD"/>
    <w:rsid w:val="15DC4082"/>
    <w:rsid w:val="163E2FB7"/>
    <w:rsid w:val="166E1476"/>
    <w:rsid w:val="18435CDA"/>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81F4786"/>
    <w:rsid w:val="28D02A86"/>
    <w:rsid w:val="29026D00"/>
    <w:rsid w:val="2A0E468C"/>
    <w:rsid w:val="2A642791"/>
    <w:rsid w:val="2AF97B0C"/>
    <w:rsid w:val="2B590E2A"/>
    <w:rsid w:val="2DE32243"/>
    <w:rsid w:val="2EA644DF"/>
    <w:rsid w:val="2FB532A0"/>
    <w:rsid w:val="2FE14D58"/>
    <w:rsid w:val="2FEB7CCF"/>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B1847B1"/>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6715772"/>
    <w:rsid w:val="57BD5DAE"/>
    <w:rsid w:val="598B567E"/>
    <w:rsid w:val="5BA577EB"/>
    <w:rsid w:val="5C624734"/>
    <w:rsid w:val="5FE91ABC"/>
    <w:rsid w:val="60D42826"/>
    <w:rsid w:val="628E734C"/>
    <w:rsid w:val="656B1A72"/>
    <w:rsid w:val="6580603B"/>
    <w:rsid w:val="65984D97"/>
    <w:rsid w:val="68B96EA7"/>
    <w:rsid w:val="68C7223A"/>
    <w:rsid w:val="68EF6886"/>
    <w:rsid w:val="691F5BB5"/>
    <w:rsid w:val="694A7300"/>
    <w:rsid w:val="699457CF"/>
    <w:rsid w:val="69BE3E24"/>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3557</Words>
  <Characters>20276</Characters>
  <Lines>168</Lines>
  <Paragraphs>47</Paragraphs>
  <TotalTime>0</TotalTime>
  <ScaleCrop>false</ScaleCrop>
  <LinksUpToDate>false</LinksUpToDate>
  <CharactersWithSpaces>23786</CharactersWithSpaces>
  <Application>WPS Office_12.1.0.24655_F1E327BC-269C-435d-A152-05C5408002CA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2026-03-23T10:26:28Z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E7753498575549C58E5916A0AC4FD49A_13</vt:lpwstr>
  </property>
</Properties>
</file>