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permStart w:id="0" w:edGrp="everyone"/>
      <w:r>
        <w:rPr>
          <w:rStyle w:val="27"/>
          <w:rFonts w:hint="eastAsia" w:ascii="黑体" w:hAnsi="黑体" w:eastAsia="黑体"/>
          <w:sz w:val="44"/>
          <w:szCs w:val="44"/>
          <w:lang w:eastAsia="zh-CN"/>
        </w:rPr>
        <w:t>【兴银理财稳利恒盈封闭式2026年226期固收类理财产品】</w:t>
      </w:r>
      <w:permEnd w:id="0"/>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【2026】年【3】月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permStart w:id="2" w:edGrp="everyone"/>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中国工商银行股份有限公司（以下简称“工商银行”）。工商银行成立于1984年，于1998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4"/>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【兴银理财稳利恒盈封闭式2026年226期固收类理财产品】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【兴银理财稳利恒盈封闭式2026年226期固收类理财产品】</w:t>
      </w:r>
      <w:permEnd w:id="5"/>
      <w:r>
        <w:rPr>
          <w:rFonts w:hint="eastAsia" w:asciiTheme="majorEastAsia" w:hAnsiTheme="majorEastAsia" w:eastAsiaTheme="majorEastAsia"/>
          <w:bCs/>
          <w:sz w:val="18"/>
          <w:szCs w:val="18"/>
        </w:rPr>
        <w:t>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【兴银理财稳利恒盈封闭式2026年226期固收类理财产品】</w:t>
      </w:r>
      <w:permEnd w:id="6"/>
      <w:r>
        <w:rPr>
          <w:rFonts w:hint="eastAsia" w:asciiTheme="majorEastAsia" w:hAnsiTheme="majorEastAsia" w:eastAsiaTheme="majorEastAsia"/>
          <w:bCs/>
          <w:sz w:val="18"/>
          <w:szCs w:val="18"/>
        </w:rPr>
        <w:t>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【兴银理财稳利恒盈封闭式2026年226期固收类理财产品】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【兴银理财稳利恒盈封闭式2026年226期固收类理财产品】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【兴银理财稳利恒盈封闭式2026年226期固收类理财产品】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【兴银理财稳利恒盈封闭式2026年226期固收类理财产品】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【兴银理财稳利恒盈封闭式2026年226期固收类理财产品】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【兴银理财稳利恒盈封闭式2026年226期固收类理财产品】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jc w:val="left"/>
              <w:rPr>
                <w:rFonts w:ascii="宋体" w:hAnsi="宋体"/>
                <w:bCs/>
                <w:sz w:val="18"/>
                <w:szCs w:val="18"/>
              </w:rPr>
            </w:pPr>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兴银理财稳利恒盈封闭式2026年226期固收类理财产品</w:t>
            </w:r>
            <w:r>
              <w:rPr>
                <w:rFonts w:hint="eastAsia" w:asciiTheme="majorEastAsia" w:hAnsiTheme="majorEastAsia" w:eastAsiaTheme="majorEastAsia"/>
                <w:bCs/>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ascii="宋体" w:hAnsi="宋体"/>
                <w:kern w:val="0"/>
                <w:sz w:val="22"/>
              </w:rPr>
            </w:pPr>
            <w:r>
              <w:rPr>
                <w:rFonts w:ascii="宋体" w:hAnsi="宋体" w:eastAsia="宋体" w:cs="宋体"/>
                <w:sz w:val="18"/>
              </w:rPr>
              <w:t>【稳利恒盈封闭式2026年226期A】 (适用【A】类份额)</w:t>
            </w:r>
            <w:r>
              <w:rPr>
                <w:rFonts w:ascii="宋体" w:hAnsi="宋体" w:eastAsia="宋体" w:cs="宋体"/>
                <w:sz w:val="18"/>
              </w:rPr>
              <w:br w:type="textWrapping"/>
            </w:r>
            <w:r>
              <w:rPr>
                <w:rFonts w:ascii="宋体" w:hAnsi="宋体" w:eastAsia="宋体" w:cs="宋体"/>
                <w:sz w:val="18"/>
              </w:rPr>
              <w:t>【稳利恒盈封闭式2026年226期B】 (适用【B】类份额)</w:t>
            </w:r>
            <w:r>
              <w:rPr>
                <w:rFonts w:ascii="宋体" w:hAnsi="宋体" w:eastAsia="宋体" w:cs="宋体"/>
                <w:sz w:val="18"/>
              </w:rPr>
              <w:br w:type="textWrapping"/>
            </w:r>
            <w:r>
              <w:rPr>
                <w:rFonts w:ascii="宋体" w:hAnsi="宋体" w:eastAsia="宋体" w:cs="宋体"/>
                <w:sz w:val="18"/>
              </w:rPr>
              <w:t>【稳利恒盈封闭式2026年226期C】 (适用【C】类份额)</w:t>
            </w:r>
            <w:r>
              <w:rPr>
                <w:rFonts w:ascii="宋体" w:hAnsi="宋体" w:eastAsia="宋体" w:cs="宋体"/>
                <w:sz w:val="18"/>
              </w:rPr>
              <w:br w:type="textWrapping"/>
            </w:r>
            <w:r>
              <w:rPr>
                <w:rFonts w:ascii="宋体" w:hAnsi="宋体" w:eastAsia="宋体" w:cs="宋体"/>
                <w:sz w:val="18"/>
              </w:rPr>
              <w:t>【稳利恒盈封闭式2026年226期D】 (适用【D】类份额)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【Z7002026000365】</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9N262260】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Ansi="宋体"/>
                <w:sz w:val="18"/>
                <w:szCs w:val="18"/>
              </w:rPr>
            </w:pPr>
            <w:r>
              <w:rPr>
                <w:rFonts w:ascii="宋体" w:hAnsi="宋体" w:eastAsia="宋体" w:cs="宋体"/>
                <w:sz w:val="18"/>
              </w:rPr>
              <w:t>【9N26226A】 (适用【A】类份额)</w:t>
            </w:r>
            <w:r>
              <w:rPr>
                <w:rFonts w:ascii="宋体" w:hAnsi="宋体" w:eastAsia="宋体" w:cs="宋体"/>
                <w:sz w:val="18"/>
              </w:rPr>
              <w:br w:type="textWrapping"/>
            </w:r>
            <w:r>
              <w:rPr>
                <w:rFonts w:ascii="宋体" w:hAnsi="宋体" w:eastAsia="宋体" w:cs="宋体"/>
                <w:sz w:val="18"/>
              </w:rPr>
              <w:t>【9N26226B】 (适用【B】类份额)</w:t>
            </w:r>
            <w:r>
              <w:rPr>
                <w:rFonts w:ascii="宋体" w:hAnsi="宋体" w:eastAsia="宋体" w:cs="宋体"/>
                <w:sz w:val="18"/>
              </w:rPr>
              <w:br w:type="textWrapping"/>
            </w:r>
            <w:r>
              <w:rPr>
                <w:rFonts w:ascii="宋体" w:hAnsi="宋体" w:eastAsia="宋体" w:cs="宋体"/>
                <w:sz w:val="18"/>
              </w:rPr>
              <w:t>【9N26226C】 (适用【C】类份额)</w:t>
            </w:r>
            <w:r>
              <w:rPr>
                <w:rFonts w:ascii="宋体" w:hAnsi="宋体" w:eastAsia="宋体" w:cs="宋体"/>
                <w:sz w:val="18"/>
              </w:rPr>
              <w:br w:type="textWrapping"/>
            </w:r>
            <w:r>
              <w:rPr>
                <w:rFonts w:ascii="宋体" w:hAnsi="宋体" w:eastAsia="宋体" w:cs="宋体"/>
                <w:sz w:val="18"/>
              </w:rPr>
              <w:t>【9N26226D】 (适用【D】类份额)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r>
              <w:rPr>
                <w:rFonts w:ascii="宋体" w:hAnsi="宋体" w:eastAsia="宋体" w:cs="宋体"/>
                <w:sz w:val="18"/>
              </w:rPr>
              <w:t>(适用【A</w:t>
            </w:r>
            <w:r>
              <w:rPr>
                <w:rFonts w:hint="eastAsia" w:ascii="宋体" w:hAnsi="宋体" w:cs="宋体"/>
                <w:sz w:val="18"/>
                <w:lang w:val="en-US" w:eastAsia="zh-CN"/>
              </w:rPr>
              <w:t>/B/C/D</w:t>
            </w:r>
            <w:r>
              <w:rPr>
                <w:rFonts w:ascii="宋体" w:hAnsi="宋体" w:eastAsia="宋体" w:cs="宋体"/>
                <w:sz w:val="18"/>
              </w:rPr>
              <w:t>】类份额)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宋体" w:hAnsi="宋体"/>
                <w:bCs/>
                <w:sz w:val="18"/>
                <w:szCs w:val="18"/>
                <w:lang w:bidi="ar"/>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中国工商银行股份有限公司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规模为【5】亿元，最小成立规模为【/】亿元。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■有固定期限:【715天】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【2026年03月30日】【09:00】至【2026年04月13日】【17:00】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【2026年04月14日】（遇节假日顺延）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【2028年03月29日】（遇节假日顺延）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ascii="宋体" w:hAnsi="宋体" w:eastAsia="宋体" w:cs="宋体"/>
                <w:sz w:val="18"/>
              </w:rPr>
              <w:t>每笔购买起点金额为【1】元; 超出起点金额的部分以【0.01】元的整数倍递增。（适用【A】类份额)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超出起点金额的部分以【0.01】元的整数倍递增。（适用【B】类份额)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超出起点金额的部分以【0.01】元的整数倍递增。（适用【C】类份额)</w:t>
            </w:r>
            <w:r>
              <w:rPr>
                <w:rFonts w:ascii="宋体" w:hAnsi="宋体" w:eastAsia="宋体" w:cs="宋体"/>
                <w:sz w:val="18"/>
              </w:rPr>
              <w:br w:type="textWrapping"/>
            </w:r>
            <w:r>
              <w:rPr>
                <w:rFonts w:ascii="宋体" w:hAnsi="宋体" w:eastAsia="宋体" w:cs="宋体"/>
                <w:sz w:val="18"/>
              </w:rPr>
              <w:t>每笔购买起点金额为【1】元; 超出起点金额的部分以【0.01】元的整数倍递增。（适用【D】类份额)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 xml:space="preserve">     单一投资者认购上限为【/】元。（适用【B】类份额)</w:t>
            </w:r>
            <w:r>
              <w:rPr>
                <w:rFonts w:ascii="宋体" w:hAnsi="宋体" w:eastAsia="宋体" w:cs="宋体"/>
                <w:sz w:val="18"/>
              </w:rPr>
              <w:br w:type="textWrapping"/>
            </w:r>
            <w:r>
              <w:rPr>
                <w:rFonts w:ascii="宋体" w:hAnsi="宋体" w:eastAsia="宋体" w:cs="宋体"/>
                <w:sz w:val="18"/>
              </w:rPr>
              <w:t xml:space="preserve">     单一投资者认购上限为【/】元。（适用【C】类份额)</w:t>
            </w:r>
            <w:r>
              <w:rPr>
                <w:rFonts w:ascii="宋体" w:hAnsi="宋体" w:eastAsia="宋体" w:cs="宋体"/>
                <w:sz w:val="18"/>
              </w:rPr>
              <w:br w:type="textWrapping"/>
            </w:r>
            <w:r>
              <w:rPr>
                <w:rFonts w:ascii="宋体" w:hAnsi="宋体" w:eastAsia="宋体" w:cs="宋体"/>
                <w:sz w:val="18"/>
              </w:rPr>
              <w:t xml:space="preserve">     单一投资者认购上限为【/】元。（适用【D】类份额)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产品存续期间，单一投资者最高持有份额上限为【/】份，符合产品管理人流动性管理的稳定资金除外。（适用【B】类份额)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产品存续期间，单一投资者最高持有份额上限为【/】份，符合产品管理人流动性管理的稳定资金除外。（适用【C】类份额)</w:t>
            </w:r>
            <w:r>
              <w:rPr>
                <w:rFonts w:ascii="宋体" w:hAnsi="宋体" w:eastAsia="宋体" w:cs="宋体"/>
                <w:sz w:val="18"/>
              </w:rPr>
              <w:br w:type="textWrapping"/>
            </w:r>
            <w:r>
              <w:rPr>
                <w:rFonts w:ascii="宋体" w:hAnsi="宋体" w:eastAsia="宋体" w:cs="宋体"/>
                <w:sz w:val="18"/>
              </w:rPr>
              <w:t xml:space="preserve">     产品存续期间，单一投资者最高持有份额上限为【/】份，符合产品管理人流动性管理的稳定资金除外。（适用【D】类份额)</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Theme="minorEastAsia" w:hAnsiTheme="minorEastAsia" w:eastAsiaTheme="minorEastAsia"/>
                <w:color w:val="auto"/>
                <w:sz w:val="18"/>
                <w:szCs w:val="18"/>
              </w:rPr>
              <w:t xml:space="preserve">如需突破上限，请与产品管理人或销售机构客户经理联系。 </w:t>
            </w:r>
          </w:p>
          <w:p>
            <w:pPr>
              <w:spacing w:line="360" w:lineRule="auto"/>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（1）业绩比较基准的说明：【根据本产品各类资产的拟投资比例、资产信用利差、久期敞口以及流动性溢价，结合当前宏观环境和各类资产价格所处的位置，参考历史经验和回测结果，设定业绩基准】。</w:t>
            </w:r>
            <w:r>
              <w:rPr>
                <w:rFonts w:ascii="宋体" w:hAnsi="宋体" w:eastAsia="宋体" w:cs="宋体"/>
                <w:sz w:val="18"/>
              </w:rPr>
              <w:br w:type="textWrapping"/>
            </w:r>
            <w:r>
              <w:rPr>
                <w:rFonts w:ascii="宋体" w:hAnsi="宋体" w:eastAsia="宋体" w:cs="宋体"/>
                <w:sz w:val="18"/>
              </w:rPr>
              <w:t>（2）业绩比较基准的设定：管理人对本产品设定业绩比较基准：</w:t>
            </w:r>
            <w:r>
              <w:rPr>
                <w:rFonts w:ascii="宋体" w:hAnsi="宋体" w:eastAsia="宋体" w:cs="宋体"/>
                <w:sz w:val="18"/>
              </w:rPr>
              <w:br w:type="textWrapping"/>
            </w:r>
            <w:r>
              <w:rPr>
                <w:rFonts w:ascii="宋体" w:hAnsi="宋体" w:eastAsia="宋体" w:cs="宋体"/>
                <w:sz w:val="18"/>
              </w:rPr>
              <w:t>年化【2.55%-3.55%】。（适用【A】类份额)</w:t>
            </w:r>
            <w:r>
              <w:rPr>
                <w:rFonts w:ascii="宋体" w:hAnsi="宋体" w:eastAsia="宋体" w:cs="宋体"/>
                <w:sz w:val="18"/>
              </w:rPr>
              <w:br w:type="textWrapping"/>
            </w:r>
            <w:r>
              <w:rPr>
                <w:rFonts w:ascii="宋体" w:hAnsi="宋体" w:eastAsia="宋体" w:cs="宋体"/>
                <w:sz w:val="18"/>
              </w:rPr>
              <w:t>年化【2.5%-3.5%】。（适用【B】类份额)</w:t>
            </w:r>
            <w:r>
              <w:rPr>
                <w:rFonts w:ascii="宋体" w:hAnsi="宋体" w:eastAsia="宋体" w:cs="宋体"/>
                <w:sz w:val="18"/>
              </w:rPr>
              <w:br w:type="textWrapping"/>
            </w:r>
            <w:r>
              <w:rPr>
                <w:rFonts w:ascii="宋体" w:hAnsi="宋体" w:eastAsia="宋体" w:cs="宋体"/>
                <w:sz w:val="18"/>
              </w:rPr>
              <w:t>年化【2.4%-3.4%】。（适用【C】类份额)</w:t>
            </w:r>
            <w:r>
              <w:rPr>
                <w:rFonts w:ascii="宋体" w:hAnsi="宋体" w:eastAsia="宋体" w:cs="宋体"/>
                <w:sz w:val="18"/>
              </w:rPr>
              <w:br w:type="textWrapping"/>
            </w:r>
            <w:r>
              <w:rPr>
                <w:rFonts w:ascii="宋体" w:hAnsi="宋体" w:eastAsia="宋体" w:cs="宋体"/>
                <w:sz w:val="18"/>
              </w:rPr>
              <w:t>年化【2.3%-3.3%】。（适用【D】类份额)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w:t>
            </w:r>
            <w:r>
              <w:rPr>
                <w:rFonts w:ascii="宋体" w:hAnsi="宋体" w:eastAsia="宋体" w:cs="宋体"/>
                <w:sz w:val="18"/>
              </w:rPr>
              <w:br w:type="textWrapping"/>
            </w:r>
            <w:r>
              <w:rPr>
                <w:rFonts w:ascii="宋体" w:hAnsi="宋体" w:eastAsia="宋体" w:cs="宋体"/>
                <w:sz w:val="18"/>
              </w:rPr>
              <w:t>年化【3.05%】。（适用【A】类份额)</w:t>
            </w:r>
            <w:r>
              <w:rPr>
                <w:rFonts w:ascii="宋体" w:hAnsi="宋体" w:eastAsia="宋体" w:cs="宋体"/>
                <w:sz w:val="18"/>
              </w:rPr>
              <w:br w:type="textWrapping"/>
            </w:r>
            <w:r>
              <w:rPr>
                <w:rFonts w:ascii="宋体" w:hAnsi="宋体" w:eastAsia="宋体" w:cs="宋体"/>
                <w:sz w:val="18"/>
              </w:rPr>
              <w:t>年化【3%】。（适用【B】类份额)</w:t>
            </w:r>
            <w:r>
              <w:rPr>
                <w:rFonts w:ascii="宋体" w:hAnsi="宋体" w:eastAsia="宋体" w:cs="宋体"/>
                <w:sz w:val="18"/>
              </w:rPr>
              <w:br w:type="textWrapping"/>
            </w:r>
            <w:r>
              <w:rPr>
                <w:rFonts w:ascii="宋体" w:hAnsi="宋体" w:eastAsia="宋体" w:cs="宋体"/>
                <w:sz w:val="18"/>
              </w:rPr>
              <w:t>年化【2.9%】。（适用【C】类份额)</w:t>
            </w:r>
            <w:r>
              <w:rPr>
                <w:rFonts w:ascii="宋体" w:hAnsi="宋体" w:eastAsia="宋体" w:cs="宋体"/>
                <w:sz w:val="18"/>
              </w:rPr>
              <w:br w:type="textWrapping"/>
            </w:r>
            <w:r>
              <w:rPr>
                <w:rFonts w:ascii="宋体" w:hAnsi="宋体" w:eastAsia="宋体" w:cs="宋体"/>
                <w:sz w:val="18"/>
              </w:rPr>
              <w:t>年化【2.8%】。（适用【D】类份额)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w:t>
            </w:r>
            <w:r>
              <w:rPr>
                <w:rFonts w:ascii="黑体" w:hAnsi="黑体" w:eastAsia="黑体" w:cs="黑体"/>
                <w:sz w:val="18"/>
              </w:rPr>
              <w:br w:type="textWrapping"/>
            </w:r>
            <w:r>
              <w:rPr>
                <w:rFonts w:ascii="黑体" w:hAnsi="黑体" w:eastAsia="黑体" w:cs="黑体"/>
                <w:sz w:val="18"/>
              </w:rPr>
              <w:t>【/】。（适用【A】类份额）</w:t>
            </w:r>
            <w:r>
              <w:rPr>
                <w:rFonts w:ascii="黑体" w:hAnsi="黑体" w:eastAsia="黑体" w:cs="黑体"/>
                <w:sz w:val="18"/>
              </w:rPr>
              <w:br w:type="textWrapping"/>
            </w:r>
            <w:r>
              <w:rPr>
                <w:rFonts w:ascii="黑体" w:hAnsi="黑体" w:eastAsia="黑体" w:cs="黑体"/>
                <w:sz w:val="18"/>
              </w:rPr>
              <w:t>【/】。（适用【B】类份额）</w:t>
            </w:r>
            <w:r>
              <w:rPr>
                <w:rFonts w:ascii="黑体" w:hAnsi="黑体" w:eastAsia="黑体" w:cs="黑体"/>
                <w:sz w:val="18"/>
              </w:rPr>
              <w:br w:type="textWrapping"/>
            </w:r>
            <w:r>
              <w:rPr>
                <w:rFonts w:ascii="黑体" w:hAnsi="黑体" w:eastAsia="黑体" w:cs="黑体"/>
                <w:sz w:val="18"/>
              </w:rPr>
              <w:t>【/】。（适用【C】类份额）</w:t>
            </w:r>
            <w:r>
              <w:rPr>
                <w:rFonts w:ascii="黑体" w:hAnsi="黑体" w:eastAsia="黑体" w:cs="黑体"/>
                <w:sz w:val="18"/>
              </w:rPr>
              <w:br w:type="textWrapping"/>
            </w:r>
            <w:r>
              <w:rPr>
                <w:rFonts w:ascii="黑体" w:hAnsi="黑体" w:eastAsia="黑体" w:cs="黑体"/>
                <w:sz w:val="18"/>
              </w:rPr>
              <w:t>【/】。（适用【D】类份额）</w:t>
            </w:r>
            <w:r>
              <w:rPr>
                <w:rFonts w:ascii="黑体" w:hAnsi="黑体" w:eastAsia="黑体" w:cs="黑体"/>
                <w:sz w:val="18"/>
              </w:rPr>
              <w:br w:type="textWrapping"/>
            </w:r>
            <w:r>
              <w:rPr>
                <w:rFonts w:ascii="黑体" w:hAnsi="黑体" w:eastAsia="黑体" w:cs="黑体"/>
                <w:sz w:val="18"/>
              </w:rPr>
              <w:t>（2）销售服务费：</w:t>
            </w:r>
            <w:r>
              <w:rPr>
                <w:rFonts w:ascii="黑体" w:hAnsi="黑体" w:eastAsia="黑体" w:cs="黑体"/>
                <w:sz w:val="18"/>
              </w:rPr>
              <w:br w:type="textWrapping"/>
            </w:r>
            <w:r>
              <w:rPr>
                <w:rFonts w:ascii="黑体" w:hAnsi="黑体" w:eastAsia="黑体" w:cs="黑体"/>
                <w:sz w:val="18"/>
              </w:rPr>
              <w:t>年化费率【0.05%】。（适用【A】类份额）</w:t>
            </w:r>
            <w:r>
              <w:rPr>
                <w:rFonts w:ascii="黑体" w:hAnsi="黑体" w:eastAsia="黑体" w:cs="黑体"/>
                <w:sz w:val="18"/>
              </w:rPr>
              <w:br w:type="textWrapping"/>
            </w:r>
            <w:r>
              <w:rPr>
                <w:rFonts w:ascii="黑体" w:hAnsi="黑体" w:eastAsia="黑体" w:cs="黑体"/>
                <w:sz w:val="18"/>
              </w:rPr>
              <w:t>年化费率【0.1%】。（适用【B】类份额）</w:t>
            </w:r>
            <w:r>
              <w:rPr>
                <w:rFonts w:ascii="黑体" w:hAnsi="黑体" w:eastAsia="黑体" w:cs="黑体"/>
                <w:sz w:val="18"/>
              </w:rPr>
              <w:br w:type="textWrapping"/>
            </w:r>
            <w:r>
              <w:rPr>
                <w:rFonts w:ascii="黑体" w:hAnsi="黑体" w:eastAsia="黑体" w:cs="黑体"/>
                <w:sz w:val="18"/>
              </w:rPr>
              <w:t>年化费率【0.2%】。（适用【C】类份额）</w:t>
            </w:r>
            <w:r>
              <w:rPr>
                <w:rFonts w:ascii="黑体" w:hAnsi="黑体" w:eastAsia="黑体" w:cs="黑体"/>
                <w:sz w:val="18"/>
              </w:rPr>
              <w:br w:type="textWrapping"/>
            </w:r>
            <w:r>
              <w:rPr>
                <w:rFonts w:ascii="黑体" w:hAnsi="黑体" w:eastAsia="黑体" w:cs="黑体"/>
                <w:sz w:val="18"/>
              </w:rPr>
              <w:t>年化费率【0.3%】。（适用【D】类份额）</w:t>
            </w:r>
            <w:r>
              <w:rPr>
                <w:rFonts w:ascii="黑体" w:hAnsi="黑体" w:eastAsia="黑体" w:cs="黑体"/>
                <w:sz w:val="18"/>
              </w:rPr>
              <w:br w:type="textWrapping"/>
            </w:r>
            <w:r>
              <w:rPr>
                <w:rFonts w:ascii="黑体" w:hAnsi="黑体" w:eastAsia="黑体" w:cs="黑体"/>
                <w:sz w:val="18"/>
              </w:rPr>
              <w:t>（3）投资管理费：年化费率【0.05%】</w:t>
            </w:r>
            <w:r>
              <w:rPr>
                <w:rFonts w:ascii="黑体" w:hAnsi="黑体" w:eastAsia="黑体" w:cs="黑体"/>
                <w:sz w:val="18"/>
              </w:rPr>
              <w:br w:type="textWrapping"/>
            </w:r>
            <w:r>
              <w:rPr>
                <w:rFonts w:ascii="黑体" w:hAnsi="黑体" w:eastAsia="黑体" w:cs="黑体"/>
                <w:sz w:val="18"/>
              </w:rPr>
              <w:t>（4）产品托管费：年化费率【0.02%】</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50%】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4065741"/>
      <w:bookmarkStart w:id="12" w:name="_Toc29948"/>
      <w:bookmarkStart w:id="13" w:name="_Toc15203"/>
      <w:bookmarkStart w:id="14" w:name="_Toc90742321"/>
      <w:bookmarkStart w:id="15" w:name="_Toc27226"/>
      <w:bookmarkStart w:id="16" w:name="_Toc3266"/>
      <w:bookmarkStart w:id="17" w:name="_Toc16265"/>
      <w:bookmarkStart w:id="18" w:name="_Toc90742390"/>
      <w:bookmarkStart w:id="19" w:name="_Toc7151"/>
      <w:bookmarkStart w:id="20" w:name="_Toc90742688"/>
      <w:bookmarkStart w:id="21" w:name="_Toc27189"/>
      <w:bookmarkStart w:id="22" w:name="_Toc6714"/>
      <w:bookmarkStart w:id="23" w:name="_Toc22074"/>
      <w:bookmarkStart w:id="24" w:name="_Toc79154668"/>
      <w:bookmarkStart w:id="25" w:name="_Toc2978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4"/>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4"/>
        <w:spacing w:line="360" w:lineRule="auto"/>
        <w:ind w:firstLine="540" w:firstLineChars="3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p>
    <w:p>
      <w:pPr>
        <w:pStyle w:val="34"/>
        <w:spacing w:line="360" w:lineRule="auto"/>
        <w:ind w:firstLine="540" w:firstLineChars="300"/>
        <w:rPr>
          <w:rFonts w:ascii="宋体" w:hAnsi="宋体" w:eastAsia="宋体" w:cs="宋体"/>
          <w:sz w:val="18"/>
        </w:rPr>
      </w:pPr>
      <w:r>
        <w:rPr>
          <w:rFonts w:ascii="宋体" w:hAnsi="宋体" w:eastAsia="宋体" w:cs="宋体"/>
          <w:sz w:val="18"/>
        </w:rPr>
        <w:t>（3）以套期保值为目的的国债期货、利率互换、信用风险缓释工具、债券借贷。</w:t>
      </w:r>
    </w:p>
    <w:p>
      <w:pPr>
        <w:pStyle w:val="34"/>
        <w:spacing w:line="360" w:lineRule="auto"/>
        <w:ind w:firstLine="540" w:firstLineChars="300"/>
        <w:rPr>
          <w:rFonts w:hint="eastAsia" w:asciiTheme="majorEastAsia" w:hAnsiTheme="majorEastAsia" w:eastAsiaTheme="majorEastAsia"/>
          <w:bCs/>
          <w:color w:val="auto"/>
          <w:sz w:val="18"/>
          <w:szCs w:val="18"/>
          <w:lang w:eastAsia="zh-CN"/>
        </w:rPr>
      </w:pP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4"/>
        <w:spacing w:line="360" w:lineRule="auto"/>
        <w:ind w:left="537" w:leftChars="170" w:hanging="180" w:hangingChars="100"/>
        <w:jc w:val="both"/>
        <w:rPr>
          <w:rFonts w:hint="eastAsia" w:asciiTheme="majorEastAsia" w:hAnsiTheme="majorEastAsia" w:eastAsiaTheme="majorEastAsia"/>
          <w:bCs/>
          <w:sz w:val="18"/>
          <w:szCs w:val="18"/>
          <w:lang w:eastAsia="zh-CN"/>
        </w:rPr>
      </w:pPr>
      <w:permStart w:id="16" w:edGrp="everyone"/>
      <w:r>
        <w:rPr>
          <w:rFonts w:ascii="宋体" w:hAnsi="宋体" w:eastAsia="宋体" w:cs="宋体"/>
          <w:sz w:val="18"/>
        </w:rPr>
        <w:t>【（1）本产品投资于债权类资产的比例不低于产品总资产的90%。</w:t>
      </w:r>
      <w:r>
        <w:rPr>
          <w:rFonts w:ascii="宋体" w:hAnsi="宋体" w:eastAsia="宋体" w:cs="宋体"/>
          <w:sz w:val="18"/>
        </w:rPr>
        <w:br w:type="textWrapping"/>
      </w:r>
      <w:r>
        <w:rPr>
          <w:rFonts w:ascii="宋体" w:hAnsi="宋体" w:eastAsia="宋体" w:cs="宋体"/>
          <w:sz w:val="18"/>
        </w:rPr>
        <w:t>（2）国债期货、利率互换、信用风险缓释工具等衍生品占产品总资产比例低于5%。】</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w:t>
      </w:r>
      <w:r>
        <w:rPr>
          <w:rFonts w:asciiTheme="majorEastAsia" w:hAnsiTheme="majorEastAsia" w:eastAsiaTheme="majorEastAsia"/>
          <w:b/>
          <w:bCs/>
          <w:sz w:val="18"/>
          <w:szCs w:val="18"/>
        </w:rPr>
        <w:t>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（1）本产品投资单只证券或者单只公募证券投资基金的市值不得超过该理财产品净资产的10%。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（2）本产品管理人全部公募理财产品持有单只证券或单只公募证券投资基金的市值，不得超过该证券市值或该公募证券投资基金市值的30%。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（3）本产品管理人全部理财产品持有单一上市公司发行的股票，不得超过该上市公司可流通股票的30%。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（4）本产品管理人全部开放式公募理财产品投资单一上市公司发行的股票不得超过该上市公司可流通股票的15%。</w:t>
      </w:r>
    </w:p>
    <w:p>
      <w:pPr>
        <w:spacing w:line="360" w:lineRule="auto"/>
        <w:ind w:firstLine="360" w:firstLineChars="200"/>
        <w:rPr>
          <w:rFonts w:hint="eastAsia" w:asciiTheme="majorEastAsia" w:hAnsiTheme="majorEastAsia" w:eastAsiaTheme="majorEastAsia"/>
          <w:bCs/>
          <w:color w:val="auto"/>
          <w:sz w:val="18"/>
          <w:szCs w:val="18"/>
        </w:rPr>
      </w:pPr>
      <w:r>
        <w:rPr>
          <w:rFonts w:ascii="宋体" w:hAnsi="宋体" w:eastAsia="宋体" w:cs="宋体"/>
          <w:sz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通过对经济基本面、企业盈利、无风险利率水平、资金面等因素进行定性和定量分析，根据产品的业绩目标和回撤目标制定各个阶段产品资产投资比例。</w:t>
      </w:r>
      <w:r>
        <w:rPr>
          <w:rFonts w:hint="eastAsia" w:asciiTheme="majorEastAsia" w:hAnsiTheme="majorEastAsia" w:eastAsiaTheme="majorEastAsia"/>
          <w:sz w:val="18"/>
          <w:szCs w:val="18"/>
        </w:rPr>
        <w:t>】</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7848"/>
      <w:bookmarkStart w:id="29" w:name="_Toc14893"/>
      <w:bookmarkStart w:id="30" w:name="_Toc21988"/>
      <w:bookmarkStart w:id="31" w:name="_Toc74065742"/>
      <w:bookmarkStart w:id="32" w:name="_Toc139991735"/>
      <w:bookmarkStart w:id="33" w:name="_Toc141703885"/>
      <w:bookmarkStart w:id="34" w:name="_Toc176189758"/>
      <w:bookmarkStart w:id="35" w:name="_Toc18797"/>
      <w:bookmarkStart w:id="36" w:name="_Toc18329"/>
      <w:bookmarkStart w:id="37" w:name="_Toc4741"/>
      <w:bookmarkStart w:id="38" w:name="_Toc1823"/>
      <w:bookmarkStart w:id="39" w:name="_Toc79154669"/>
      <w:bookmarkStart w:id="40" w:name="_Toc18526"/>
      <w:bookmarkStart w:id="41" w:name="_Toc26986"/>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610"/>
      <w:bookmarkStart w:id="44" w:name="_Toc139991736"/>
      <w:bookmarkStart w:id="45" w:name="_Toc48649707"/>
      <w:bookmarkStart w:id="46" w:name="_Toc74065743"/>
      <w:bookmarkStart w:id="47" w:name="_Toc141703886"/>
      <w:bookmarkStart w:id="48" w:name="_Toc4003"/>
      <w:bookmarkStart w:id="49" w:name="_Toc1427"/>
      <w:bookmarkStart w:id="50" w:name="_Toc10463"/>
      <w:bookmarkStart w:id="51" w:name="_Toc17244"/>
      <w:bookmarkStart w:id="52" w:name="_Toc23822"/>
      <w:bookmarkStart w:id="53" w:name="_Toc176189759"/>
      <w:bookmarkStart w:id="54" w:name="_Toc20733"/>
      <w:bookmarkStart w:id="55" w:name="_Toc123051452"/>
      <w:bookmarkStart w:id="56" w:name="_Toc98560352"/>
      <w:bookmarkStart w:id="57" w:name="_Toc23261"/>
      <w:bookmarkStart w:id="58" w:name="_Toc79392606"/>
      <w:bookmarkStart w:id="59" w:name="_Toc1270"/>
      <w:bookmarkStart w:id="60" w:name="_Toc123112234"/>
      <w:bookmarkStart w:id="61" w:name="_Toc79154670"/>
      <w:bookmarkStart w:id="62" w:name="_Toc7920"/>
      <w:bookmarkStart w:id="63" w:name="_Toc12310245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29251"/>
      <w:bookmarkStart w:id="66" w:name="_Toc15143"/>
      <w:bookmarkStart w:id="67" w:name="_Toc6405"/>
      <w:bookmarkStart w:id="68" w:name="_Toc98560353"/>
      <w:bookmarkStart w:id="69" w:name="_Toc123051453"/>
      <w:bookmarkStart w:id="70" w:name="_Toc31235"/>
      <w:bookmarkStart w:id="71" w:name="_Toc31644"/>
      <w:bookmarkStart w:id="72" w:name="_Toc123112235"/>
      <w:bookmarkStart w:id="73" w:name="_Toc3601"/>
      <w:bookmarkStart w:id="74" w:name="_Toc26207"/>
      <w:bookmarkStart w:id="75" w:name="_Toc14835"/>
      <w:bookmarkStart w:id="76" w:name="_Toc79154671"/>
      <w:bookmarkStart w:id="77" w:name="_Toc31653"/>
      <w:bookmarkStart w:id="78" w:name="_Toc139991737"/>
      <w:bookmarkStart w:id="79" w:name="_Toc74065744"/>
      <w:bookmarkStart w:id="80" w:name="_Toc176189760"/>
      <w:bookmarkStart w:id="81" w:name="_Toc141703887"/>
      <w:bookmarkStart w:id="82" w:name="_Toc12245"/>
      <w:bookmarkStart w:id="83" w:name="_Toc12310245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79392580"/>
      <w:bookmarkStart w:id="86" w:name="_Toc57530239"/>
      <w:bookmarkStart w:id="87" w:name="_Toc15118234"/>
      <w:bookmarkStart w:id="88" w:name="_Toc523711668"/>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41703888"/>
      <w:bookmarkStart w:id="92" w:name="_Toc6447"/>
      <w:bookmarkStart w:id="93" w:name="_Toc4559"/>
      <w:bookmarkStart w:id="94" w:name="_Toc7058"/>
      <w:bookmarkStart w:id="95" w:name="_Toc9706"/>
      <w:bookmarkStart w:id="96" w:name="_Toc123102455"/>
      <w:bookmarkStart w:id="97" w:name="_Toc3771"/>
      <w:bookmarkStart w:id="98" w:name="_Toc25783"/>
      <w:bookmarkStart w:id="99" w:name="_Toc74065745"/>
      <w:bookmarkStart w:id="100" w:name="_Toc139991738"/>
      <w:bookmarkStart w:id="101" w:name="_Toc176189761"/>
      <w:bookmarkStart w:id="102" w:name="_Toc79392583"/>
      <w:bookmarkStart w:id="103" w:name="_Toc18567"/>
      <w:bookmarkStart w:id="104" w:name="_Toc123051454"/>
      <w:bookmarkStart w:id="105" w:name="_Toc3321"/>
      <w:bookmarkStart w:id="106" w:name="_Toc10650"/>
      <w:bookmarkStart w:id="107" w:name="_Toc123112236"/>
      <w:bookmarkStart w:id="108" w:name="_Toc11030"/>
      <w:bookmarkStart w:id="109" w:name="_Toc79154672"/>
      <w:bookmarkStart w:id="110" w:name="_Toc98560354"/>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4"/>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ascii="宋体" w:hAnsi="宋体" w:eastAsia="宋体" w:cs="宋体"/>
          <w:sz w:val="18"/>
        </w:rPr>
        <w:t xml:space="preserve">  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left="0" w:leftChars="0" w:firstLine="360" w:firstLineChars="200"/>
        <w:jc w:val="left"/>
        <w:rPr>
          <w:rFonts w:hint="eastAsia" w:ascii="黑体" w:hAnsi="黑体" w:eastAsia="黑体" w:cs="黑体"/>
          <w:sz w:val="18"/>
          <w:szCs w:val="18"/>
        </w:rPr>
      </w:pPr>
      <w:r>
        <w:rPr>
          <w:rFonts w:ascii="宋体" w:hAnsi="宋体" w:eastAsia="宋体" w:cs="宋体"/>
          <w:sz w:val="18"/>
        </w:rPr>
        <w:t xml:space="preserve">    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由此造成超额业绩报酬计提日产品份额净值调整的，以调整后的数值为准进行利益分配。</w:t>
      </w:r>
      <w:r>
        <w:rPr>
          <w:rFonts w:ascii="宋体" w:hAnsi="宋体" w:eastAsia="宋体" w:cs="宋体"/>
          <w:sz w:val="18"/>
        </w:rPr>
        <w:br w:type="textWrapping"/>
      </w:r>
      <w:r>
        <w:rPr>
          <w:rFonts w:ascii="宋体" w:hAnsi="宋体" w:eastAsia="宋体" w:cs="宋体"/>
          <w:sz w:val="18"/>
        </w:rPr>
        <w:t xml:space="preserve">    业绩报酬计提基准的设置、超额业绩报酬的具体比例数值以《产品说明书》“第二条 理财产品基本情况”为准。</w:t>
      </w:r>
      <w:r>
        <w:rPr>
          <w:rFonts w:ascii="宋体" w:hAnsi="宋体" w:eastAsia="宋体" w:cs="宋体"/>
          <w:sz w:val="18"/>
        </w:rPr>
        <w:br w:type="textWrapping"/>
      </w:r>
      <w:r>
        <w:rPr>
          <w:rFonts w:ascii="宋体" w:hAnsi="宋体" w:eastAsia="宋体" w:cs="宋体"/>
          <w:sz w:val="18"/>
        </w:rPr>
        <w:t xml:space="preserve">    1）收取超额业绩报酬的原则：</w:t>
      </w:r>
      <w:r>
        <w:rPr>
          <w:rFonts w:ascii="宋体" w:hAnsi="宋体" w:eastAsia="宋体" w:cs="宋体"/>
          <w:sz w:val="18"/>
        </w:rPr>
        <w:br w:type="textWrapping"/>
      </w:r>
      <w:r>
        <w:rPr>
          <w:rFonts w:ascii="宋体" w:hAnsi="宋体" w:eastAsia="宋体" w:cs="宋体"/>
          <w:sz w:val="18"/>
        </w:rPr>
        <w:t xml:space="preserve">    ①按投资者每份产品份额分别计算年化收益率并计提超额业绩报酬；</w:t>
      </w:r>
      <w:r>
        <w:rPr>
          <w:rFonts w:ascii="宋体" w:hAnsi="宋体" w:eastAsia="宋体" w:cs="宋体"/>
          <w:sz w:val="18"/>
        </w:rPr>
        <w:br w:type="textWrapping"/>
      </w:r>
      <w:r>
        <w:rPr>
          <w:rFonts w:ascii="宋体" w:hAnsi="宋体" w:eastAsia="宋体" w:cs="宋体"/>
          <w:sz w:val="18"/>
        </w:rPr>
        <w:t xml:space="preserve">    ②在超额业绩报酬计提日，本产品对符合超额业绩报酬提取条件的产品份额计提超额业绩报酬；</w:t>
      </w:r>
      <w:r>
        <w:rPr>
          <w:rFonts w:ascii="宋体" w:hAnsi="宋体" w:eastAsia="宋体" w:cs="宋体"/>
          <w:sz w:val="18"/>
        </w:rPr>
        <w:br w:type="textWrapping"/>
      </w:r>
      <w:r>
        <w:rPr>
          <w:rFonts w:ascii="宋体" w:hAnsi="宋体" w:eastAsia="宋体" w:cs="宋体"/>
          <w:sz w:val="18"/>
        </w:rPr>
        <w:t xml:space="preserve">    ③在产品终止日提取超额业绩报酬的，超额业绩报酬从清算资金中扣除；</w:t>
      </w:r>
      <w:r>
        <w:rPr>
          <w:rFonts w:ascii="宋体" w:hAnsi="宋体" w:eastAsia="宋体" w:cs="宋体"/>
          <w:sz w:val="18"/>
        </w:rPr>
        <w:br w:type="textWrapping"/>
      </w:r>
      <w:r>
        <w:rPr>
          <w:rFonts w:ascii="宋体" w:hAnsi="宋体" w:eastAsia="宋体" w:cs="宋体"/>
          <w:sz w:val="18"/>
        </w:rPr>
        <w:t xml:space="preserve">    2）超额业绩报酬计提方法</w:t>
      </w:r>
      <w:r>
        <w:rPr>
          <w:rFonts w:ascii="宋体" w:hAnsi="宋体" w:eastAsia="宋体" w:cs="宋体"/>
          <w:sz w:val="18"/>
        </w:rPr>
        <w:br w:type="textWrapping"/>
      </w:r>
      <w:r>
        <w:rPr>
          <w:rFonts w:ascii="宋体" w:hAnsi="宋体" w:eastAsia="宋体" w:cs="宋体"/>
          <w:sz w:val="18"/>
        </w:rPr>
        <w:t xml:space="preserve">    ①超额业绩报酬计提起始日</w:t>
      </w:r>
      <w:r>
        <w:rPr>
          <w:rFonts w:ascii="宋体" w:hAnsi="宋体" w:eastAsia="宋体" w:cs="宋体"/>
          <w:sz w:val="18"/>
        </w:rPr>
        <w:br w:type="textWrapping"/>
      </w:r>
      <w:r>
        <w:rPr>
          <w:rFonts w:ascii="宋体" w:hAnsi="宋体" w:eastAsia="宋体" w:cs="宋体"/>
          <w:sz w:val="18"/>
        </w:rPr>
        <w:t xml:space="preserve">    每份产品份额超额业绩报酬计提起始日为：募集期内认购的产品份额，以产品成立日为该份产品份额超额业绩报酬计提起始日。</w:t>
      </w:r>
      <w:r>
        <w:rPr>
          <w:rFonts w:ascii="宋体" w:hAnsi="宋体" w:eastAsia="宋体" w:cs="宋体"/>
          <w:sz w:val="18"/>
        </w:rPr>
        <w:br w:type="textWrapping"/>
      </w:r>
      <w:r>
        <w:rPr>
          <w:rFonts w:ascii="宋体" w:hAnsi="宋体" w:eastAsia="宋体" w:cs="宋体"/>
          <w:sz w:val="18"/>
        </w:rPr>
        <w:t xml:space="preserve">    ②超额业绩报酬计提日</w:t>
      </w:r>
      <w:r>
        <w:rPr>
          <w:rFonts w:ascii="宋体" w:hAnsi="宋体" w:eastAsia="宋体" w:cs="宋体"/>
          <w:sz w:val="18"/>
        </w:rPr>
        <w:br w:type="textWrapping"/>
      </w:r>
      <w:r>
        <w:rPr>
          <w:rFonts w:ascii="宋体" w:hAnsi="宋体" w:eastAsia="宋体" w:cs="宋体"/>
          <w:sz w:val="18"/>
        </w:rPr>
        <w:t xml:space="preserve">    每份产品份额超额业绩报酬每日计提，产品终止日结算。</w:t>
      </w:r>
      <w:r>
        <w:rPr>
          <w:rFonts w:ascii="宋体" w:hAnsi="宋体" w:eastAsia="宋体" w:cs="宋体"/>
          <w:sz w:val="18"/>
        </w:rPr>
        <w:br w:type="textWrapping"/>
      </w:r>
      <w:r>
        <w:rPr>
          <w:rFonts w:ascii="宋体" w:hAnsi="宋体" w:eastAsia="宋体" w:cs="宋体"/>
          <w:sz w:val="18"/>
        </w:rPr>
        <w:t xml:space="preserve">    ③超额业绩报酬的计算</w:t>
      </w:r>
      <w:r>
        <w:rPr>
          <w:rFonts w:ascii="宋体" w:hAnsi="宋体" w:eastAsia="宋体" w:cs="宋体"/>
          <w:sz w:val="18"/>
        </w:rPr>
        <w:br w:type="textWrapping"/>
      </w:r>
      <w:r>
        <w:rPr>
          <w:rFonts w:ascii="宋体" w:hAnsi="宋体" w:eastAsia="宋体" w:cs="宋体"/>
          <w:sz w:val="18"/>
        </w:rPr>
        <w:t xml:space="preserve">    产品管理人对每份份额当前年化收益率（R）超过当前业绩报酬计提基准的部分，按比例（N）以及产品份额持有天数（D）提取超额业绩报酬，计算方法如下：</w:t>
      </w:r>
      <w:r>
        <w:rPr>
          <w:rFonts w:ascii="宋体" w:hAnsi="宋体" w:eastAsia="宋体" w:cs="宋体"/>
          <w:sz w:val="18"/>
        </w:rPr>
        <w:br w:type="textWrapping"/>
      </w:r>
      <w:r>
        <w:rPr>
          <w:rFonts w:ascii="宋体" w:hAnsi="宋体" w:eastAsia="宋体" w:cs="宋体"/>
          <w:sz w:val="18"/>
        </w:rPr>
        <w:t xml:space="preserve">    当R≤当前业绩报酬计提基准，超额业绩报酬=0；</w:t>
      </w:r>
      <w:r>
        <w:rPr>
          <w:rFonts w:ascii="宋体" w:hAnsi="宋体" w:eastAsia="宋体" w:cs="宋体"/>
          <w:sz w:val="18"/>
        </w:rPr>
        <w:br w:type="textWrapping"/>
      </w:r>
      <w:r>
        <w:rPr>
          <w:rFonts w:ascii="宋体" w:hAnsi="宋体" w:eastAsia="宋体" w:cs="宋体"/>
          <w:sz w:val="18"/>
        </w:rPr>
        <w:t xml:space="preserve">    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4"/>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4"/>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31821"/>
      <w:bookmarkStart w:id="114" w:name="_Toc123051455"/>
      <w:bookmarkStart w:id="115" w:name="_Toc21735"/>
      <w:bookmarkStart w:id="116" w:name="_Toc16164"/>
      <w:bookmarkStart w:id="117" w:name="_Toc176189762"/>
      <w:bookmarkStart w:id="118" w:name="_Toc141703889"/>
      <w:bookmarkStart w:id="119" w:name="_Toc10398"/>
      <w:bookmarkStart w:id="120" w:name="_Toc3572"/>
      <w:bookmarkStart w:id="121" w:name="_Toc725"/>
      <w:bookmarkStart w:id="122" w:name="_Toc139991739"/>
      <w:bookmarkStart w:id="123" w:name="_Toc79154673"/>
      <w:bookmarkStart w:id="124" w:name="_Toc74065746"/>
      <w:bookmarkStart w:id="125" w:name="_Toc123112237"/>
      <w:bookmarkStart w:id="126" w:name="_Toc123102456"/>
      <w:bookmarkStart w:id="127" w:name="_Toc3080"/>
      <w:bookmarkStart w:id="128" w:name="_Toc18206"/>
      <w:bookmarkStart w:id="129" w:name="_Toc985603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4065747"/>
      <w:bookmarkStart w:id="134" w:name="_Toc3329"/>
      <w:bookmarkStart w:id="135" w:name="_Toc141703890"/>
      <w:bookmarkStart w:id="136" w:name="_Toc17920"/>
      <w:bookmarkStart w:id="137" w:name="_Toc98560356"/>
      <w:bookmarkStart w:id="138" w:name="_Toc79154674"/>
      <w:bookmarkStart w:id="139" w:name="_Toc48649708"/>
      <w:bookmarkStart w:id="140" w:name="_Toc32092"/>
      <w:bookmarkStart w:id="141" w:name="_Toc139991740"/>
      <w:bookmarkStart w:id="142" w:name="_Toc8791"/>
      <w:bookmarkStart w:id="143" w:name="_Toc17198"/>
      <w:bookmarkStart w:id="144" w:name="_Toc32584"/>
      <w:bookmarkStart w:id="145" w:name="_Toc123112238"/>
      <w:bookmarkStart w:id="146" w:name="_Toc5170"/>
      <w:bookmarkStart w:id="147" w:name="_Toc739"/>
      <w:bookmarkStart w:id="148" w:name="_Toc79392622"/>
      <w:bookmarkStart w:id="149" w:name="_Toc29408"/>
      <w:bookmarkStart w:id="150" w:name="_Toc123051456"/>
      <w:bookmarkStart w:id="151" w:name="_Toc21237"/>
      <w:bookmarkStart w:id="152" w:name="_Toc176189763"/>
      <w:bookmarkStart w:id="153" w:name="_Toc123102457"/>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26"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bookmarkStart w:id="156" w:name="_GoBack"/>
      <w:bookmarkEnd w:id="156"/>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2493985"/>
    <w:rsid w:val="0356786B"/>
    <w:rsid w:val="03841BC8"/>
    <w:rsid w:val="046E31C1"/>
    <w:rsid w:val="056C4F65"/>
    <w:rsid w:val="05883C21"/>
    <w:rsid w:val="05B437EC"/>
    <w:rsid w:val="05B80C59"/>
    <w:rsid w:val="06F4696E"/>
    <w:rsid w:val="07245E56"/>
    <w:rsid w:val="072779FF"/>
    <w:rsid w:val="0BE22C8C"/>
    <w:rsid w:val="0C023D8C"/>
    <w:rsid w:val="0CA40EC4"/>
    <w:rsid w:val="0E94232E"/>
    <w:rsid w:val="0F1306D5"/>
    <w:rsid w:val="10134CDE"/>
    <w:rsid w:val="11295396"/>
    <w:rsid w:val="12432CFD"/>
    <w:rsid w:val="15DC4082"/>
    <w:rsid w:val="163E2FB7"/>
    <w:rsid w:val="18435CDA"/>
    <w:rsid w:val="1A48157B"/>
    <w:rsid w:val="1ABE2ED9"/>
    <w:rsid w:val="1B063B77"/>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9C4BEA"/>
    <w:rsid w:val="3283538E"/>
    <w:rsid w:val="3360504C"/>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A3241BC"/>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8746388"/>
    <w:rsid w:val="598B567E"/>
    <w:rsid w:val="5BA577EB"/>
    <w:rsid w:val="5C624734"/>
    <w:rsid w:val="5E2025EF"/>
    <w:rsid w:val="5FE91ABC"/>
    <w:rsid w:val="60D42826"/>
    <w:rsid w:val="628E734C"/>
    <w:rsid w:val="656B1A72"/>
    <w:rsid w:val="6580603B"/>
    <w:rsid w:val="68B96EA7"/>
    <w:rsid w:val="68C7223A"/>
    <w:rsid w:val="68EF6886"/>
    <w:rsid w:val="691F5BB5"/>
    <w:rsid w:val="694A7300"/>
    <w:rsid w:val="699457CF"/>
    <w:rsid w:val="6D9767D9"/>
    <w:rsid w:val="6FDD1093"/>
    <w:rsid w:val="709C0126"/>
    <w:rsid w:val="70D35CA6"/>
    <w:rsid w:val="712F05BE"/>
    <w:rsid w:val="72473609"/>
    <w:rsid w:val="73EB7F47"/>
    <w:rsid w:val="76022652"/>
    <w:rsid w:val="768501BE"/>
    <w:rsid w:val="76B466CC"/>
    <w:rsid w:val="76C8601E"/>
    <w:rsid w:val="7831779D"/>
    <w:rsid w:val="794E1781"/>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38</Pages>
  <Words>3557</Words>
  <Characters>20276</Characters>
  <Lines>168</Lines>
  <Paragraphs>47</Paragraphs>
  <TotalTime>0</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2026-03-20T10:06:48Z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E7753498575549C58E5916A0AC4FD49A_13</vt:lpwstr>
  </property>
</Properties>
</file>