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480"/>
        <w:jc w:val="center"/>
        <w:rPr>
          <w:rFonts w:ascii="仿宋_GB2312" w:hAnsi="宋体" w:eastAsia="仿宋_GB2312"/>
          <w:b/>
          <w:bCs/>
          <w:sz w:val="28"/>
          <w:szCs w:val="28"/>
        </w:rPr>
      </w:pPr>
      <w:r>
        <w:rPr>
          <w:rFonts w:hint="eastAsia" w:ascii="仿宋_GB2312" w:hAnsi="宋体" w:eastAsia="仿宋_GB2312"/>
          <w:b/>
          <w:bCs/>
          <w:sz w:val="28"/>
          <w:szCs w:val="28"/>
        </w:rPr>
        <w:t>代理销售理财产品要素表和代销费率</w:t>
      </w:r>
    </w:p>
    <w:tbl>
      <w:tblPr>
        <w:tblStyle w:val="7"/>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3"/>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产品名称</w:t>
            </w:r>
          </w:p>
        </w:tc>
        <w:tc>
          <w:tcPr>
            <w:tcW w:w="6095" w:type="dxa"/>
            <w:vAlign w:val="center"/>
          </w:tcPr>
          <w:p>
            <w:pPr>
              <w:spacing w:line="320" w:lineRule="exact"/>
              <w:jc w:val="both"/>
              <w:rPr>
                <w:rFonts w:hint="default" w:ascii="仿宋_GB2312" w:hAnsi="仿宋" w:eastAsia="仿宋_GB2312"/>
                <w:bCs/>
                <w:kern w:val="0"/>
                <w:sz w:val="20"/>
                <w:szCs w:val="21"/>
                <w:lang w:val="en-US" w:eastAsia="zh-CN"/>
              </w:rPr>
            </w:pPr>
            <w:r>
              <w:rPr>
                <w:rFonts w:hint="eastAsia" w:ascii="楷体" w:hAnsi="楷体" w:eastAsia="楷体" w:cs="宋体"/>
                <w:spacing w:val="-2"/>
                <w:sz w:val="20"/>
                <w:szCs w:val="20"/>
                <w:lang w:val="en-US" w:eastAsia="zh-CN"/>
              </w:rPr>
              <w:t>苏银理财启源货币14号</w:t>
            </w:r>
            <w:r>
              <w:rPr>
                <w:rFonts w:hint="eastAsia" w:ascii="楷体" w:hAnsi="楷体" w:eastAsia="楷体" w:cs="宋体"/>
                <w:spacing w:val="-2"/>
                <w:sz w:val="20"/>
                <w:szCs w:val="20"/>
                <w:lang w:val="en-US" w:eastAsia="zh-CN"/>
              </w:rPr>
              <w:br w:type="textWrapping"/>
            </w:r>
            <w:r>
              <w:rPr>
                <w:rFonts w:hint="eastAsia" w:ascii="楷体" w:hAnsi="楷体" w:eastAsia="楷体" w:cs="宋体"/>
                <w:spacing w:val="-2"/>
                <w:sz w:val="20"/>
                <w:szCs w:val="20"/>
                <w:lang w:val="en-US" w:eastAsia="zh-CN"/>
              </w:rPr>
              <w:t>JS鑫福款份额：苏银理财启源货币14号JS鑫福款/J16048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理财信息登记系统</w:t>
            </w:r>
          </w:p>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产品编码</w:t>
            </w:r>
          </w:p>
        </w:tc>
        <w:tc>
          <w:tcPr>
            <w:tcW w:w="6095" w:type="dxa"/>
            <w:vAlign w:val="center"/>
          </w:tcPr>
          <w:p>
            <w:pPr>
              <w:spacing w:line="320" w:lineRule="exact"/>
              <w:jc w:val="both"/>
              <w:rPr>
                <w:rFonts w:ascii="仿宋_GB2312" w:hAnsi="仿宋" w:eastAsia="仿宋_GB2312"/>
                <w:kern w:val="0"/>
                <w:sz w:val="20"/>
                <w:szCs w:val="21"/>
              </w:rPr>
            </w:pPr>
            <w:r>
              <w:rPr>
                <w:rFonts w:hint="eastAsia" w:ascii="楷体" w:hAnsi="楷体" w:eastAsia="楷体" w:cs="宋体"/>
                <w:spacing w:val="-2"/>
                <w:sz w:val="20"/>
                <w:szCs w:val="20"/>
                <w:lang w:val="en-US" w:eastAsia="zh-CN"/>
              </w:rPr>
              <w:t>Z7003125000203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产品类型</w:t>
            </w:r>
          </w:p>
        </w:tc>
        <w:tc>
          <w:tcPr>
            <w:tcW w:w="6095" w:type="dxa"/>
            <w:vAlign w:val="center"/>
          </w:tcPr>
          <w:p>
            <w:pPr>
              <w:spacing w:line="320" w:lineRule="exact"/>
              <w:jc w:val="both"/>
              <w:rPr>
                <w:rFonts w:ascii="仿宋_GB2312" w:hAnsi="仿宋" w:eastAsia="仿宋_GB2312"/>
                <w:kern w:val="0"/>
                <w:sz w:val="20"/>
                <w:szCs w:val="21"/>
              </w:rPr>
            </w:pPr>
            <w:r>
              <w:rPr>
                <w:rFonts w:hint="eastAsia" w:ascii="楷体" w:hAnsi="楷体" w:eastAsia="楷体" w:cs="宋体"/>
                <w:spacing w:val="-2"/>
                <w:sz w:val="20"/>
                <w:szCs w:val="20"/>
                <w:lang w:val="en-US" w:eastAsia="zh-CN"/>
              </w:rPr>
              <w:t>固定收益类、公募、开放式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募集期/开放期</w:t>
            </w:r>
          </w:p>
        </w:tc>
        <w:tc>
          <w:tcPr>
            <w:tcW w:w="6095" w:type="dxa"/>
            <w:vAlign w:val="center"/>
          </w:tcPr>
          <w:p>
            <w:pPr>
              <w:spacing w:line="320" w:lineRule="exact"/>
              <w:jc w:val="both"/>
              <w:rPr>
                <w:rFonts w:ascii="仿宋_GB2312" w:hAnsi="仿宋" w:eastAsia="仿宋_GB2312"/>
                <w:bCs/>
                <w:kern w:val="0"/>
                <w:sz w:val="20"/>
                <w:szCs w:val="21"/>
              </w:rPr>
            </w:pPr>
            <w:r>
              <w:rPr>
                <w:rFonts w:hint="eastAsia" w:ascii="楷体" w:hAnsi="楷体" w:eastAsia="楷体" w:cs="宋体"/>
                <w:spacing w:val="-2"/>
                <w:sz w:val="20"/>
                <w:szCs w:val="20"/>
                <w:lang w:val="en-US" w:eastAsia="zh-CN"/>
              </w:rPr>
              <w:t>2026年3月11日至2026年3月11日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成立日/份额确认日</w:t>
            </w:r>
          </w:p>
        </w:tc>
        <w:tc>
          <w:tcPr>
            <w:tcW w:w="6095" w:type="dxa"/>
            <w:vAlign w:val="center"/>
          </w:tcPr>
          <w:p>
            <w:pPr>
              <w:spacing w:line="320" w:lineRule="exact"/>
              <w:jc w:val="both"/>
              <w:rPr>
                <w:rFonts w:ascii="仿宋_GB2312" w:hAnsi="仿宋" w:eastAsia="仿宋_GB2312"/>
                <w:kern w:val="0"/>
                <w:sz w:val="20"/>
                <w:szCs w:val="21"/>
              </w:rPr>
            </w:pPr>
            <w:r>
              <w:rPr>
                <w:rFonts w:hint="eastAsia" w:ascii="楷体" w:hAnsi="楷体" w:eastAsia="楷体" w:cs="宋体"/>
                <w:spacing w:val="-2"/>
                <w:sz w:val="20"/>
                <w:szCs w:val="20"/>
                <w:lang w:val="en-US" w:eastAsia="zh-CN"/>
              </w:rPr>
              <w:t>2026年3月12日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到期日</w:t>
            </w:r>
          </w:p>
        </w:tc>
        <w:tc>
          <w:tcPr>
            <w:tcW w:w="6095" w:type="dxa"/>
            <w:vAlign w:val="center"/>
          </w:tcPr>
          <w:p>
            <w:pPr>
              <w:spacing w:line="320" w:lineRule="exact"/>
              <w:jc w:val="both"/>
              <w:rPr>
                <w:rFonts w:ascii="仿宋_GB2312" w:hAnsi="仿宋" w:eastAsia="仿宋_GB2312"/>
                <w:kern w:val="0"/>
                <w:sz w:val="20"/>
                <w:szCs w:val="21"/>
              </w:rPr>
            </w:pPr>
            <w:r>
              <w:rPr>
                <w:rFonts w:hint="eastAsia" w:ascii="楷体" w:hAnsi="楷体" w:eastAsia="楷体" w:cs="宋体"/>
                <w:spacing w:val="-2"/>
                <w:sz w:val="20"/>
                <w:szCs w:val="20"/>
                <w:lang w:val="en-US" w:eastAsia="zh-CN"/>
              </w:rPr>
              <w:t>2035年12月27日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存续期限</w:t>
            </w:r>
          </w:p>
        </w:tc>
        <w:tc>
          <w:tcPr>
            <w:tcW w:w="6095" w:type="dxa"/>
            <w:vAlign w:val="center"/>
          </w:tcPr>
          <w:p>
            <w:pPr>
              <w:spacing w:line="320" w:lineRule="exact"/>
              <w:jc w:val="both"/>
              <w:rPr>
                <w:rFonts w:ascii="仿宋_GB2312" w:hAnsi="仿宋" w:eastAsia="仿宋_GB2312"/>
                <w:kern w:val="0"/>
                <w:sz w:val="20"/>
                <w:szCs w:val="21"/>
              </w:rPr>
            </w:pPr>
            <w:r>
              <w:rPr>
                <w:rFonts w:hint="eastAsia" w:ascii="楷体" w:hAnsi="楷体" w:eastAsia="楷体" w:cs="宋体"/>
                <w:spacing w:val="-2"/>
                <w:sz w:val="20"/>
                <w:szCs w:val="20"/>
                <w:lang w:val="en-US" w:eastAsia="zh-CN"/>
              </w:rPr>
              <w:t>3577天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投资起点</w:t>
            </w:r>
          </w:p>
        </w:tc>
        <w:tc>
          <w:tcPr>
            <w:tcW w:w="6095" w:type="dxa"/>
            <w:vAlign w:val="center"/>
          </w:tcPr>
          <w:p>
            <w:pPr>
              <w:spacing w:line="320" w:lineRule="exact"/>
              <w:jc w:val="both"/>
              <w:rPr>
                <w:rFonts w:hint="eastAsia" w:ascii="仿宋_GB2312" w:hAnsi="仿宋" w:eastAsia="仿宋_GB2312"/>
                <w:bCs/>
                <w:kern w:val="0"/>
                <w:sz w:val="20"/>
                <w:szCs w:val="21"/>
              </w:rPr>
            </w:pPr>
            <w:r>
              <w:rPr>
                <w:rFonts w:hint="eastAsia" w:ascii="楷体" w:hAnsi="楷体" w:eastAsia="楷体" w:cs="宋体"/>
                <w:spacing w:val="-2"/>
                <w:sz w:val="20"/>
                <w:szCs w:val="20"/>
                <w:lang w:val="en-US" w:eastAsia="zh-CN"/>
              </w:rPr>
              <w:t>认购起点0.01元，追加金额为0.01元的整数倍。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销售规模</w:t>
            </w:r>
          </w:p>
        </w:tc>
        <w:tc>
          <w:tcPr>
            <w:tcW w:w="6095" w:type="dxa"/>
            <w:vAlign w:val="center"/>
          </w:tcPr>
          <w:p>
            <w:pPr>
              <w:spacing w:line="320" w:lineRule="exact"/>
              <w:jc w:val="both"/>
              <w:rPr>
                <w:rFonts w:ascii="仿宋_GB2312" w:hAnsi="仿宋" w:eastAsia="仿宋_GB2312"/>
                <w:kern w:val="0"/>
                <w:sz w:val="20"/>
                <w:szCs w:val="21"/>
              </w:rPr>
            </w:pPr>
            <w:r>
              <w:rPr>
                <w:rFonts w:hint="eastAsia" w:ascii="楷体" w:hAnsi="楷体" w:eastAsia="楷体"/>
                <w:sz w:val="20"/>
                <w:szCs w:val="20"/>
                <w:lang w:val="en-US" w:eastAsia="zh-CN"/>
              </w:rPr>
              <w:t>管理人可依据产品及市场情况对额度进行调整并及时与销售机构进行沟通，具体额度以管理人实际释放为准。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投资范围</w:t>
            </w:r>
          </w:p>
        </w:tc>
        <w:tc>
          <w:tcPr>
            <w:tcW w:w="6095" w:type="dxa"/>
            <w:vAlign w:val="center"/>
          </w:tcPr>
          <w:p>
            <w:pPr>
              <w:spacing w:line="320" w:lineRule="exact"/>
              <w:jc w:val="both"/>
              <w:rPr>
                <w:rFonts w:ascii="仿宋_GB2312" w:hAnsi="仿宋" w:eastAsia="仿宋_GB2312"/>
                <w:bCs/>
                <w:kern w:val="0"/>
                <w:sz w:val="20"/>
                <w:szCs w:val="21"/>
              </w:rPr>
            </w:pPr>
            <w:r>
              <w:rPr>
                <w:rFonts w:hint="eastAsia" w:ascii="楷体" w:hAnsi="楷体" w:eastAsia="楷体" w:cs="宋体"/>
                <w:spacing w:val="-2"/>
                <w:sz w:val="20"/>
                <w:szCs w:val="20"/>
                <w:lang w:val="en-US" w:eastAsia="zh-CN"/>
              </w:rPr>
              <w:t>本理财产品将募集资金100%投资于法律法规及银行业监督管理机构允许投资的金融工具，包括现金；期限在一年以内（含一年）的银行存款、债券回购、中央银行票据、同业存单；剩余期限在397天以内（含397天）的债券、在银行间市场和证券交易所市场发行的资产支持证券，以及银行业监督管理机构认可的其他具有良好流动性的货币市场工具。管理人可直接或间接通过各类资管计划投资于上述资产。</w:t>
            </w:r>
            <w:r>
              <w:rPr>
                <w:rFonts w:hint="eastAsia" w:ascii="楷体" w:hAnsi="楷体" w:eastAsia="楷体" w:cs="宋体"/>
                <w:spacing w:val="-2"/>
                <w:sz w:val="20"/>
                <w:szCs w:val="20"/>
                <w:lang w:val="en-US" w:eastAsia="zh-CN"/>
              </w:rPr>
              <w:cr/>
            </w:r>
            <w:r>
              <w:rPr>
                <w:rFonts w:hint="eastAsia" w:ascii="楷体" w:hAnsi="楷体" w:eastAsia="楷体" w:cs="宋体"/>
                <w:spacing w:val="-2"/>
                <w:sz w:val="20"/>
                <w:szCs w:val="20"/>
                <w:lang w:val="en-US" w:eastAsia="zh-CN"/>
              </w:rPr>
              <w:br w:type="textWrapping"/>
            </w:r>
            <w:r>
              <w:rPr>
                <w:rFonts w:hint="eastAsia" w:ascii="楷体" w:hAnsi="楷体" w:eastAsia="楷体" w:cs="宋体"/>
                <w:spacing w:val="-2"/>
                <w:sz w:val="20"/>
                <w:szCs w:val="20"/>
                <w:lang w:val="en-US" w:eastAsia="zh-CN"/>
              </w:rPr>
              <w:t>非因管理人主观因素导致突破前述比例限制的，管理人将在流动性受限资产可出售、可转让或者恢复交易的15个交易日内调整至符合相关要求。相关法律法规和监管部门对以上投资范围和配置比例有另行规定的，按照监管最新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风险评级</w:t>
            </w:r>
          </w:p>
        </w:tc>
        <w:tc>
          <w:tcPr>
            <w:tcW w:w="6095" w:type="dxa"/>
            <w:vAlign w:val="center"/>
          </w:tcPr>
          <w:p>
            <w:pPr>
              <w:spacing w:line="320" w:lineRule="exact"/>
              <w:jc w:val="both"/>
              <w:rPr>
                <w:rFonts w:hint="eastAsia" w:ascii="仿宋_GB2312" w:hAnsi="仿宋" w:eastAsia="仿宋_GB2312"/>
                <w:bCs/>
                <w:kern w:val="0"/>
                <w:sz w:val="20"/>
                <w:szCs w:val="21"/>
              </w:rPr>
            </w:pPr>
            <w:r>
              <w:rPr>
                <w:rFonts w:hint="eastAsia" w:ascii="楷体" w:hAnsi="楷体" w:eastAsia="楷体" w:cs="宋体"/>
                <w:spacing w:val="-2"/>
                <w:sz w:val="20"/>
                <w:szCs w:val="20"/>
                <w:lang w:val="en-US" w:eastAsia="zh-CN"/>
              </w:rPr>
              <w:t>一级（低风险）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hint="default" w:ascii="仿宋_GB2312" w:hAnsi="仿宋" w:eastAsia="仿宋_GB2312"/>
                <w:b/>
                <w:kern w:val="0"/>
                <w:sz w:val="20"/>
                <w:szCs w:val="21"/>
                <w:lang w:val="en-US" w:eastAsia="zh-CN"/>
              </w:rPr>
            </w:pPr>
            <w:r>
              <w:rPr>
                <w:rFonts w:hint="eastAsia" w:ascii="仿宋_GB2312" w:hAnsi="仿宋" w:eastAsia="仿宋_GB2312"/>
                <w:b/>
                <w:kern w:val="0"/>
                <w:sz w:val="20"/>
                <w:szCs w:val="21"/>
              </w:rPr>
              <w:t>代销服务费率</w:t>
            </w:r>
            <w:r>
              <w:rPr>
                <w:rFonts w:hint="eastAsia" w:ascii="仿宋_GB2312" w:hAnsi="仿宋" w:eastAsia="仿宋_GB2312"/>
                <w:b/>
                <w:kern w:val="0"/>
                <w:sz w:val="20"/>
                <w:szCs w:val="21"/>
                <w:lang w:val="en-US" w:eastAsia="zh-CN"/>
              </w:rPr>
              <w:t>及生效时间</w:t>
            </w:r>
          </w:p>
        </w:tc>
        <w:tc>
          <w:tcPr>
            <w:tcW w:w="6095" w:type="dxa"/>
            <w:vAlign w:val="center"/>
          </w:tcPr>
          <w:p>
            <w:pPr>
              <w:spacing w:line="320" w:lineRule="exact"/>
              <w:jc w:val="both"/>
              <w:rPr>
                <w:rFonts w:hint="eastAsia" w:ascii="楷体" w:hAnsi="楷体" w:eastAsia="楷体" w:cs="宋体"/>
                <w:spacing w:val="-2"/>
                <w:sz w:val="20"/>
                <w:szCs w:val="20"/>
                <w:lang w:val="en-US" w:eastAsia="zh-CN"/>
              </w:rPr>
            </w:pPr>
            <w:r>
              <w:rPr>
                <w:rFonts w:hint="eastAsia" w:ascii="楷体" w:hAnsi="楷体" w:eastAsia="楷体" w:cs="宋体"/>
                <w:spacing w:val="-2"/>
                <w:sz w:val="20"/>
                <w:szCs w:val="20"/>
                <w:lang w:val="en-US" w:eastAsia="zh-CN"/>
              </w:rPr>
              <w:t>JS鑫福款份额:0.1%年</w:t>
            </w:r>
          </w:p>
          <w:p>
            <w:pPr>
              <w:spacing w:line="320" w:lineRule="exact"/>
              <w:jc w:val="both"/>
              <w:rPr>
                <w:rFonts w:hint="eastAsia" w:ascii="楷体" w:hAnsi="楷体" w:eastAsia="楷体" w:cs="宋体"/>
                <w:spacing w:val="-2"/>
                <w:sz w:val="20"/>
                <w:szCs w:val="20"/>
                <w:lang w:val="en-US" w:eastAsia="zh-CN"/>
              </w:rPr>
            </w:pPr>
            <w:r>
              <w:rPr>
                <w:rFonts w:hint="eastAsia" w:ascii="楷体" w:hAnsi="楷体" w:eastAsia="楷体" w:cs="宋体"/>
                <w:spacing w:val="-2"/>
                <w:sz w:val="20"/>
                <w:szCs w:val="20"/>
                <w:lang w:val="en-US" w:eastAsia="zh-CN"/>
              </w:rPr>
              <w:t>自上架销售日起执行，之后如有调整则另行约定</w:t>
            </w:r>
          </w:p>
          <w:p>
            <w:pPr>
              <w:spacing w:line="320" w:lineRule="exact"/>
              <w:jc w:val="both"/>
              <w:rPr>
                <w:rFonts w:hint="eastAsia" w:ascii="仿宋_GB2312" w:hAnsi="仿宋" w:eastAsia="仿宋_GB2312"/>
                <w:bCs/>
                <w:kern w:val="0"/>
                <w:sz w:val="20"/>
                <w:szCs w:val="21"/>
              </w:rPr>
            </w:pPr>
            <w:r>
              <w:rPr>
                <w:rFonts w:hint="eastAsia" w:ascii="楷体" w:hAnsi="楷体" w:eastAsia="楷体" w:cs="宋体"/>
                <w:spacing w:val="-2"/>
                <w:sz w:val="20"/>
                <w:szCs w:val="20"/>
                <w:lang w:val="en-US" w:eastAsia="zh-CN"/>
              </w:rPr>
              <w:t>如代销服务费超过销售服务费，则超出部分通过投资管理费分成进行差额补足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业绩比较基准</w:t>
            </w:r>
          </w:p>
        </w:tc>
        <w:tc>
          <w:tcPr>
            <w:tcW w:w="6095" w:type="dxa"/>
            <w:vAlign w:val="center"/>
          </w:tcPr>
          <w:p>
            <w:pPr>
              <w:spacing w:line="320" w:lineRule="exact"/>
              <w:jc w:val="both"/>
              <w:rPr>
                <w:rFonts w:hint="default" w:ascii="仿宋_GB2312" w:hAnsi="仿宋" w:eastAsia="仿宋_GB2312"/>
                <w:bCs/>
                <w:kern w:val="0"/>
                <w:sz w:val="20"/>
                <w:szCs w:val="21"/>
                <w:lang w:val="en-US" w:eastAsia="zh-CN"/>
              </w:rPr>
            </w:pPr>
            <w:r>
              <w:rPr>
                <w:rFonts w:hint="eastAsia" w:ascii="楷体" w:hAnsi="楷体" w:eastAsia="楷体" w:cs="宋体"/>
                <w:spacing w:val="-2"/>
                <w:sz w:val="20"/>
                <w:szCs w:val="20"/>
                <w:lang w:val="en-US" w:eastAsia="zh-CN"/>
              </w:rPr>
              <w:t>中国人民银行公布的7天通知存款利率，2026年3月12日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3" w:type="dxa"/>
            <w:vAlign w:val="center"/>
          </w:tcPr>
          <w:p>
            <w:pPr>
              <w:spacing w:line="320" w:lineRule="exact"/>
              <w:jc w:val="both"/>
              <w:rPr>
                <w:rFonts w:ascii="仿宋_GB2312" w:hAnsi="仿宋" w:eastAsia="仿宋_GB2312"/>
                <w:b/>
                <w:kern w:val="0"/>
                <w:sz w:val="20"/>
                <w:szCs w:val="21"/>
              </w:rPr>
            </w:pPr>
            <w:r>
              <w:rPr>
                <w:rFonts w:hint="eastAsia" w:ascii="仿宋_GB2312" w:hAnsi="仿宋" w:eastAsia="仿宋_GB2312"/>
                <w:b/>
                <w:kern w:val="0"/>
                <w:sz w:val="20"/>
                <w:szCs w:val="21"/>
              </w:rPr>
              <w:t>理财产品资金募集账户</w:t>
            </w:r>
          </w:p>
        </w:tc>
        <w:tc>
          <w:tcPr>
            <w:tcW w:w="6095" w:type="dxa"/>
            <w:vAlign w:val="center"/>
          </w:tcPr>
          <w:p>
            <w:pPr>
              <w:spacing w:line="320" w:lineRule="exact"/>
              <w:jc w:val="both"/>
              <w:rPr>
                <w:rFonts w:ascii="仿宋_GB2312" w:hAnsi="仿宋" w:eastAsia="仿宋_GB2312"/>
                <w:kern w:val="0"/>
                <w:sz w:val="20"/>
                <w:szCs w:val="21"/>
              </w:rPr>
            </w:pPr>
            <w:r>
              <w:rPr>
                <w:rFonts w:hint="eastAsia" w:ascii="楷体" w:hAnsi="楷体" w:eastAsia="楷体"/>
                <w:sz w:val="20"/>
                <w:szCs w:val="20"/>
                <w:lang w:val="en-US" w:eastAsia="zh-CN"/>
              </w:rPr>
              <w:t>户名：苏银理财有限责任公司</w:t>
            </w:r>
            <w:r>
              <w:rPr>
                <w:rFonts w:hint="eastAsia" w:ascii="楷体" w:hAnsi="楷体" w:eastAsia="楷体"/>
                <w:sz w:val="20"/>
                <w:szCs w:val="20"/>
                <w:lang w:val="en-US" w:eastAsia="zh-CN"/>
              </w:rPr>
              <w:br w:type="textWrapping"/>
            </w:r>
            <w:r>
              <w:rPr>
                <w:rFonts w:hint="eastAsia" w:ascii="楷体" w:hAnsi="楷体" w:eastAsia="楷体"/>
                <w:sz w:val="20"/>
                <w:szCs w:val="20"/>
                <w:lang w:val="en-US" w:eastAsia="zh-CN"/>
              </w:rPr>
              <w:t>开户行：江苏银行南京河西支行</w:t>
            </w:r>
            <w:r>
              <w:rPr>
                <w:rFonts w:hint="eastAsia" w:ascii="楷体" w:hAnsi="楷体" w:eastAsia="楷体"/>
                <w:sz w:val="20"/>
                <w:szCs w:val="20"/>
                <w:lang w:val="en-US" w:eastAsia="zh-CN"/>
              </w:rPr>
              <w:br w:type="textWrapping"/>
            </w:r>
            <w:r>
              <w:rPr>
                <w:rFonts w:hint="eastAsia" w:ascii="楷体" w:hAnsi="楷体" w:eastAsia="楷体"/>
                <w:sz w:val="20"/>
                <w:szCs w:val="20"/>
                <w:lang w:val="en-US" w:eastAsia="zh-CN"/>
              </w:rPr>
              <w:t>账号：31120188000183568</w:t>
            </w:r>
            <w:r>
              <w:rPr>
                <w:rFonts w:hint="eastAsia" w:ascii="楷体" w:hAnsi="楷体" w:eastAsia="楷体"/>
                <w:sz w:val="20"/>
                <w:szCs w:val="20"/>
                <w:lang w:val="en-US" w:eastAsia="zh-CN"/>
              </w:rPr>
              <w:br w:type="textWrapping"/>
            </w:r>
            <w:r>
              <w:rPr>
                <w:rFonts w:hint="eastAsia" w:ascii="楷体" w:hAnsi="楷体" w:eastAsia="楷体"/>
                <w:sz w:val="20"/>
                <w:szCs w:val="20"/>
                <w:lang w:val="en-US" w:eastAsia="zh-CN"/>
              </w:rPr>
              <w:t>大额支付系统行号：313301098112</w:t>
            </w:r>
            <w:r>
              <w:rPr>
                <w:rFonts w:hint="eastAsia" w:ascii="楷体" w:hAnsi="楷体" w:eastAsia="楷体"/>
                <w:sz w:val="20"/>
                <w:szCs w:val="20"/>
                <w:lang w:val="en-US" w:eastAsia="zh-CN"/>
              </w:rPr>
              <w:br w:type="textWrapping"/>
            </w:r>
            <w:r>
              <w:rPr>
                <w:rFonts w:hint="eastAsia" w:ascii="楷体" w:hAnsi="楷体" w:eastAsia="楷体"/>
                <w:sz w:val="20"/>
                <w:szCs w:val="20"/>
                <w:lang w:val="en-US" w:eastAsia="zh-CN"/>
              </w:rPr>
              <w:t>请将客户购买资金划付至理财产品资金募集账户。</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0Y2ZkZmYwOGI2NjMyN2Y1MGRkN2I1N2YzNTFiODUifQ=="/>
  </w:docVars>
  <w:rsids>
    <w:rsidRoot w:val="002A2567"/>
    <w:rsid w:val="00010F42"/>
    <w:rsid w:val="000113E6"/>
    <w:rsid w:val="00052377"/>
    <w:rsid w:val="00057434"/>
    <w:rsid w:val="00065392"/>
    <w:rsid w:val="000E38DB"/>
    <w:rsid w:val="000E6CFF"/>
    <w:rsid w:val="00101AA4"/>
    <w:rsid w:val="00114388"/>
    <w:rsid w:val="00170593"/>
    <w:rsid w:val="00176281"/>
    <w:rsid w:val="002148AC"/>
    <w:rsid w:val="0024209E"/>
    <w:rsid w:val="0025550A"/>
    <w:rsid w:val="00275F5B"/>
    <w:rsid w:val="0028562B"/>
    <w:rsid w:val="00293B10"/>
    <w:rsid w:val="002A2567"/>
    <w:rsid w:val="002B7653"/>
    <w:rsid w:val="002E6FED"/>
    <w:rsid w:val="0032647D"/>
    <w:rsid w:val="00333333"/>
    <w:rsid w:val="0046135D"/>
    <w:rsid w:val="004B7FB0"/>
    <w:rsid w:val="004E33D0"/>
    <w:rsid w:val="004E5080"/>
    <w:rsid w:val="0056072C"/>
    <w:rsid w:val="005760D9"/>
    <w:rsid w:val="005961EE"/>
    <w:rsid w:val="005B5166"/>
    <w:rsid w:val="005E2815"/>
    <w:rsid w:val="00630DB3"/>
    <w:rsid w:val="00632197"/>
    <w:rsid w:val="006362A9"/>
    <w:rsid w:val="00664413"/>
    <w:rsid w:val="00684268"/>
    <w:rsid w:val="0069230F"/>
    <w:rsid w:val="006A5CBD"/>
    <w:rsid w:val="006A65E8"/>
    <w:rsid w:val="006B27D0"/>
    <w:rsid w:val="006C193C"/>
    <w:rsid w:val="006C5EBB"/>
    <w:rsid w:val="00711FD3"/>
    <w:rsid w:val="007170EE"/>
    <w:rsid w:val="00727ACF"/>
    <w:rsid w:val="0076761C"/>
    <w:rsid w:val="00770137"/>
    <w:rsid w:val="00784AB7"/>
    <w:rsid w:val="007A6607"/>
    <w:rsid w:val="007B0D4C"/>
    <w:rsid w:val="007B1461"/>
    <w:rsid w:val="007B6E4B"/>
    <w:rsid w:val="007F206C"/>
    <w:rsid w:val="008328F6"/>
    <w:rsid w:val="00842F8B"/>
    <w:rsid w:val="008540BA"/>
    <w:rsid w:val="00856BF3"/>
    <w:rsid w:val="00881866"/>
    <w:rsid w:val="008D3ED6"/>
    <w:rsid w:val="009101F9"/>
    <w:rsid w:val="009A0346"/>
    <w:rsid w:val="009A1AF8"/>
    <w:rsid w:val="009E7B4C"/>
    <w:rsid w:val="00A906FA"/>
    <w:rsid w:val="00A910F5"/>
    <w:rsid w:val="00AA0947"/>
    <w:rsid w:val="00AB1D60"/>
    <w:rsid w:val="00AC583D"/>
    <w:rsid w:val="00AD2E79"/>
    <w:rsid w:val="00B02B03"/>
    <w:rsid w:val="00B1592B"/>
    <w:rsid w:val="00B319EE"/>
    <w:rsid w:val="00B413CE"/>
    <w:rsid w:val="00B83FFB"/>
    <w:rsid w:val="00BF3E58"/>
    <w:rsid w:val="00C31F29"/>
    <w:rsid w:val="00C45E8F"/>
    <w:rsid w:val="00C60226"/>
    <w:rsid w:val="00CA3C4F"/>
    <w:rsid w:val="00CC7B3A"/>
    <w:rsid w:val="00CD3F45"/>
    <w:rsid w:val="00D01AE4"/>
    <w:rsid w:val="00D05774"/>
    <w:rsid w:val="00D21E34"/>
    <w:rsid w:val="00D51886"/>
    <w:rsid w:val="00D52D58"/>
    <w:rsid w:val="00D73153"/>
    <w:rsid w:val="00DB4113"/>
    <w:rsid w:val="00DD192B"/>
    <w:rsid w:val="00DD33E2"/>
    <w:rsid w:val="00E33E54"/>
    <w:rsid w:val="00E35FF6"/>
    <w:rsid w:val="00E4703A"/>
    <w:rsid w:val="00E54B72"/>
    <w:rsid w:val="00E57EC5"/>
    <w:rsid w:val="00E826A7"/>
    <w:rsid w:val="00EA0946"/>
    <w:rsid w:val="00ED12A7"/>
    <w:rsid w:val="00ED43F9"/>
    <w:rsid w:val="00EE0A93"/>
    <w:rsid w:val="00F260DE"/>
    <w:rsid w:val="00F62F17"/>
    <w:rsid w:val="00F9419D"/>
    <w:rsid w:val="00FC400B"/>
    <w:rsid w:val="00FE7B1A"/>
    <w:rsid w:val="028A3BB2"/>
    <w:rsid w:val="03D65E86"/>
    <w:rsid w:val="046105BC"/>
    <w:rsid w:val="06401339"/>
    <w:rsid w:val="06793881"/>
    <w:rsid w:val="07B87D87"/>
    <w:rsid w:val="0A432992"/>
    <w:rsid w:val="0A903EE9"/>
    <w:rsid w:val="0AB874ED"/>
    <w:rsid w:val="0B594E14"/>
    <w:rsid w:val="0E797E2D"/>
    <w:rsid w:val="0F3777F4"/>
    <w:rsid w:val="101D0A51"/>
    <w:rsid w:val="10966C62"/>
    <w:rsid w:val="10AF1053"/>
    <w:rsid w:val="12855B59"/>
    <w:rsid w:val="13BA219D"/>
    <w:rsid w:val="13DA76BF"/>
    <w:rsid w:val="14942C64"/>
    <w:rsid w:val="164B7BB9"/>
    <w:rsid w:val="17651C94"/>
    <w:rsid w:val="17676752"/>
    <w:rsid w:val="17AE3C6A"/>
    <w:rsid w:val="1B1A77CC"/>
    <w:rsid w:val="231A4E9E"/>
    <w:rsid w:val="25811599"/>
    <w:rsid w:val="286277EF"/>
    <w:rsid w:val="287357A1"/>
    <w:rsid w:val="28D52C13"/>
    <w:rsid w:val="29981D19"/>
    <w:rsid w:val="2A1E2E0C"/>
    <w:rsid w:val="2B671A15"/>
    <w:rsid w:val="2C90490A"/>
    <w:rsid w:val="2E1D603E"/>
    <w:rsid w:val="2EA11CC6"/>
    <w:rsid w:val="2EAC638E"/>
    <w:rsid w:val="3106203F"/>
    <w:rsid w:val="33CE7DB3"/>
    <w:rsid w:val="34A824F3"/>
    <w:rsid w:val="38B65A54"/>
    <w:rsid w:val="395E53F7"/>
    <w:rsid w:val="39693A3D"/>
    <w:rsid w:val="39922C7A"/>
    <w:rsid w:val="39EE147E"/>
    <w:rsid w:val="3A1A4FF7"/>
    <w:rsid w:val="3B7641EF"/>
    <w:rsid w:val="3C8D161D"/>
    <w:rsid w:val="3C986236"/>
    <w:rsid w:val="3CC2681C"/>
    <w:rsid w:val="3E2F3672"/>
    <w:rsid w:val="3F8867C0"/>
    <w:rsid w:val="418B07BE"/>
    <w:rsid w:val="43085C7E"/>
    <w:rsid w:val="43B10892"/>
    <w:rsid w:val="43BF6278"/>
    <w:rsid w:val="44D336CE"/>
    <w:rsid w:val="46D05241"/>
    <w:rsid w:val="4A9B7F39"/>
    <w:rsid w:val="4AD60AAD"/>
    <w:rsid w:val="4BA7217E"/>
    <w:rsid w:val="4C443877"/>
    <w:rsid w:val="4CCA51C9"/>
    <w:rsid w:val="4EA96EEA"/>
    <w:rsid w:val="501657FE"/>
    <w:rsid w:val="50276B11"/>
    <w:rsid w:val="54184849"/>
    <w:rsid w:val="553C6D8A"/>
    <w:rsid w:val="555F79A1"/>
    <w:rsid w:val="57DC32AE"/>
    <w:rsid w:val="58333693"/>
    <w:rsid w:val="58EA0034"/>
    <w:rsid w:val="594A1F01"/>
    <w:rsid w:val="59960976"/>
    <w:rsid w:val="5BA40524"/>
    <w:rsid w:val="5BDA0AF0"/>
    <w:rsid w:val="5CEA03DC"/>
    <w:rsid w:val="5E551CA4"/>
    <w:rsid w:val="616131B7"/>
    <w:rsid w:val="623B0EA7"/>
    <w:rsid w:val="636A4497"/>
    <w:rsid w:val="63AB315B"/>
    <w:rsid w:val="64A23136"/>
    <w:rsid w:val="65B965B3"/>
    <w:rsid w:val="67E27E18"/>
    <w:rsid w:val="68231BCC"/>
    <w:rsid w:val="696919D6"/>
    <w:rsid w:val="6CD22065"/>
    <w:rsid w:val="6D86178F"/>
    <w:rsid w:val="6DDB2D36"/>
    <w:rsid w:val="6E2E2CFB"/>
    <w:rsid w:val="70805AE0"/>
    <w:rsid w:val="71100D86"/>
    <w:rsid w:val="714D105F"/>
    <w:rsid w:val="7297547D"/>
    <w:rsid w:val="7406301C"/>
    <w:rsid w:val="76BB67A1"/>
    <w:rsid w:val="76E56A66"/>
    <w:rsid w:val="772B227B"/>
    <w:rsid w:val="781C3771"/>
    <w:rsid w:val="7B0504E8"/>
    <w:rsid w:val="7B177F53"/>
    <w:rsid w:val="7F536D0A"/>
    <w:rsid w:val="7F8F02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240" w:lineRule="atLeast"/>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pPr>
      <w:autoSpaceDE w:val="0"/>
      <w:autoSpaceDN w:val="0"/>
      <w:adjustRightInd w:val="0"/>
      <w:spacing w:before="162"/>
      <w:ind w:left="120"/>
      <w:jc w:val="left"/>
    </w:pPr>
    <w:rPr>
      <w:rFonts w:ascii="宋体" w:hAnsi="Times New Roman"/>
      <w:kern w:val="0"/>
      <w:sz w:val="20"/>
      <w:szCs w:val="21"/>
    </w:rPr>
  </w:style>
  <w:style w:type="paragraph" w:styleId="3">
    <w:name w:val="Balloon Text"/>
    <w:basedOn w:val="1"/>
    <w:link w:val="11"/>
    <w:semiHidden/>
    <w:unhideWhenUsed/>
    <w:qFormat/>
    <w:uiPriority w:val="99"/>
    <w:pPr>
      <w:spacing w:line="240" w:lineRule="auto"/>
    </w:pPr>
    <w:rPr>
      <w:sz w:val="18"/>
      <w:szCs w:val="18"/>
    </w:rPr>
  </w:style>
  <w:style w:type="paragraph" w:styleId="4">
    <w:name w:val="footer"/>
    <w:basedOn w:val="1"/>
    <w:link w:val="10"/>
    <w:unhideWhenUsed/>
    <w:qFormat/>
    <w:uiPriority w:val="99"/>
    <w:pPr>
      <w:widowControl w:val="0"/>
      <w:tabs>
        <w:tab w:val="center" w:pos="4153"/>
        <w:tab w:val="right" w:pos="8306"/>
      </w:tabs>
      <w:snapToGrid w:val="0"/>
      <w:spacing w:line="240" w:lineRule="auto"/>
    </w:pPr>
    <w:rPr>
      <w:rFonts w:asciiTheme="minorHAnsi" w:hAnsiTheme="minorHAnsi" w:eastAsiaTheme="minorEastAsia" w:cstheme="minorBidi"/>
      <w:sz w:val="18"/>
      <w:szCs w:val="18"/>
    </w:rPr>
  </w:style>
  <w:style w:type="paragraph" w:styleId="5">
    <w:name w:val="header"/>
    <w:basedOn w:val="1"/>
    <w:link w:val="9"/>
    <w:unhideWhenUsed/>
    <w:qFormat/>
    <w:uiPriority w:val="99"/>
    <w:pPr>
      <w:widowControl w:val="0"/>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table" w:styleId="7">
    <w:name w:val="Table Grid"/>
    <w:basedOn w:val="6"/>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批注框文本 字符"/>
    <w:basedOn w:val="8"/>
    <w:link w:val="3"/>
    <w:semiHidden/>
    <w:qFormat/>
    <w:uiPriority w:val="99"/>
    <w:rPr>
      <w:rFonts w:ascii="Calibri" w:hAnsi="Calibri" w:eastAsia="宋体" w:cs="Times New Roman"/>
      <w:sz w:val="18"/>
      <w:szCs w:val="18"/>
    </w:rPr>
  </w:style>
  <w:style w:type="paragraph" w:customStyle="1" w:styleId="12">
    <w:name w:val="Table Paragraph"/>
    <w:basedOn w:val="1"/>
    <w:qFormat/>
    <w:uiPriority w:val="1"/>
    <w:pPr>
      <w:autoSpaceDE w:val="0"/>
      <w:autoSpaceDN w:val="0"/>
      <w:adjustRightInd w:val="0"/>
      <w:jc w:val="left"/>
    </w:pPr>
    <w:rPr>
      <w:rFonts w:ascii="Times New Roman" w:hAnsi="Times New Roman" w:cs="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630</Words>
  <Characters>838</Characters>
  <Lines>5</Lines>
  <Paragraphs>1</Paragraphs>
  <TotalTime>9</TotalTime>
  <ScaleCrop>false</ScaleCrop>
  <LinksUpToDate>false</LinksUpToDate>
  <CharactersWithSpaces>838</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2022-05-25T01:21:00Z</dcterms:created>
  <dc:creator>cyx</dc:creator>
  <cp:lastModifiedBy>jsyh</cp:lastModifiedBy>
  <cp:lastPrinted>2022-11-07T01:50:00Z</cp:lastPrinted>
  <dcterms:modified xsi:type="dcterms:W3CDTF">2026-03-17T08:56:38Z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5B77E7CEEC58BC6AFAE8886BEB80DBEB">
    <vt:lpwstr>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</vt:lpwstr>
  </property>
  <property fmtid="{D5CDD505-2E9C-101B-9397-08002B2CF9AE}" pid="3" name="KSOProductBuildVer">
    <vt:lpwstr>2052-11.8.2.11734</vt:lpwstr>
  </property>
  <property fmtid="{D5CDD505-2E9C-101B-9397-08002B2CF9AE}" pid="4" name="ICV">
    <vt:lpwstr>D1FABE1D99244126A82E4C98837F3785</vt:lpwstr>
  </property>
</Properties>
</file>