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苏银理财恒源1年定开2014期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A份额：苏银理财恒源1年定开2014期A/J211501SA341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B份额：苏银理财恒源1年定开2014期B/J02247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C份额：苏银理财恒源1年定开2014期C/J15581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D份额：苏银理财恒源1年定开2014期D/J03108</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F份额：苏银理财恒源1年定开2014期F/J03109</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J份额：苏银理财恒源1年定开2014期J/J03110</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ZA鑫福款（自动赎回）份额：苏银理财恒源1年定开2014期ZA鑫福款（自动赎回）/J03111</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ZC鑫福优享（自动赎回）份额：苏银理财恒源1年定开2014期ZC鑫福优享（自动赎回）/J15587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ZF份额：苏银理财恒源1年定开2014期ZF/J03112</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ZK鑫福尊享（自动赎回）份额：苏银理财恒源1年定开2014期ZK鑫福尊享（自动赎回）/J15588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Z7003121000084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2026年3月20日至2026年3月30日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2031年12月30日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cs="Times New Roman"/>
                <w:b/>
                <w:kern w:val="0"/>
                <w:sz w:val="20"/>
                <w:szCs w:val="21"/>
                <w:lang w:val="en-US" w:eastAsia="zh-CN" w:bidi="ar-SA"/>
              </w:rPr>
              <w:t>存续期限</w:t>
            </w:r>
          </w:p>
        </w:tc>
        <w:tc>
          <w:tcPr>
            <w:tcW w:w="6095" w:type="dxa"/>
            <w:vAlign w:val="center"/>
          </w:tcPr>
          <w:p>
            <w:pPr>
              <w:spacing w:line="320" w:lineRule="exact"/>
              <w:jc w:val="both"/>
              <w:rPr>
                <w:rFonts w:hint="default" w:ascii="仿宋_GB2312" w:hAnsi="仿宋" w:eastAsia="仿宋_GB2312" w:cs="Times New Roman"/>
                <w:kern w:val="0"/>
                <w:sz w:val="20"/>
                <w:szCs w:val="21"/>
                <w:lang w:val="en-US" w:eastAsia="zh-CN" w:bidi="ar-SA"/>
              </w:rPr>
            </w:pPr>
            <w:r>
              <w:rPr>
                <w:rFonts w:hint="eastAsia" w:ascii="楷体" w:hAnsi="楷体" w:eastAsia="楷体" w:cs="宋体"/>
                <w:spacing w:val="-2"/>
                <w:sz w:val="20"/>
                <w:szCs w:val="20"/>
                <w:lang w:val="en-US" w:eastAsia="zh-CN"/>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仿宋_GB2312" w:hAnsi="仿宋" w:eastAsia="仿宋_GB2312"/>
                <w:b/>
                <w:kern w:val="0"/>
                <w:sz w:val="20"/>
                <w:szCs w:val="21"/>
                <w:lang w:val="en-US" w:eastAsia="zh-CN"/>
              </w:rPr>
              <w:t>投资起点</w:t>
            </w:r>
          </w:p>
        </w:tc>
        <w:tc>
          <w:tcPr>
            <w:tcW w:w="6095"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A/F/ZA/ZF份额认购起点100元，追加金额为100元的整数倍。</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B份额认购起点200000元，追加金额为10000元的整数倍。</w:t>
            </w:r>
          </w:p>
          <w:p>
            <w:pPr>
              <w:keepNext w:val="0"/>
              <w:keepLines w:val="0"/>
              <w:pageBreakBefore w:val="0"/>
              <w:widowControl/>
              <w:kinsoku/>
              <w:wordWrap/>
              <w:overflowPunct/>
              <w:topLinePunct w:val="0"/>
              <w:bidi w:val="0"/>
              <w:snapToGrid/>
              <w:spacing w:line="320" w:lineRule="exact"/>
              <w:jc w:val="both"/>
              <w:textAlignment w:val="auto"/>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C/ZC份额认购起点10000元，追加金额为1元的整数倍。(C份额面向新客户新资金客户销售，ZC份额面向江苏农商特定客群销售。）</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D/J/ZK份额认购起点500000元，追加金额为10000元的整数倍。其中D份额面向高净值客户和白名单客户销售。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highlight w:val="none"/>
              </w:rPr>
              <w:t>代销服务费率</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A/F/ZA/ZF份额：0.30%/年；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B/ZC份额：0.25%/年；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D/J份额：0.20%/年；</w:t>
            </w:r>
          </w:p>
          <w:p>
            <w:pPr>
              <w:spacing w:line="320" w:lineRule="exact"/>
              <w:jc w:val="both"/>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C/ZK份额：0.15%/年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【销售服务费和投资管理费分成（差额补足）】</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A份额：2.45%-3.05%，2026年3月31日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B份额：2.48%-3.08%，2026年3月31日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C份额：2.50%-3.10%，2026年3月31日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w:t>
            </w:r>
            <w:bookmarkStart w:id="0" w:name="_GoBack"/>
            <w:bookmarkEnd w:id="0"/>
            <w:r>
              <w:rPr>
                <w:rFonts w:hint="eastAsia" w:ascii="楷体" w:hAnsi="楷体" w:eastAsia="楷体" w:cs="宋体"/>
                <w:spacing w:val="-2"/>
                <w:sz w:val="20"/>
                <w:szCs w:val="20"/>
                <w:lang w:val="en-US" w:eastAsia="zh-CN"/>
              </w:rPr>
              <w:t>：2.60%-3.20%，2026年3月31日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F份额：2.45%-3.05%，2026年3月31日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J份额：2.55%-3.15%，2026年3月31日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ZA鑫福款（自动赎回）份额：2.45%-3.05%，2026年3月31日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ZC鑫福优享（自动赎回）份额：2.50%-3.10%，2026年3月31日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ZF份额：2.45%-3.05%，2026年3月31日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ZK鑫福尊享（自动赎回）份额：2.60%-3.20%，2026年3月31日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68376D"/>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2026-03-13T08:46:32Z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