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463eb71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463eb71e"/>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0995e9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0995e9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8af15fb4"/>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南银理财鼎瑞安稳一年定开2026第2期公募人民币理财产品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ZZ700322600037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A份额：Z30045</w:t>
            </w:r>
          </w:p>
          <w:p>
            <w:pPr>
              <w:pStyle w:val="null10"/>
              <w:spacing w:lineRule="exact" w:line="200"/>
            </w:pPr>
            <w:r>
              <w:rPr>
                <w:rFonts w:ascii="方正黑体_GBK" w:hAnsi="方正黑体_GBK" w:cs="宋体" w:eastAsia="方正黑体_GBK"/>
                <w:sz w:val="18"/>
                <w:szCs w:val="18"/>
              </w:rPr>
              <w:t>B份额：NYAW000564</w:t>
            </w:r>
          </w:p>
          <w:p>
            <w:pPr>
              <w:pStyle w:val="null10"/>
              <w:spacing w:lineRule="exact" w:line="200"/>
            </w:pPr>
            <w:r>
              <w:rPr>
                <w:rFonts w:ascii="方正黑体_GBK" w:hAnsi="方正黑体_GBK" w:cs="宋体" w:eastAsia="方正黑体_GBK"/>
                <w:sz w:val="18"/>
                <w:szCs w:val="18"/>
              </w:rPr>
              <w:t>C份额：NYAW000565</w:t>
            </w:r>
          </w:p>
          <w:p>
            <w:pPr>
              <w:pStyle w:val="null10"/>
              <w:spacing w:lineRule="exact" w:line="200"/>
            </w:pPr>
            <w:r>
              <w:rPr>
                <w:rFonts w:ascii="方正黑体_GBK" w:hAnsi="方正黑体_GBK" w:cs="宋体" w:eastAsia="方正黑体_GBK"/>
                <w:sz w:val="18"/>
                <w:szCs w:val="18"/>
              </w:rPr>
              <w:t>D份额：NYAW000566</w:t>
            </w:r>
          </w:p>
          <w:p>
            <w:pPr>
              <w:pStyle w:val="null10"/>
              <w:spacing w:lineRule="exact" w:line="200"/>
            </w:pPr>
            <w:r>
              <w:rPr>
                <w:rFonts w:ascii="方正黑体_GBK" w:hAnsi="方正黑体_GBK" w:cs="宋体" w:eastAsia="方正黑体_GBK"/>
                <w:sz w:val="18"/>
                <w:szCs w:val="18"/>
              </w:rPr>
              <w:t>E份额：NYAW000567</w:t>
            </w:r>
          </w:p>
          <w:p>
            <w:pPr>
              <w:pStyle w:val="null10"/>
              <w:spacing w:lineRule="exact" w:line="200"/>
            </w:pPr>
            <w:r>
              <w:rPr>
                <w:rFonts w:ascii="方正黑体_GBK" w:hAnsi="方正黑体_GBK" w:cs="宋体" w:eastAsia="方正黑体_GBK"/>
                <w:sz w:val="18"/>
                <w:szCs w:val="18"/>
              </w:rPr>
              <w:t>F份额：NYAW000568</w:t>
            </w:r>
          </w:p>
          <w:p>
            <w:pPr>
              <w:pStyle w:val="null10"/>
              <w:spacing w:lineRule="exact" w:line="200"/>
            </w:pPr>
            <w:r>
              <w:rPr>
                <w:rFonts w:ascii="方正黑体_GBK" w:hAnsi="方正黑体_GBK" w:cs="宋体" w:eastAsia="方正黑体_GBK"/>
                <w:sz w:val="18"/>
                <w:szCs w:val="18"/>
              </w:rPr>
              <w:t>G份额：NYAW000569</w:t>
            </w:r>
          </w:p>
          <w:p>
            <w:pPr>
              <w:pStyle w:val="null10"/>
              <w:spacing w:lineRule="exact" w:line="200"/>
            </w:pPr>
            <w:r>
              <w:rPr>
                <w:rFonts w:ascii="方正黑体_GBK" w:hAnsi="方正黑体_GBK" w:cs="宋体" w:eastAsia="方正黑体_GBK"/>
                <w:sz w:val="18"/>
                <w:szCs w:val="18"/>
              </w:rPr>
              <w:t>M份额：NYAW000572</w:t>
            </w:r>
          </w:p>
          <w:p>
            <w:pPr>
              <w:pStyle w:val="null10"/>
              <w:spacing w:lineRule="exact" w:line="200"/>
            </w:pPr>
            <w:r>
              <w:rPr>
                <w:rFonts w:ascii="方正黑体_GBK" w:hAnsi="方正黑体_GBK" w:cs="宋体" w:eastAsia="方正黑体_GBK"/>
                <w:sz w:val="18"/>
                <w:szCs w:val="18"/>
              </w:rPr>
              <w:t>N份额：NYAW000573</w:t>
            </w:r>
          </w:p>
          <w:p>
            <w:pPr>
              <w:pStyle w:val="null10"/>
              <w:spacing w:lineRule="exact" w:line="200"/>
            </w:pPr>
            <w:r>
              <w:rPr>
                <w:rFonts w:ascii="方正黑体_GBK" w:hAnsi="方正黑体_GBK" w:cs="宋体" w:eastAsia="方正黑体_GBK"/>
                <w:sz w:val="18"/>
                <w:szCs w:val="18"/>
              </w:rPr>
              <w:t>Q份额：NYAW000574</w:t>
            </w:r>
          </w:p>
          <w:p>
            <w:pPr>
              <w:pStyle w:val="null10"/>
              <w:spacing w:lineRule="exact" w:line="200"/>
            </w:pPr>
            <w:r>
              <w:rPr>
                <w:rFonts w:ascii="方正黑体_GBK" w:hAnsi="方正黑体_GBK" w:cs="宋体" w:eastAsia="方正黑体_GBK"/>
                <w:sz w:val="18"/>
                <w:szCs w:val="18"/>
              </w:rPr>
              <w:t>R份额：NYAW000575</w:t>
            </w:r>
          </w:p>
          <w:p>
            <w:pPr>
              <w:pStyle w:val="null10"/>
              <w:spacing w:lineRule="exact" w:line="200"/>
            </w:pPr>
            <w:r>
              <w:rPr>
                <w:rFonts w:ascii="方正黑体_GBK" w:hAnsi="方正黑体_GBK" w:cs="宋体" w:eastAsia="方正黑体_GBK"/>
                <w:sz w:val="18"/>
                <w:szCs w:val="18"/>
              </w:rPr>
              <w:t>S份额：NYAW000570</w:t>
            </w:r>
          </w:p>
          <w:p>
            <w:pPr>
              <w:pStyle w:val="null10"/>
              <w:spacing w:lineRule="exact" w:line="200"/>
            </w:pPr>
            <w:r>
              <w:rPr>
                <w:rFonts w:ascii="方正黑体_GBK" w:hAnsi="方正黑体_GBK" w:cs="宋体" w:eastAsia="方正黑体_GBK"/>
                <w:sz w:val="18"/>
                <w:szCs w:val="18"/>
              </w:rPr>
              <w:t>T份额：NYAW000571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A份额：南京银行股份有限公司、南银理财有限责任公司、齐鲁银行股份有限公司、九江银行股份有限公司。</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秦皇岛银行股份有限公司、潍坊银行股份有限公司、齐鲁银行股份有限公司、贵阳银行股份有限公司、天津农村商业银行股份有限公司( 大众客群)、中原银行股份有限公司、廊坊银行股份有限公司、乌鲁木齐银行股份有限公司、桂林银行股份有限公司( 常规客户)、石嘴山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江苏睢宁农村商业银行股份有限公司。</w:t>
            </w:r>
          </w:p>
          <w:p>
            <w:pPr>
              <w:pStyle w:val="null10"/>
              <w:spacing w:lineRule="exact" w:line="200"/>
            </w:pPr>
            <w:r>
              <w:rPr>
                <w:rFonts w:ascii="方正黑体_GBK" w:hAnsi="方正黑体_GBK" w:cs="宋体" w:eastAsia="方正黑体_GBK"/>
                <w:sz w:val="18"/>
                <w:szCs w:val="18"/>
              </w:rPr>
              <w:t>C份额：江苏张家港农村商业银行股份有限公司、江苏常熟农村商业银行股份有限公司( 特定客群)、天津农村商业银行股份有限公司( 社保专属)、桂林银行股份有限公司( 分行特供)、江苏扬州农村商业银行股份有限公司。</w:t>
            </w:r>
          </w:p>
          <w:p>
            <w:pPr>
              <w:pStyle w:val="null10"/>
              <w:spacing w:lineRule="exact" w:line="200"/>
            </w:pPr>
            <w:r>
              <w:rPr>
                <w:rFonts w:ascii="方正黑体_GBK" w:hAnsi="方正黑体_GBK" w:cs="宋体" w:eastAsia="方正黑体_GBK"/>
                <w:sz w:val="18"/>
                <w:szCs w:val="18"/>
              </w:rPr>
              <w:t>D份额：齐商银行股份有限公司、河北银行股份有限公司、郑州银行股份有限公司、天津农村商业银行股份有限公司( 专属客户)、云南红塔银行股份有限公司( 新客户)、重庆富民银行股份有限公司、桂林银行股份有限公司( 高净值客户)、江苏宜兴农村商业银行股份有限公司、江苏镇江农村商业银行股份有限公司( 20万元起购)、江苏如皋农村商业银行股份有限公司、江苏镇江农村商业银行股份有限公司江苏紫金农村商业银行股份有限公司、江苏丰县农村商业银行股份有限公司(高端客户专享)、江苏沛县农村商业银行股份有限公司( 熟客理财专享)、江苏海安农村商业银行股份有限公司。</w:t>
            </w:r>
          </w:p>
          <w:p>
            <w:pPr>
              <w:pStyle w:val="null10"/>
              <w:spacing w:lineRule="exact" w:line="200"/>
            </w:pPr>
            <w:r>
              <w:rPr>
                <w:rFonts w:ascii="方正黑体_GBK" w:hAnsi="方正黑体_GBK" w:cs="宋体" w:eastAsia="方正黑体_GBK"/>
                <w:sz w:val="18"/>
                <w:szCs w:val="18"/>
              </w:rPr>
              <w:t>E份额：天津农村商业银行股份有限公司( 特邀客户)、云南红塔银行股份有限公司( 财富300万客户)、甘肃银行股份有限公司、桂林银行股份有限公司( 特殊客群)、江苏响水农村商业银行股份有限公司、江苏兴化农村商业银行股份有限公司、江苏镇江农村商业银行股份有限公司( 100万元起购)、江苏射阳农村商业银行股份有限公司、江苏句容农村商业银行股份有限公司、江苏沛县农村商业银行股份有限公司( 高端客户专享)、江苏仪征农村商业银行股份有限公司（20万元起）、江苏海门农村商业银行股份有限公司。</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w:t>
            </w:r>
          </w:p>
          <w:p>
            <w:pPr>
              <w:pStyle w:val="null10"/>
              <w:spacing w:lineRule="exact" w:line="200"/>
            </w:pPr>
            <w:r>
              <w:rPr>
                <w:rFonts w:ascii="方正黑体_GBK" w:hAnsi="方正黑体_GBK" w:cs="宋体" w:eastAsia="方正黑体_GBK"/>
                <w:sz w:val="18"/>
                <w:szCs w:val="18"/>
              </w:rPr>
              <w:t>M份额：浙江民泰商业银行股份有限公司、嘉兴银行股份有限公司、苏州银行股份有限公司、福建海峡银行股份有限公司、宁波通商银行股份有限公司。</w:t>
            </w:r>
          </w:p>
          <w:p>
            <w:pPr>
              <w:pStyle w:val="null10"/>
              <w:spacing w:lineRule="exact" w:line="200"/>
            </w:pPr>
            <w:r>
              <w:rPr>
                <w:rFonts w:ascii="方正黑体_GBK" w:hAnsi="方正黑体_GBK" w:cs="宋体" w:eastAsia="方正黑体_GBK"/>
                <w:sz w:val="18"/>
                <w:szCs w:val="18"/>
              </w:rPr>
              <w:t>N份额：苏州银行股份有限公司（代发与新资金专属）。</w:t>
            </w:r>
          </w:p>
          <w:p>
            <w:pPr>
              <w:pStyle w:val="null10"/>
              <w:spacing w:lineRule="exact" w:line="200"/>
            </w:pPr>
            <w:r>
              <w:rPr>
                <w:rFonts w:ascii="方正黑体_GBK" w:hAnsi="方正黑体_GBK" w:cs="宋体" w:eastAsia="方正黑体_GBK"/>
                <w:sz w:val="18"/>
                <w:szCs w:val="18"/>
              </w:rPr>
              <w:t>Q份额：台州银行股份有限公司。</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szCs w:val="18"/>
              </w:rPr>
              <w:t>S份额：成都农村商业银行股份有限公司。</w:t>
            </w:r>
          </w:p>
          <w:p>
            <w:pPr>
              <w:pStyle w:val="null10"/>
              <w:spacing w:lineRule="exact" w:line="200"/>
            </w:pPr>
            <w:r>
              <w:rPr>
                <w:rFonts w:ascii="方正黑体_GBK" w:hAnsi="方正黑体_GBK" w:cs="宋体" w:eastAsia="方正黑体_GBK"/>
                <w:sz w:val="18"/>
                <w:szCs w:val="18"/>
              </w:rPr>
              <w:t>T份额：桂林银行股份有限公司（高净值客群）。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A份额/B份额/C份额/D份额/E份额/F份额/G份额/M份额/N份额/Q份额/R份额/S份额/T份额：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2026年03月19日 09:00—2026年03月25日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2026年03月26日—实际到期日（若本理财产品未被提前终止或延期终止，则实际到期日即为名义到期日，存续期限10年；若本理财产品被提前终止或延期终止，则实际到期日为提前终止日或延期终止日。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2036年03月31日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hd w:fill="FFFFFF" w:val="clear"/>
                <w:szCs w:val="18"/>
              </w:rPr>
              <w:t>A份额/F份额/Q份额/R份额：募集期为2026年3月19日9：00至2026年3月25日17：00；下一个开放期为2027年3月25日9：00至2027年3月31日17：00，投资者可以提交或撤销申购/赎回申请。</w:t>
            </w:r>
          </w:p>
          <w:p>
            <w:pPr>
              <w:pStyle w:val="null10"/>
              <w:spacing w:lineRule="exact" w:line="200"/>
              <w:jc w:val="left"/>
            </w:pPr>
            <w:r>
              <w:rPr>
                <w:rFonts w:ascii="方正黑体_GBK" w:hAnsi="方正黑体_GBK" w:cs="宋体" w:eastAsia="方正黑体_GBK"/>
                <w:sz w:val="18"/>
                <w:color w:val="000000"/>
                <w:shd w:fill="FFFFFF" w:val="clear"/>
                <w:szCs w:val="18"/>
              </w:rPr>
              <w:t>B份额/C份额/D份额/E份额/G份额/M份额/N份额/S份额/T份额：募集期为2026年3月19日9：00至2026年3月25日17：00；确认成功的份额均将于下一个开放期（2027年3月25日9：00至2027年3月31日17：00）由系统自动发起赎回申请。</w:t>
            </w:r>
          </w:p>
          <w:p>
            <w:pPr>
              <w:pStyle w:val="null10"/>
              <w:spacing w:lineRule="exact" w:line="200"/>
              <w:jc w:val="left"/>
            </w:pPr>
            <w:r>
              <w:rPr>
                <w:rFonts w:ascii="方正黑体_GBK" w:hAnsi="方正黑体_GBK" w:cs="宋体" w:eastAsia="方正黑体_GBK"/>
                <w:sz w:val="18"/>
                <w:color w:val="000000"/>
                <w:shd w:fill="FFFFFF" w:val="clear"/>
                <w:szCs w:val="18"/>
              </w:rPr>
              <w:t>产品开放期如有调整以管理人公告为准。</w:t>
            </w:r>
          </w:p>
          <w:p>
            <w:pPr>
              <w:pStyle w:val="null10"/>
              <w:spacing w:lineRule="exact" w:line="200"/>
              <w:jc w:val="left"/>
            </w:pPr>
            <w:r>
              <w:rPr>
                <w:rFonts w:ascii="方正黑体_GBK" w:hAnsi="方正黑体_GBK" w:cs="宋体" w:eastAsia="方正黑体_GBK"/>
                <w:sz w:val="18"/>
                <w:color w:val="000000"/>
                <w:shd w:fill="FFFFFF" w:val="clear"/>
                <w:szCs w:val="18"/>
              </w:rPr>
              <w:t>在销售机构支持的前提下，认购/申购/赎回开放期末日17:00前可以撤销申请。</w:t>
            </w:r>
          </w:p>
          <w:p>
            <w:pPr>
              <w:pStyle w:val="null10"/>
              <w:spacing w:lineRule="exact" w:line="200"/>
              <w:jc w:val="left"/>
            </w:pPr>
            <w:r>
              <w:rPr>
                <w:rFonts w:ascii="方正黑体_GBK" w:hAnsi="方正黑体_GBK" w:cs="宋体" w:eastAsia="方正黑体_GBK"/>
                <w:sz w:val="18"/>
                <w:color w:val="000000"/>
                <w:shd w:fill="FFFFFF" w:val="clear"/>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B份额：业绩比较基准为年化2.35%-2.6% 。</w:t>
            </w:r>
          </w:p>
          <w:p>
            <w:pPr>
              <w:pStyle w:val="null10"/>
              <w:spacing w:lineRule="exact" w:line="200"/>
            </w:pPr>
            <w:r>
              <w:rPr>
                <w:rFonts w:ascii="方正黑体_GBK" w:hAnsi="方正黑体_GBK" w:cs="宋体" w:eastAsia="方正黑体_GBK"/>
                <w:sz w:val="18"/>
                <w:szCs w:val="18"/>
              </w:rPr>
              <w:t>C份额：业绩比较基准为年化2.4%-2.65%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E份额：业绩比较基准为年化2.55%-2.8% 。</w:t>
            </w:r>
          </w:p>
          <w:p>
            <w:pPr>
              <w:pStyle w:val="null10"/>
              <w:spacing w:lineRule="exact" w:line="200"/>
            </w:pPr>
            <w:r>
              <w:rPr>
                <w:rFonts w:ascii="方正黑体_GBK" w:hAnsi="方正黑体_GBK" w:cs="宋体" w:eastAsia="方正黑体_GBK"/>
                <w:sz w:val="18"/>
                <w:szCs w:val="18"/>
              </w:rPr>
              <w:t>F份额：业绩比较基准为年化2.45%-2.7% 。</w:t>
            </w:r>
          </w:p>
          <w:p>
            <w:pPr>
              <w:pStyle w:val="null10"/>
              <w:spacing w:lineRule="exact" w:line="200"/>
            </w:pPr>
            <w:r>
              <w:rPr>
                <w:rFonts w:ascii="方正黑体_GBK" w:hAnsi="方正黑体_GBK" w:cs="宋体" w:eastAsia="方正黑体_GBK"/>
                <w:sz w:val="18"/>
                <w:szCs w:val="18"/>
              </w:rPr>
              <w:t>G份额：业绩比较基准为年化2.5%-2.75% 。</w:t>
            </w:r>
          </w:p>
          <w:p>
            <w:pPr>
              <w:pStyle w:val="null10"/>
              <w:spacing w:lineRule="exact" w:line="200"/>
            </w:pPr>
            <w:r>
              <w:rPr>
                <w:rFonts w:ascii="方正黑体_GBK" w:hAnsi="方正黑体_GBK" w:cs="宋体" w:eastAsia="方正黑体_GBK"/>
                <w:sz w:val="18"/>
                <w:szCs w:val="18"/>
              </w:rPr>
              <w:t>M份额：业绩比较基准为年化2.35%-2.6% 。</w:t>
            </w:r>
          </w:p>
          <w:p>
            <w:pPr>
              <w:pStyle w:val="null10"/>
              <w:spacing w:lineRule="exact" w:line="200"/>
            </w:pPr>
            <w:r>
              <w:rPr>
                <w:rFonts w:ascii="方正黑体_GBK" w:hAnsi="方正黑体_GBK" w:cs="宋体" w:eastAsia="方正黑体_GBK"/>
                <w:sz w:val="18"/>
                <w:szCs w:val="18"/>
              </w:rPr>
              <w:t>N份额：业绩比较基准为年化2.6%-2.85% 。</w:t>
            </w:r>
          </w:p>
          <w:p>
            <w:pPr>
              <w:pStyle w:val="null10"/>
              <w:spacing w:lineRule="exact" w:line="200"/>
            </w:pPr>
            <w:r>
              <w:rPr>
                <w:rFonts w:ascii="方正黑体_GBK" w:hAnsi="方正黑体_GBK" w:cs="宋体" w:eastAsia="方正黑体_GBK"/>
                <w:sz w:val="18"/>
                <w:szCs w:val="18"/>
              </w:rPr>
              <w:t>Q份额：业绩比较基准为年化2.35%-2.6%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S份额：业绩比较基准为年化2.5%-2.75% 。</w:t>
            </w:r>
          </w:p>
          <w:p>
            <w:pPr>
              <w:pStyle w:val="null10"/>
              <w:spacing w:lineRule="exact" w:line="200"/>
            </w:pPr>
            <w:r>
              <w:rPr>
                <w:rFonts w:ascii="方正黑体_GBK" w:hAnsi="方正黑体_GBK" w:cs="宋体" w:eastAsia="方正黑体_GBK"/>
                <w:sz w:val="18"/>
                <w:szCs w:val="18"/>
              </w:rPr>
              <w:t>T份额：业绩比较基准为年化2.5%-2.75%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S份额：销售费年化0.1%</w:t>
            </w:r>
          </w:p>
          <w:p>
            <w:pPr>
              <w:pStyle w:val="null10"/>
              <w:spacing w:lineRule="exact" w:line="200"/>
            </w:pPr>
            <w:r>
              <w:rPr>
                <w:rFonts w:ascii="方正黑体_GBK" w:hAnsi="方正黑体_GBK" w:cs="宋体" w:eastAsia="方正黑体_GBK"/>
                <w:sz w:val="18"/>
                <w:b/>
                <w:szCs w:val="18"/>
              </w:rPr>
              <w:t>T份额：销售费年化0.1%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S份额：固定管理费年化0.15%</w:t>
            </w:r>
          </w:p>
          <w:p>
            <w:pPr>
              <w:pStyle w:val="null10"/>
              <w:spacing w:lineRule="exact" w:line="200"/>
            </w:pPr>
            <w:r>
              <w:rPr>
                <w:rFonts w:ascii="方正黑体_GBK" w:hAnsi="方正黑体_GBK" w:cs="宋体" w:eastAsia="方正黑体_GBK"/>
                <w:sz w:val="18"/>
                <w:b/>
                <w:szCs w:val="18"/>
              </w:rPr>
              <w:t>T份额：固定管理费年化0.15%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T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齐商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重庆富民银行股份有限公司、宁波通商银行股份有限公司、石嘴山银行股份有限公司、江苏丹阳农村商业银行股份有限公司、江苏宜兴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丰县农村商业银行股份有限公司、江苏射阳农村商业银行股份有限公司、江苏句容农村商业银行股份有限公司、江苏张家港农村商业银行股份有限公司、北京中关村银行股份有限公司、廊坊银行股份有限公司、乌鲁木齐银行股份有限公司、河北银行股份有限公司、郑州银行股份有限公司、江苏沛县农村商业银行股份有限公司、潍坊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0995e9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3028af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3028af2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3028af2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3028af22"/>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3028af2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3028af2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3028af2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3028af22"/>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南银理财鼎瑞安稳一年定开2026第2期公募人民币理财产品</w:t>
      </w:r>
      <w:r>
        <w:rPr>
          <w:rFonts w:ascii="方正黑体_GBK" w:eastAsia="方正黑体_GBK" w:hint="eastAsia" w:hAnsi="方正黑体_GBK"/>
          <w:vanish w:val="0"/>
          <w:color w:val="3D3D3D"/>
          <w:kern w:val="0"/>
          <w:sz w:val="15"/>
          <w:szCs w:val="15"/>
        </w:rPr>
        <w:t>。</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3028af22"/>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3028af22"/>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3028af22"/>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3028af2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a3f6d28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3028af2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3028af22"/>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3028af22"/>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a3f6d28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0995e96"/>
        <w:keepNext w:val="0"/>
        <w:keepLines w:val="0"/>
        <w:pageBreakBefore w:val="0"/>
        <w:widowControl/>
        <w:suppressLineNumbers w:val="0"/>
        <w:suppressAutoHyphens w:val="0"/>
        <w:spacing w:line="200" w:lineRule="exact"/>
        <w:ind w:firstLineChars="200" w:firstLine="300"/>
        <w:rPr>
          <w:rStyle w:val="a3f6d28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0995e9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0995e9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0995e9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0995e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0995e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0995e9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0995e9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0995e9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463eb71e">
    <w:name w:val="Normal463eb71e"/>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a2c7ed5">
    <w:name w:val="heading 1da2c7ed5"/>
    <w:basedOn w:val="463eb71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087047f">
    <w:name w:val="heading 2d087047f"/>
    <w:basedOn w:val="463eb71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7d9ebb1">
    <w:name w:val="heading 397d9ebb1"/>
    <w:basedOn w:val="463eb71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bbeea01">
    <w:name w:val="Default Paragraph Fontabbeea01"/>
  </w:style>
  <w:style xmlns:r="http://schemas.openxmlformats.org/officeDocument/2006/relationships" w:type="paragraph" w:styleId="58b5d51c">
    <w:name w:val="toc 158b5d51c"/>
    <w:basedOn w:val="463eb71e"/>
    <w:autoRedefine/>
    <w:next w:val="0"/>
  </w:style>
  <w:style xmlns:r="http://schemas.openxmlformats.org/officeDocument/2006/relationships" w:type="paragraph" w:styleId="29cdc208">
    <w:name w:val="toc 229cdc208"/>
    <w:basedOn w:val="463eb71e"/>
    <w:autoRedefine/>
    <w:next w:val="0"/>
    <w:pPr>
      <w:ind w:left="420"/>
    </w:pPr>
  </w:style>
  <w:style xmlns:r="http://schemas.openxmlformats.org/officeDocument/2006/relationships" w:type="paragraph" w:styleId="c7db20ed">
    <w:name w:val="toc 3c7db20ed"/>
    <w:basedOn w:val="463eb71e"/>
    <w:autoRedefine/>
    <w:next w:val="0"/>
    <w:pPr>
      <w:ind w:left="840"/>
    </w:pPr>
  </w:style>
  <w:style xmlns:r="http://schemas.openxmlformats.org/officeDocument/2006/relationships" w:type="paragraph" w:styleId="70e35f20">
    <w:name w:val="toc 470e35f20"/>
    <w:basedOn w:val="463eb71e"/>
    <w:autoRedefine/>
    <w:next w:val="0"/>
    <w:pPr>
      <w:ind w:left="1260"/>
    </w:pPr>
  </w:style>
  <w:style xmlns:r="http://schemas.openxmlformats.org/officeDocument/2006/relationships" w:type="paragraph" w:styleId="4c2509f8">
    <w:name w:val="toc 54c2509f8"/>
    <w:basedOn w:val="463eb71e"/>
    <w:autoRedefine/>
    <w:next w:val="0"/>
    <w:pPr>
      <w:ind w:left="1680"/>
    </w:pPr>
  </w:style>
  <w:style xmlns:r="http://schemas.openxmlformats.org/officeDocument/2006/relationships" w:type="paragraph" w:styleId="aca93e21">
    <w:name w:val="headeraca93e21"/>
    <w:basedOn w:val="463eb71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510dedf">
    <w:name w:val="footera510dedf"/>
    <w:basedOn w:val="463eb71e"/>
    <w:pPr>
      <w:tabs>
        <w:tab w:val="center" w:pos="4153"/>
        <w:tab w:val="right" w:pos="8307"/>
      </w:tabs>
      <w:adjustRightInd/>
      <w:snapToGrid w:val="0"/>
      <w:contextualSpacing w:val="0"/>
      <w:jc w:val="left"/>
    </w:pPr>
    <w:rPr>
      <w:sz w:val="18"/>
    </w:rPr>
  </w:style>
  <w:style xmlns:r="http://schemas.openxmlformats.org/officeDocument/2006/relationships" w:type="character" w:styleId="dd2a4725">
    <w:name w:val="Strongdd2a472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0995e96">
    <w:name w:val="Normald0995e9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0b75ac5">
    <w:name w:val="heading 100b75ac5"/>
    <w:basedOn w:val="d0995e9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bbee90">
    <w:name w:val="heading 2debbee90"/>
    <w:basedOn w:val="d0995e9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8710f81">
    <w:name w:val="heading 348710f81"/>
    <w:basedOn w:val="d0995e9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01563aa">
    <w:name w:val="Default Paragraph Fonte01563aa"/>
  </w:style>
  <w:style xmlns:r="http://schemas.openxmlformats.org/officeDocument/2006/relationships" w:type="paragraph" w:styleId="dd95b872">
    <w:name w:val="Normal Indentdd95b872"/>
    <w:basedOn w:val="d0995e96"/>
    <w:pPr>
      <w:ind w:firstLineChars="200" w:firstLine="200"/>
    </w:pPr>
  </w:style>
  <w:style xmlns:r="http://schemas.openxmlformats.org/officeDocument/2006/relationships" w:type="paragraph" w:styleId="a4c826ef">
    <w:name w:val="toc 5a4c826ef"/>
    <w:basedOn w:val="d0995e96"/>
    <w:next w:val="0"/>
    <w:pPr>
      <w:ind w:left="1680"/>
    </w:pPr>
  </w:style>
  <w:style xmlns:r="http://schemas.openxmlformats.org/officeDocument/2006/relationships" w:type="paragraph" w:styleId="bd2fdb3c">
    <w:name w:val="toc 3bd2fdb3c"/>
    <w:basedOn w:val="d0995e96"/>
    <w:next w:val="0"/>
    <w:pPr>
      <w:ind w:left="840"/>
    </w:pPr>
  </w:style>
  <w:style xmlns:r="http://schemas.openxmlformats.org/officeDocument/2006/relationships" w:type="paragraph" w:styleId="62968303">
    <w:name w:val="footer62968303"/>
    <w:basedOn w:val="d0995e96"/>
    <w:pPr>
      <w:tabs>
        <w:tab w:val="center" w:pos="4153"/>
        <w:tab w:val="right" w:pos="8307"/>
      </w:tabs>
      <w:adjustRightInd/>
      <w:snapToGrid w:val="0"/>
      <w:contextualSpacing w:val="0"/>
      <w:jc w:val="left"/>
    </w:pPr>
    <w:rPr>
      <w:sz w:val="18"/>
    </w:rPr>
  </w:style>
  <w:style xmlns:r="http://schemas.openxmlformats.org/officeDocument/2006/relationships" w:type="paragraph" w:styleId="0e1aec30">
    <w:name w:val="header0e1aec30"/>
    <w:basedOn w:val="d0995e9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85d2fc3">
    <w:name w:val="toc 1085d2fc3"/>
    <w:basedOn w:val="d0995e96"/>
    <w:next w:val="0"/>
  </w:style>
  <w:style xmlns:r="http://schemas.openxmlformats.org/officeDocument/2006/relationships" w:type="paragraph" w:styleId="9c82a195">
    <w:name w:val="toc 49c82a195"/>
    <w:basedOn w:val="d0995e96"/>
    <w:next w:val="0"/>
    <w:pPr>
      <w:ind w:left="1260"/>
    </w:pPr>
  </w:style>
  <w:style xmlns:r="http://schemas.openxmlformats.org/officeDocument/2006/relationships" w:type="paragraph" w:styleId="335e6301">
    <w:name w:val="toc 2335e6301"/>
    <w:basedOn w:val="d0995e96"/>
    <w:next w:val="0"/>
    <w:pPr>
      <w:ind w:left="420"/>
    </w:pPr>
  </w:style>
  <w:style xmlns:r="http://schemas.openxmlformats.org/officeDocument/2006/relationships" w:type="paragraph" w:styleId="8af15fb4">
    <w:name w:val="Normal (Web)8af15fb4"/>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028af22">
    <w:name w:val="Normal3028af223028af2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4c87d11">
    <w:name w:val="heading 104c87d1104c87d11"/>
    <w:basedOn w:val="3028af2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03dd5ab">
    <w:name w:val="heading 2a03dd5aba03dd5ab"/>
    <w:basedOn w:val="3028af2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6cffc55">
    <w:name w:val="heading 376cffc5576cffc55"/>
    <w:basedOn w:val="3028af2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d99ce82">
    <w:name w:val="Default Paragraph Font1d99ce821d99ce82"/>
  </w:style>
  <w:style xmlns:r="http://schemas.openxmlformats.org/officeDocument/2006/relationships" w:type="paragraph" w:customStyle="1" w:styleId="4c625193">
    <w:name w:val="引文目录14c6251934c625193"/>
    <w:basedOn w:val="3028af22"/>
    <w:next w:val="0"/>
    <w:pPr>
      <w:ind w:leftChars="200" w:left="200"/>
    </w:pPr>
  </w:style>
  <w:style xmlns:r="http://schemas.openxmlformats.org/officeDocument/2006/relationships" w:type="paragraph" w:styleId="7dfb0a53">
    <w:name w:val="toc 57dfb0a537dfb0a53"/>
    <w:basedOn w:val="3028af22"/>
    <w:next w:val="0"/>
    <w:pPr>
      <w:ind w:left="1680"/>
    </w:pPr>
  </w:style>
  <w:style xmlns:r="http://schemas.openxmlformats.org/officeDocument/2006/relationships" w:type="paragraph" w:styleId="518548bd">
    <w:name w:val="toc 3518548bd518548bd"/>
    <w:basedOn w:val="3028af22"/>
    <w:next w:val="0"/>
    <w:pPr>
      <w:ind w:left="840"/>
    </w:pPr>
  </w:style>
  <w:style xmlns:r="http://schemas.openxmlformats.org/officeDocument/2006/relationships" w:type="paragraph" w:styleId="45e848ac">
    <w:name w:val="footer45e848ac45e848ac"/>
    <w:basedOn w:val="3028af22"/>
    <w:pPr>
      <w:tabs>
        <w:tab w:val="center" w:pos="4153"/>
        <w:tab w:val="right" w:pos="8307"/>
      </w:tabs>
      <w:adjustRightInd/>
      <w:snapToGrid w:val="0"/>
      <w:contextualSpacing w:val="0"/>
      <w:jc w:val="left"/>
    </w:pPr>
    <w:rPr>
      <w:sz w:val="18"/>
    </w:rPr>
  </w:style>
  <w:style xmlns:r="http://schemas.openxmlformats.org/officeDocument/2006/relationships" w:type="paragraph" w:styleId="ddc12ead">
    <w:name w:val="headerddc12eadddc12ead"/>
    <w:basedOn w:val="3028af2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598756c">
    <w:name w:val="toc 12598756c2598756c"/>
    <w:basedOn w:val="3028af22"/>
    <w:next w:val="0"/>
  </w:style>
  <w:style xmlns:r="http://schemas.openxmlformats.org/officeDocument/2006/relationships" w:type="paragraph" w:styleId="e34c6c56">
    <w:name w:val="toc 4e34c6c56e34c6c56"/>
    <w:basedOn w:val="3028af22"/>
    <w:next w:val="0"/>
    <w:pPr>
      <w:ind w:left="1260"/>
    </w:pPr>
  </w:style>
  <w:style xmlns:r="http://schemas.openxmlformats.org/officeDocument/2006/relationships" w:type="paragraph" w:styleId="fc2eb75e">
    <w:name w:val="toc 2fc2eb75efc2eb75e"/>
    <w:basedOn w:val="3028af22"/>
    <w:next w:val="0"/>
    <w:pPr>
      <w:ind w:left="420"/>
    </w:pPr>
  </w:style>
  <w:style xmlns:r="http://schemas.openxmlformats.org/officeDocument/2006/relationships" w:type="paragraph" w:customStyle="1" w:styleId="a3f6d28a">
    <w:name w:val="列出段落1a3f6d28aa3f6d28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