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kinsoku/>
        <w:wordWrap/>
        <w:overflowPunct/>
        <w:topLinePunct w:val="0"/>
        <w:autoSpaceDE/>
        <w:autoSpaceDN/>
        <w:bidi w:val="0"/>
        <w:adjustRightInd/>
        <w:snapToGrid/>
        <w:spacing w:before="156" w:beforeLines="5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关于调整“</w:t>
      </w:r>
      <w:r>
        <w:rPr>
          <w:rFonts w:hint="eastAsia" w:ascii="楷体" w:hAnsi="楷体" w:eastAsia="楷体" w:cs="楷体"/>
          <w:b/>
          <w:bCs/>
          <w:color w:val="000000"/>
          <w:sz w:val="32"/>
          <w:lang w:eastAsia="zh-CN"/>
        </w:rPr>
        <w:t>苏银理财恒源1年定开25期</w:t>
      </w:r>
      <w:r>
        <w:rPr>
          <w:rFonts w:hint="eastAsia" w:ascii="楷体" w:hAnsi="楷体" w:eastAsia="楷体" w:cs="楷体"/>
          <w:b/>
          <w:bCs/>
          <w:color w:val="000000"/>
          <w:sz w:val="32"/>
        </w:rPr>
        <w:t>”</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center"/>
        <w:textAlignment w:val="auto"/>
        <w:outlineLvl w:val="9"/>
        <w:rPr>
          <w:rFonts w:hint="eastAsia" w:ascii="楷体" w:hAnsi="楷体" w:eastAsia="楷体"/>
          <w:sz w:val="28"/>
          <w:szCs w:val="28"/>
        </w:rPr>
      </w:pPr>
      <w:r>
        <w:rPr>
          <w:rFonts w:hint="eastAsia" w:ascii="楷体" w:hAnsi="楷体" w:eastAsia="楷体" w:cs="楷体"/>
          <w:b/>
          <w:bCs/>
          <w:color w:val="000000"/>
          <w:sz w:val="32"/>
        </w:rPr>
        <w:t>理财产品要素的公告</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both"/>
        <w:textAlignment w:val="auto"/>
        <w:outlineLvl w:val="9"/>
        <w:rPr>
          <w:rFonts w:hint="eastAsia" w:ascii="楷体" w:hAnsi="楷体" w:eastAsia="楷体"/>
          <w:sz w:val="28"/>
          <w:szCs w:val="28"/>
          <w:lang w:val="en-US" w:eastAsia="zh-CN"/>
        </w:rPr>
      </w:pPr>
      <w:r>
        <w:rPr>
          <w:rFonts w:hint="eastAsia" w:ascii="楷体" w:hAnsi="楷体" w:eastAsia="楷体"/>
          <w:sz w:val="28"/>
          <w:szCs w:val="28"/>
        </w:rPr>
        <w:t>尊敬的客户：</w:t>
      </w:r>
    </w:p>
    <w:p>
      <w:pPr>
        <w:pStyle w:val="30"/>
        <w:kinsoku w:val="0"/>
        <w:overflowPunct w:val="0"/>
        <w:spacing w:before="12"/>
        <w:ind w:right="73" w:rightChars="35" w:firstLine="560" w:firstLineChars="200"/>
        <w:jc w:val="both"/>
        <w:rPr>
          <w:rFonts w:hint="eastAsia" w:ascii="楷体" w:hAnsi="楷体" w:eastAsia="楷体"/>
          <w:sz w:val="28"/>
          <w:szCs w:val="28"/>
        </w:rPr>
      </w:pPr>
      <w:r>
        <w:rPr>
          <w:rFonts w:hint="eastAsia" w:ascii="楷体" w:hAnsi="楷体" w:eastAsia="楷体"/>
          <w:sz w:val="28"/>
          <w:szCs w:val="28"/>
        </w:rPr>
        <w:t>“</w:t>
      </w:r>
      <w:r>
        <w:rPr>
          <w:rFonts w:hint="eastAsia" w:ascii="楷体" w:hAnsi="楷体" w:eastAsia="楷体"/>
          <w:sz w:val="28"/>
          <w:szCs w:val="28"/>
          <w:lang w:eastAsia="zh-CN"/>
        </w:rPr>
        <w:t>苏银理财恒源1年定开25期</w:t>
      </w:r>
      <w:r>
        <w:rPr>
          <w:rFonts w:hint="eastAsia" w:ascii="楷体" w:hAnsi="楷体" w:eastAsia="楷体"/>
          <w:sz w:val="28"/>
          <w:szCs w:val="28"/>
        </w:rPr>
        <w:t>”理财产品将于</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2</w:t>
      </w:r>
      <w:r>
        <w:rPr>
          <w:rFonts w:hint="eastAsia" w:ascii="楷体" w:hAnsi="楷体" w:eastAsia="楷体"/>
          <w:sz w:val="28"/>
          <w:szCs w:val="28"/>
          <w:lang w:eastAsia="zh-CN"/>
        </w:rPr>
        <w:t>月</w:t>
      </w:r>
      <w:r>
        <w:rPr>
          <w:rFonts w:hint="eastAsia" w:ascii="楷体" w:hAnsi="楷体" w:eastAsia="楷体"/>
          <w:sz w:val="28"/>
          <w:szCs w:val="28"/>
          <w:lang w:val="en-US" w:eastAsia="zh-CN"/>
        </w:rPr>
        <w:t>28</w:t>
      </w:r>
      <w:r>
        <w:rPr>
          <w:rFonts w:hint="eastAsia" w:ascii="楷体" w:hAnsi="楷体" w:eastAsia="楷体"/>
          <w:sz w:val="28"/>
          <w:szCs w:val="28"/>
          <w:lang w:eastAsia="zh-CN"/>
        </w:rPr>
        <w:t>日至202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3</w:t>
      </w:r>
      <w:r>
        <w:rPr>
          <w:rFonts w:hint="eastAsia" w:ascii="楷体" w:hAnsi="楷体" w:eastAsia="楷体"/>
          <w:sz w:val="28"/>
          <w:szCs w:val="28"/>
          <w:lang w:eastAsia="zh-CN"/>
        </w:rPr>
        <w:t>月</w:t>
      </w:r>
      <w:r>
        <w:rPr>
          <w:rFonts w:hint="eastAsia" w:ascii="楷体" w:hAnsi="楷体" w:eastAsia="楷体"/>
          <w:sz w:val="28"/>
          <w:szCs w:val="28"/>
          <w:lang w:val="en-US" w:eastAsia="zh-CN"/>
        </w:rPr>
        <w:t>9</w:t>
      </w:r>
      <w:r>
        <w:rPr>
          <w:rFonts w:hint="eastAsia" w:ascii="楷体" w:hAnsi="楷体" w:eastAsia="楷体"/>
          <w:sz w:val="28"/>
          <w:szCs w:val="28"/>
          <w:lang w:eastAsia="zh-CN"/>
        </w:rPr>
        <w:t>日</w:t>
      </w:r>
      <w:r>
        <w:rPr>
          <w:rFonts w:hint="eastAsia" w:ascii="楷体" w:hAnsi="楷体" w:eastAsia="楷体"/>
          <w:sz w:val="28"/>
          <w:szCs w:val="28"/>
        </w:rPr>
        <w:t>开放申赎，苏银理财现对该产品要素进行调整，具体如下：</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1）新增份额</w:t>
      </w:r>
    </w:p>
    <w:tbl>
      <w:tblPr>
        <w:tblStyle w:val="14"/>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3"/>
        <w:gridCol w:w="6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7"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sz w:val="21"/>
                <w:szCs w:val="21"/>
                <w:vertAlign w:val="baseline"/>
              </w:rPr>
            </w:pPr>
            <w:r>
              <w:rPr>
                <w:rFonts w:hint="eastAsia" w:ascii="楷体" w:hAnsi="楷体" w:eastAsia="楷体" w:cs="Times New Roman"/>
                <w:b/>
                <w:bCs/>
                <w:sz w:val="21"/>
                <w:szCs w:val="21"/>
                <w:vertAlign w:val="baseline"/>
                <w:lang w:val="en-US" w:eastAsia="zh-CN"/>
              </w:rPr>
              <w:t>销售简称/销售代码</w:t>
            </w:r>
          </w:p>
        </w:tc>
        <w:tc>
          <w:tcPr>
            <w:tcW w:w="6856" w:type="dxa"/>
            <w:noWrap w:val="0"/>
            <w:vAlign w:val="center"/>
          </w:tcPr>
          <w:p>
            <w:pPr>
              <w:pStyle w:val="30"/>
              <w:kinsoku w:val="0"/>
              <w:overflowPunct w:val="0"/>
              <w:spacing w:before="12"/>
              <w:ind w:right="73" w:rightChars="35"/>
              <w:jc w:val="both"/>
              <w:rPr>
                <w:rFonts w:hint="default" w:ascii="楷体" w:hAnsi="楷体" w:eastAsia="楷体" w:cs="宋体"/>
                <w:spacing w:val="-2"/>
                <w:sz w:val="21"/>
                <w:szCs w:val="21"/>
                <w:highlight w:val="yellow"/>
                <w:lang w:val="en-US"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0"/>
              <w:gridCol w:w="3839"/>
              <w:gridCol w:w="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销售简称</w:t>
                  </w:r>
                </w:p>
              </w:tc>
              <w:tc>
                <w:tcPr>
                  <w:tcW w:w="93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rPr>
                  </w:pPr>
                  <w:r>
                    <w:rPr>
                      <w:rFonts w:hint="eastAsia" w:ascii="楷体" w:hAnsi="楷体" w:eastAsia="楷体" w:cs="宋体"/>
                      <w:b/>
                      <w:bCs/>
                      <w:spacing w:val="-2"/>
                      <w:sz w:val="18"/>
                      <w:szCs w:val="18"/>
                      <w:highlight w:val="none"/>
                      <w:vertAlign w:val="baseline"/>
                      <w:lang w:val="en-US" w:eastAsia="zh-CN"/>
                    </w:rPr>
                    <w:t>销售代码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lang w:eastAsia="zh-CN"/>
                    </w:rPr>
                    <w:t>苏银理财恒源1年定开25期</w:t>
                  </w:r>
                  <w:r>
                    <w:rPr>
                      <w:rFonts w:hint="eastAsia" w:ascii="楷体" w:hAnsi="楷体" w:eastAsia="楷体" w:cs="宋体"/>
                      <w:spacing w:val="-2"/>
                      <w:sz w:val="18"/>
                      <w:szCs w:val="18"/>
                      <w:highlight w:val="none"/>
                      <w:lang w:val="en-US" w:eastAsia="zh-CN"/>
                    </w:rPr>
                    <w:t>C</w:t>
                  </w:r>
                </w:p>
              </w:tc>
              <w:tc>
                <w:tcPr>
                  <w:tcW w:w="935"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J14023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R份额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苏银理财恒源1年定开25期</w:t>
                  </w:r>
                  <w:r>
                    <w:rPr>
                      <w:rFonts w:hint="eastAsia" w:ascii="楷体" w:hAnsi="楷体" w:eastAsia="楷体" w:cs="宋体"/>
                      <w:spacing w:val="-2"/>
                      <w:sz w:val="18"/>
                      <w:szCs w:val="18"/>
                      <w:highlight w:val="none"/>
                      <w:lang w:val="en-US" w:eastAsia="zh-CN"/>
                    </w:rPr>
                    <w:t>R</w:t>
                  </w:r>
                </w:p>
              </w:tc>
              <w:tc>
                <w:tcPr>
                  <w:tcW w:w="935"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J14024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P份额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lang w:eastAsia="zh-CN"/>
                    </w:rPr>
                    <w:t>苏银理财恒源1年定开25期</w:t>
                  </w:r>
                  <w:r>
                    <w:rPr>
                      <w:rFonts w:hint="eastAsia" w:ascii="楷体" w:hAnsi="楷体" w:eastAsia="楷体" w:cs="宋体"/>
                      <w:spacing w:val="-2"/>
                      <w:sz w:val="18"/>
                      <w:szCs w:val="18"/>
                      <w:highlight w:val="none"/>
                      <w:lang w:val="en-US" w:eastAsia="zh-CN"/>
                    </w:rPr>
                    <w:t>P</w:t>
                  </w:r>
                </w:p>
              </w:tc>
              <w:tc>
                <w:tcPr>
                  <w:tcW w:w="935"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J14025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O份额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sz w:val="18"/>
                      <w:szCs w:val="18"/>
                      <w:highlight w:val="none"/>
                      <w:lang w:val="en-US"/>
                    </w:rPr>
                  </w:pPr>
                  <w:r>
                    <w:rPr>
                      <w:rFonts w:hint="eastAsia" w:ascii="楷体" w:hAnsi="楷体" w:eastAsia="楷体" w:cs="宋体"/>
                      <w:spacing w:val="-2"/>
                      <w:sz w:val="18"/>
                      <w:szCs w:val="18"/>
                      <w:highlight w:val="none"/>
                      <w:lang w:eastAsia="zh-CN"/>
                    </w:rPr>
                    <w:t>苏银理财恒源1年定开25期</w:t>
                  </w:r>
                  <w:r>
                    <w:rPr>
                      <w:rFonts w:hint="eastAsia" w:ascii="楷体" w:hAnsi="楷体" w:eastAsia="楷体" w:cs="宋体"/>
                      <w:spacing w:val="-2"/>
                      <w:sz w:val="18"/>
                      <w:szCs w:val="18"/>
                      <w:highlight w:val="none"/>
                      <w:lang w:val="en-US" w:eastAsia="zh-CN"/>
                    </w:rPr>
                    <w:t>O（兰州银行开门红专属）</w:t>
                  </w:r>
                </w:p>
              </w:tc>
              <w:tc>
                <w:tcPr>
                  <w:tcW w:w="935"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J14026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U份额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苏银理财恒源1年定开25期</w:t>
                  </w:r>
                  <w:r>
                    <w:rPr>
                      <w:rFonts w:hint="eastAsia" w:ascii="楷体" w:hAnsi="楷体" w:eastAsia="楷体" w:cs="宋体"/>
                      <w:spacing w:val="-2"/>
                      <w:sz w:val="18"/>
                      <w:szCs w:val="18"/>
                      <w:highlight w:val="none"/>
                      <w:lang w:val="en-US" w:eastAsia="zh-CN"/>
                    </w:rPr>
                    <w:t>U</w:t>
                  </w:r>
                </w:p>
              </w:tc>
              <w:tc>
                <w:tcPr>
                  <w:tcW w:w="935"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J14027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苏银理财恒源1年定开25期</w:t>
                  </w:r>
                  <w:r>
                    <w:rPr>
                      <w:rFonts w:hint="eastAsia" w:ascii="楷体" w:hAnsi="楷体" w:eastAsia="楷体" w:cs="宋体"/>
                      <w:spacing w:val="-2"/>
                      <w:sz w:val="18"/>
                      <w:szCs w:val="18"/>
                      <w:highlight w:val="none"/>
                      <w:lang w:val="en-US" w:eastAsia="zh-CN"/>
                    </w:rPr>
                    <w:t>Z</w:t>
                  </w:r>
                </w:p>
              </w:tc>
              <w:tc>
                <w:tcPr>
                  <w:tcW w:w="935"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J14028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ZF2份额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苏银理财恒源1年定开25期</w:t>
                  </w:r>
                  <w:r>
                    <w:rPr>
                      <w:rFonts w:hint="eastAsia" w:ascii="楷体" w:hAnsi="楷体" w:eastAsia="楷体" w:cs="宋体"/>
                      <w:spacing w:val="-2"/>
                      <w:sz w:val="18"/>
                      <w:szCs w:val="18"/>
                      <w:highlight w:val="none"/>
                      <w:lang w:val="en-US" w:eastAsia="zh-CN"/>
                    </w:rPr>
                    <w:t>ZF2（自动赎回）</w:t>
                  </w:r>
                </w:p>
              </w:tc>
              <w:tc>
                <w:tcPr>
                  <w:tcW w:w="935"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J14597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ZC份额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苏银理财恒源1年定开25期ZC鑫福优享（自动赎回）</w:t>
                  </w:r>
                </w:p>
              </w:tc>
              <w:tc>
                <w:tcPr>
                  <w:tcW w:w="935" w:type="dxa"/>
                  <w:noWrap w:val="0"/>
                  <w:vAlign w:val="center"/>
                </w:tcPr>
                <w:p>
                  <w:pPr>
                    <w:keepNext w:val="0"/>
                    <w:keepLines w:val="0"/>
                    <w:widowControl/>
                    <w:suppressLineNumbers w:val="0"/>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J14029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ZK份额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苏银理财恒源1年定开25期ZK鑫福尊享（自动赎回）</w:t>
                  </w:r>
                </w:p>
              </w:tc>
              <w:tc>
                <w:tcPr>
                  <w:tcW w:w="935" w:type="dxa"/>
                  <w:noWrap w:val="0"/>
                  <w:vAlign w:val="center"/>
                </w:tcPr>
                <w:p>
                  <w:pPr>
                    <w:keepNext w:val="0"/>
                    <w:keepLines w:val="0"/>
                    <w:widowControl/>
                    <w:suppressLineNumbers w:val="0"/>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J14030</w:t>
                  </w:r>
                </w:p>
              </w:tc>
            </w:tr>
          </w:tbl>
          <w:p>
            <w:pPr>
              <w:pStyle w:val="30"/>
              <w:kinsoku w:val="0"/>
              <w:overflowPunct w:val="0"/>
              <w:spacing w:before="12"/>
              <w:ind w:right="73" w:rightChars="35"/>
              <w:jc w:val="both"/>
              <w:rPr>
                <w:rFonts w:hint="default" w:ascii="楷体" w:hAnsi="楷体" w:eastAsia="楷体" w:cs="宋体"/>
                <w:spacing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yellow"/>
                <w:vertAlign w:val="baseline"/>
              </w:rPr>
            </w:pPr>
            <w:r>
              <w:rPr>
                <w:rFonts w:hint="eastAsia" w:ascii="楷体" w:hAnsi="楷体" w:eastAsia="楷体" w:cs="Times New Roman"/>
                <w:b/>
                <w:bCs/>
                <w:sz w:val="21"/>
                <w:szCs w:val="21"/>
                <w:highlight w:val="none"/>
                <w:vertAlign w:val="baseline"/>
                <w:lang w:val="en-US" w:eastAsia="zh-CN"/>
              </w:rPr>
              <w:t>销售对象</w:t>
            </w:r>
          </w:p>
        </w:tc>
        <w:tc>
          <w:tcPr>
            <w:tcW w:w="6856"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个人和机构</w:t>
            </w:r>
          </w:p>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Times New Roman"/>
                <w:b/>
                <w:bCs/>
                <w:sz w:val="21"/>
                <w:szCs w:val="21"/>
                <w:highlight w:val="yellow"/>
                <w:vertAlign w:val="baseline"/>
                <w:lang w:eastAsia="zh-CN"/>
              </w:rPr>
            </w:pPr>
            <w:r>
              <w:rPr>
                <w:rFonts w:hint="eastAsia" w:ascii="楷体" w:hAnsi="楷体" w:eastAsia="楷体" w:cs="楷体"/>
                <w:i w:val="0"/>
                <w:iCs w:val="0"/>
                <w:color w:val="000000"/>
                <w:kern w:val="0"/>
                <w:sz w:val="21"/>
                <w:szCs w:val="21"/>
                <w:highlight w:val="none"/>
                <w:u w:val="none"/>
                <w:lang w:val="en-US" w:eastAsia="zh-CN" w:bidi="ar"/>
              </w:rPr>
              <w:t>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0"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none"/>
                <w:vertAlign w:val="baseline"/>
                <w:lang w:val="en-US" w:eastAsia="zh-CN"/>
              </w:rPr>
            </w:pPr>
            <w:r>
              <w:rPr>
                <w:rFonts w:hint="eastAsia" w:ascii="楷体" w:hAnsi="楷体" w:eastAsia="楷体" w:cs="Times New Roman"/>
                <w:b/>
                <w:bCs/>
                <w:sz w:val="21"/>
                <w:szCs w:val="21"/>
              </w:rPr>
              <w:t>购买起点/追加金额</w:t>
            </w:r>
          </w:p>
        </w:tc>
        <w:tc>
          <w:tcPr>
            <w:tcW w:w="6856" w:type="dxa"/>
            <w:noWrap w:val="0"/>
            <w:vAlign w:val="center"/>
          </w:tcPr>
          <w:tbl>
            <w:tblPr>
              <w:tblStyle w:val="14"/>
              <w:tblpPr w:leftFromText="180" w:rightFromText="180" w:vertAnchor="text" w:horzAnchor="page" w:tblpX="162" w:tblpY="2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0"/>
              <w:gridCol w:w="2411"/>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认购起点</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rPr>
                  </w:pPr>
                  <w:r>
                    <w:rPr>
                      <w:rFonts w:hint="default" w:ascii="楷体" w:hAnsi="楷体" w:eastAsia="楷体" w:cs="宋体"/>
                      <w:b/>
                      <w:bCs/>
                      <w:spacing w:val="-2"/>
                      <w:sz w:val="18"/>
                      <w:szCs w:val="18"/>
                      <w:highlight w:val="none"/>
                      <w:vertAlign w:val="baseline"/>
                      <w:lang w:val="en-US"/>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10,000元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sz w:val="18"/>
                      <w:szCs w:val="18"/>
                      <w:lang w:val="en-US" w:eastAsia="zh-CN"/>
                    </w:rPr>
                  </w:pPr>
                  <w:r>
                    <w:rPr>
                      <w:rFonts w:hint="eastAsia" w:ascii="楷体" w:hAnsi="楷体" w:eastAsia="楷体"/>
                      <w:sz w:val="18"/>
                      <w:szCs w:val="18"/>
                      <w:lang w:val="en-US" w:eastAsia="zh-CN"/>
                    </w:rPr>
                    <w:t>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R份额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1元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P份额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O份额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U份额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ZF2份额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sz w:val="18"/>
                      <w:szCs w:val="18"/>
                      <w:lang w:eastAsia="zh-CN"/>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ZC份额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10,000元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val="en-US" w:eastAsia="zh-CN"/>
                    </w:rPr>
                    <w:t>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ZK份额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个人投资者：500,000元</w:t>
                  </w:r>
                </w:p>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机构投资者：30,000,000元</w:t>
                  </w:r>
                </w:p>
              </w:tc>
              <w:tc>
                <w:tcPr>
                  <w:tcW w:w="2125"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val="en-US" w:eastAsia="zh-CN"/>
                    </w:rPr>
                    <w:t>10,000元的整数倍</w:t>
                  </w:r>
                </w:p>
              </w:tc>
            </w:tr>
          </w:tbl>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份额募集期</w:t>
            </w:r>
          </w:p>
        </w:tc>
        <w:tc>
          <w:tcPr>
            <w:tcW w:w="6856"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28</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9</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份额成立日</w:t>
            </w:r>
          </w:p>
        </w:tc>
        <w:tc>
          <w:tcPr>
            <w:tcW w:w="6856"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2026年3月10日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9"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开放计划</w:t>
            </w:r>
          </w:p>
        </w:tc>
        <w:tc>
          <w:tcPr>
            <w:tcW w:w="6856" w:type="dxa"/>
            <w:noWrap w:val="0"/>
            <w:vAlign w:val="center"/>
          </w:tcPr>
          <w:p>
            <w:pPr>
              <w:pStyle w:val="30"/>
              <w:kinsoku w:val="0"/>
              <w:overflowPunct w:val="0"/>
              <w:spacing w:before="12"/>
              <w:ind w:right="73" w:rightChars="35"/>
              <w:jc w:val="both"/>
              <w:rPr>
                <w:rFonts w:hint="eastAsia" w:ascii="楷体" w:hAnsi="楷体" w:eastAsia="楷体" w:cs="Times New Roman"/>
                <w:b/>
                <w:bCs/>
                <w:kern w:val="0"/>
                <w:sz w:val="21"/>
                <w:szCs w:val="21"/>
                <w:u w:val="single"/>
                <w:lang w:val="en-US" w:eastAsia="zh-CN" w:bidi="ar-SA"/>
              </w:rPr>
            </w:pPr>
            <w:r>
              <w:rPr>
                <w:rFonts w:hint="eastAsia" w:ascii="楷体" w:hAnsi="楷体" w:eastAsia="楷体" w:cs="Times New Roman"/>
                <w:kern w:val="0"/>
                <w:sz w:val="21"/>
                <w:szCs w:val="21"/>
                <w:lang w:val="en-US" w:eastAsia="zh-CN" w:bidi="ar-SA"/>
              </w:rPr>
              <w:t>本产品按投资周期开放申购与赎回，最新投资周期（2026年3月10日-2027年3月29日）开放申购与赎回时间为：</w:t>
            </w:r>
            <w:r>
              <w:rPr>
                <w:rFonts w:hint="eastAsia" w:ascii="楷体" w:hAnsi="楷体" w:eastAsia="楷体" w:cs="Times New Roman"/>
                <w:b/>
                <w:bCs/>
                <w:kern w:val="0"/>
                <w:sz w:val="21"/>
                <w:szCs w:val="21"/>
                <w:lang w:val="en-US" w:eastAsia="zh-CN" w:bidi="ar-SA"/>
              </w:rPr>
              <w:t>2026年2月28日至2026年3月9日</w:t>
            </w:r>
            <w:r>
              <w:rPr>
                <w:rFonts w:hint="eastAsia" w:ascii="楷体" w:hAnsi="楷体" w:eastAsia="楷体" w:cs="Times New Roman"/>
                <w:kern w:val="0"/>
                <w:sz w:val="21"/>
                <w:szCs w:val="21"/>
                <w:lang w:val="en-US" w:eastAsia="zh-CN" w:bidi="ar-SA"/>
              </w:rPr>
              <w:t>（以各销售机构设置的时间为准）。投资者可在此期间提交申购/赎回申请，投资者未赎回的部分自动进入下一个投资周期。</w:t>
            </w:r>
            <w:r>
              <w:rPr>
                <w:rFonts w:hint="eastAsia" w:ascii="楷体" w:hAnsi="楷体" w:eastAsia="楷体" w:cs="Times New Roman"/>
                <w:b/>
                <w:bCs/>
                <w:kern w:val="0"/>
                <w:sz w:val="21"/>
                <w:szCs w:val="21"/>
                <w:lang w:val="en-US" w:eastAsia="zh-CN" w:bidi="ar-SA"/>
              </w:rPr>
              <w:t>(其中ZF2/ZC/ZK份额由系统主动发起赎回申请，投资者无须发起赎回申请。)</w:t>
            </w:r>
            <w:r>
              <w:rPr>
                <w:rFonts w:hint="eastAsia" w:ascii="楷体" w:hAnsi="楷体" w:eastAsia="楷体" w:cs="Times New Roman"/>
                <w:b/>
                <w:bCs/>
                <w:kern w:val="0"/>
                <w:sz w:val="21"/>
                <w:szCs w:val="21"/>
                <w:u w:val="single"/>
                <w:lang w:val="en-US" w:eastAsia="zh-CN" w:bidi="ar-SA"/>
              </w:rPr>
              <w:t>除开放计划外的其他时间，管理人不接受投资者申购、赎回申请。</w:t>
            </w:r>
          </w:p>
          <w:p>
            <w:pPr>
              <w:pStyle w:val="30"/>
              <w:kinsoku w:val="0"/>
              <w:overflowPunct w:val="0"/>
              <w:spacing w:before="12"/>
              <w:ind w:right="73" w:rightChars="35"/>
              <w:jc w:val="both"/>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管理人有权根据资产运作情况、节假日安排调整开放计划，并在调整前进行公告。</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份额其他产品要素以产品说明书约定为准，后续如有调整，以产品管理人公告为准。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highlight w:val="none"/>
          <w:lang w:val="en-US" w:eastAsia="zh-CN" w:bidi="ar-SA"/>
        </w:rPr>
      </w:pPr>
      <w:r>
        <w:rPr>
          <w:rFonts w:hint="eastAsia" w:ascii="楷体" w:hAnsi="楷体" w:eastAsia="楷体" w:cs="Times New Roman"/>
          <w:kern w:val="0"/>
          <w:sz w:val="28"/>
          <w:szCs w:val="28"/>
          <w:highlight w:val="none"/>
          <w:lang w:val="en-US" w:eastAsia="zh-CN" w:bidi="ar-SA"/>
        </w:rPr>
        <w:t>调整ZA份额名称</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份额名称</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i w:val="0"/>
                <w:iCs w:val="0"/>
                <w:color w:val="000000"/>
                <w:kern w:val="0"/>
                <w:sz w:val="18"/>
                <w:szCs w:val="18"/>
                <w:highlight w:val="none"/>
                <w:u w:val="none"/>
                <w:lang w:val="en-US" w:eastAsia="zh-CN" w:bidi="ar"/>
              </w:rPr>
              <w:t>苏银理财恒源1年定开25期ZA（自动赎回）</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i w:val="0"/>
                <w:iCs w:val="0"/>
                <w:color w:val="000000"/>
                <w:kern w:val="0"/>
                <w:sz w:val="18"/>
                <w:szCs w:val="18"/>
                <w:highlight w:val="none"/>
                <w:u w:val="none"/>
                <w:lang w:val="en-US" w:eastAsia="zh-CN" w:bidi="ar"/>
              </w:rPr>
              <w:t>苏银理财恒源1年定开25期ZA鑫福款（自动赎回）</w:t>
            </w:r>
          </w:p>
        </w:tc>
      </w:tr>
    </w:tbl>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调整D份额销售对象、认购起点/追加金额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销售对象</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cs="Times New Roman"/>
                <w:sz w:val="21"/>
                <w:szCs w:val="21"/>
                <w:lang w:val="en-US" w:eastAsia="zh-CN"/>
              </w:rPr>
              <w:t>面向个人投资者销售（销售机构江苏银行仅限财富客户购买，江苏银行财富客户指在江苏银行日均资产大于等于200万元的个人客户）。</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sz w:val="21"/>
                <w:szCs w:val="21"/>
                <w:lang w:val="en-US" w:eastAsia="zh-CN"/>
              </w:rPr>
              <w:t>面向个人</w:t>
            </w:r>
            <w:r>
              <w:rPr>
                <w:rFonts w:hint="eastAsia" w:ascii="楷体" w:hAnsi="楷体" w:eastAsia="楷体"/>
                <w:sz w:val="21"/>
                <w:szCs w:val="21"/>
                <w:lang w:val="en-US" w:eastAsia="zh-CN"/>
              </w:rPr>
              <w:t>和机构投资者</w:t>
            </w:r>
            <w:r>
              <w:rPr>
                <w:rFonts w:hint="default" w:ascii="楷体" w:hAnsi="楷体" w:eastAsia="楷体"/>
                <w:sz w:val="21"/>
                <w:szCs w:val="21"/>
                <w:lang w:val="en-US" w:eastAsia="zh-CN"/>
              </w:rPr>
              <w:t>销售（销售机构江苏银行个人投资者仅限财富客户，江苏银行财富客户指在江苏银行日均资产大于等于200万元的个人客户</w:t>
            </w:r>
            <w:r>
              <w:rPr>
                <w:rFonts w:hint="eastAsia" w:ascii="楷体" w:hAnsi="楷体" w:eastAsia="楷体"/>
                <w:sz w:val="21"/>
                <w:szCs w:val="21"/>
                <w:lang w:val="en-US" w:eastAsia="zh-CN"/>
              </w:rPr>
              <w:t>；机构投资者具体以销售机构设置为准</w:t>
            </w:r>
            <w:r>
              <w:rPr>
                <w:rFonts w:hint="default" w:ascii="楷体" w:hAnsi="楷体" w:eastAsia="楷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sz w:val="21"/>
                <w:szCs w:val="21"/>
                <w:lang w:val="en-US" w:eastAsia="zh-CN"/>
              </w:rPr>
              <w:t>D份额认购起点50万元，追加金额为1万元的整数倍。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sz w:val="21"/>
                <w:szCs w:val="21"/>
                <w:lang w:val="en-US" w:eastAsia="zh-CN"/>
              </w:rPr>
              <w:t>D份额个人投资者认购起点50万元，追加金额为1万元的整数倍；机构投资者认购起点3000万元，追加金额为1万元的整数倍。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textAlignment w:val="auto"/>
        <w:outlineLvl w:val="9"/>
        <w:rPr>
          <w:rFonts w:hint="eastAsia" w:ascii="楷体" w:eastAsia="楷体" w:cs="楷体"/>
          <w:kern w:val="0"/>
          <w:szCs w:val="21"/>
        </w:rPr>
      </w:pPr>
      <w:r>
        <w:rPr>
          <w:rFonts w:hint="eastAsia" w:ascii="楷体" w:eastAsia="楷体" w:cs="楷体"/>
          <w:kern w:val="0"/>
          <w:szCs w:val="21"/>
        </w:rPr>
        <w:t>认购起点</w:t>
      </w:r>
      <w:r>
        <w:rPr>
          <w:rFonts w:ascii="楷体" w:eastAsia="楷体" w:cs="楷体"/>
          <w:kern w:val="0"/>
          <w:szCs w:val="21"/>
        </w:rPr>
        <w:t>/</w:t>
      </w:r>
      <w:r>
        <w:rPr>
          <w:rFonts w:hint="eastAsia" w:ascii="楷体" w:eastAsia="楷体" w:cs="楷体"/>
          <w:kern w:val="0"/>
          <w:szCs w:val="21"/>
        </w:rPr>
        <w:t>追加金额具体以</w:t>
      </w:r>
      <w:r>
        <w:rPr>
          <w:rFonts w:hint="eastAsia" w:ascii="楷体" w:eastAsia="楷体" w:cs="楷体"/>
          <w:kern w:val="0"/>
          <w:szCs w:val="21"/>
          <w:lang w:val="en-US" w:eastAsia="zh-CN"/>
        </w:rPr>
        <w:t>销售</w:t>
      </w:r>
      <w:r>
        <w:rPr>
          <w:rFonts w:hint="eastAsia" w:ascii="楷体" w:eastAsia="楷体" w:cs="楷体"/>
          <w:kern w:val="0"/>
          <w:szCs w:val="21"/>
        </w:rPr>
        <w:t>机构设置为准。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调整G份额认购起点/追加金额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G</w:t>
            </w:r>
            <w:r>
              <w:rPr>
                <w:rFonts w:hint="default" w:ascii="楷体" w:hAnsi="楷体" w:eastAsia="楷体"/>
                <w:sz w:val="21"/>
                <w:szCs w:val="21"/>
                <w:lang w:val="en-US" w:eastAsia="zh-CN"/>
              </w:rPr>
              <w:t>份额认购起点</w:t>
            </w:r>
            <w:r>
              <w:rPr>
                <w:rFonts w:hint="eastAsia" w:ascii="楷体" w:hAnsi="楷体" w:eastAsia="楷体"/>
                <w:sz w:val="21"/>
                <w:szCs w:val="21"/>
                <w:lang w:val="en-US" w:eastAsia="zh-CN"/>
              </w:rPr>
              <w:t>1</w:t>
            </w:r>
            <w:r>
              <w:rPr>
                <w:rFonts w:hint="default" w:ascii="楷体" w:hAnsi="楷体" w:eastAsia="楷体"/>
                <w:sz w:val="21"/>
                <w:szCs w:val="21"/>
                <w:lang w:val="en-US" w:eastAsia="zh-CN"/>
              </w:rPr>
              <w:t>元，追加金额为1元的整数倍。</w:t>
            </w:r>
          </w:p>
        </w:tc>
        <w:tc>
          <w:tcPr>
            <w:tcW w:w="290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G</w:t>
            </w:r>
            <w:r>
              <w:rPr>
                <w:rFonts w:hint="default" w:ascii="楷体" w:hAnsi="楷体" w:eastAsia="楷体"/>
                <w:sz w:val="21"/>
                <w:szCs w:val="21"/>
                <w:lang w:val="en-US" w:eastAsia="zh-CN"/>
              </w:rPr>
              <w:t>份额认购起点</w:t>
            </w:r>
            <w:r>
              <w:rPr>
                <w:rFonts w:hint="eastAsia" w:ascii="楷体" w:hAnsi="楷体" w:eastAsia="楷体"/>
                <w:sz w:val="21"/>
                <w:szCs w:val="21"/>
                <w:lang w:val="en-US" w:eastAsia="zh-CN"/>
              </w:rPr>
              <w:t>20万元</w:t>
            </w:r>
            <w:r>
              <w:rPr>
                <w:rFonts w:hint="default" w:ascii="楷体" w:hAnsi="楷体" w:eastAsia="楷体"/>
                <w:sz w:val="21"/>
                <w:szCs w:val="21"/>
                <w:lang w:val="en-US" w:eastAsia="zh-CN"/>
              </w:rPr>
              <w:t>，追加金额为</w:t>
            </w:r>
            <w:r>
              <w:rPr>
                <w:rFonts w:hint="eastAsia" w:ascii="楷体" w:hAnsi="楷体" w:eastAsia="楷体"/>
                <w:sz w:val="21"/>
                <w:szCs w:val="21"/>
                <w:lang w:val="en-US" w:eastAsia="zh-CN"/>
              </w:rPr>
              <w:t>1万</w:t>
            </w:r>
            <w:r>
              <w:rPr>
                <w:rFonts w:hint="default" w:ascii="楷体" w:hAnsi="楷体" w:eastAsia="楷体"/>
                <w:sz w:val="21"/>
                <w:szCs w:val="21"/>
                <w:lang w:val="en-US" w:eastAsia="zh-CN"/>
              </w:rPr>
              <w:t>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textAlignment w:val="auto"/>
        <w:outlineLvl w:val="9"/>
        <w:rPr>
          <w:rFonts w:hint="eastAsia" w:ascii="楷体" w:hAnsi="楷体" w:eastAsia="楷体" w:cs="Times New Roman"/>
          <w:sz w:val="28"/>
          <w:szCs w:val="28"/>
          <w:lang w:val="en-US" w:eastAsia="zh-CN"/>
        </w:rPr>
      </w:pPr>
      <w:r>
        <w:rPr>
          <w:rFonts w:hint="eastAsia" w:ascii="楷体" w:eastAsia="楷体" w:cs="楷体"/>
          <w:kern w:val="0"/>
          <w:szCs w:val="21"/>
        </w:rPr>
        <w:t>认购起点</w:t>
      </w:r>
      <w:r>
        <w:rPr>
          <w:rFonts w:ascii="楷体" w:eastAsia="楷体" w:cs="楷体"/>
          <w:kern w:val="0"/>
          <w:szCs w:val="21"/>
        </w:rPr>
        <w:t>/</w:t>
      </w:r>
      <w:r>
        <w:rPr>
          <w:rFonts w:hint="eastAsia" w:ascii="楷体" w:eastAsia="楷体" w:cs="楷体"/>
          <w:kern w:val="0"/>
          <w:szCs w:val="21"/>
        </w:rPr>
        <w:t>追加金额具体以</w:t>
      </w:r>
      <w:r>
        <w:rPr>
          <w:rFonts w:hint="eastAsia" w:ascii="楷体" w:eastAsia="楷体" w:cs="楷体"/>
          <w:kern w:val="0"/>
          <w:szCs w:val="21"/>
          <w:lang w:val="en-US" w:eastAsia="zh-CN"/>
        </w:rPr>
        <w:t>销售</w:t>
      </w:r>
      <w:r>
        <w:rPr>
          <w:rFonts w:hint="eastAsia" w:ascii="楷体" w:eastAsia="楷体" w:cs="楷体"/>
          <w:kern w:val="0"/>
          <w:szCs w:val="21"/>
        </w:rPr>
        <w:t>机构设置为准。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调整业绩比较基准与超额业绩报酬</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default" w:ascii="楷体" w:hAnsi="楷体" w:eastAsia="楷体" w:cs="Times New Roman"/>
          <w:kern w:val="0"/>
          <w:sz w:val="28"/>
          <w:szCs w:val="28"/>
          <w:lang w:val="en-US" w:eastAsia="zh-CN" w:bidi="ar-SA"/>
        </w:rPr>
        <w:t>根据产品实际投资运作情况及市场变化情况</w:t>
      </w:r>
      <w:r>
        <w:rPr>
          <w:rFonts w:hint="eastAsia" w:ascii="楷体" w:hAnsi="楷体" w:eastAsia="楷体" w:cs="Times New Roman"/>
          <w:kern w:val="0"/>
          <w:sz w:val="28"/>
          <w:szCs w:val="28"/>
          <w:lang w:val="en-US" w:eastAsia="zh-CN" w:bidi="ar-SA"/>
        </w:rPr>
        <w:t>，管理人现对该理财产品的业绩比较基准和超额业绩报酬计提方式进行调整。</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eastAsia="zh-CN"/>
        </w:rPr>
      </w:pPr>
      <w:r>
        <w:rPr>
          <w:rFonts w:hint="default"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3561"/>
        <w:gridCol w:w="3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eastAsia" w:ascii="楷体" w:hAnsi="楷体" w:eastAsia="楷体"/>
                <w:b/>
                <w:bCs/>
                <w:sz w:val="21"/>
                <w:szCs w:val="21"/>
              </w:rPr>
            </w:pPr>
            <w:r>
              <w:rPr>
                <w:rFonts w:hint="eastAsia" w:ascii="楷体" w:hAnsi="楷体" w:eastAsia="楷体"/>
                <w:b/>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内容</w:t>
            </w:r>
          </w:p>
        </w:tc>
        <w:tc>
          <w:tcPr>
            <w:tcW w:w="3561"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376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业绩比较</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基准</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（年化）</w:t>
            </w:r>
          </w:p>
        </w:tc>
        <w:tc>
          <w:tcPr>
            <w:tcW w:w="3561"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A份额2.65%-3.25%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B份额2.68%-3.28%</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D份额2.80%-3.40%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F份额2.65%-3.25%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G份额2.70%-3.30%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H份额2.75%-3.35%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J份额2.75%-3.35%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ZA份额2.65%-3.25%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ZF份额2.65%-3.25%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default" w:ascii="楷体" w:hAnsi="楷体" w:eastAsia="楷体" w:cs="楷体"/>
                <w:lang w:val="en-US" w:eastAsia="zh-CN"/>
              </w:rPr>
              <w:t>ZN份额2.80%-3.40%</w:t>
            </w:r>
          </w:p>
        </w:tc>
        <w:tc>
          <w:tcPr>
            <w:tcW w:w="376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2.48%-3.08%</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C份额 2.50%-3.10%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2.48%-3.08%</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H份额 2.50%-3.10%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R份额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O份额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U份额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ZF2份额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ZC份额 2.50%-3.10%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ZK份额 2.60%-3.20%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5"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eastAsia" w:ascii="楷体" w:hAnsi="楷体" w:eastAsia="楷体"/>
                <w:sz w:val="21"/>
                <w:szCs w:val="21"/>
              </w:rPr>
            </w:pPr>
            <w:r>
              <w:rPr>
                <w:rFonts w:hint="eastAsia" w:ascii="楷体" w:hAnsi="楷体" w:eastAsia="楷体"/>
                <w:sz w:val="21"/>
                <w:szCs w:val="21"/>
              </w:rPr>
              <w:t>超额业绩</w:t>
            </w:r>
          </w:p>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ascii="楷体" w:hAnsi="楷体" w:eastAsia="楷体"/>
                <w:sz w:val="21"/>
                <w:szCs w:val="21"/>
              </w:rPr>
            </w:pPr>
            <w:r>
              <w:rPr>
                <w:rFonts w:hint="eastAsia" w:ascii="楷体" w:hAnsi="楷体" w:eastAsia="楷体"/>
                <w:sz w:val="21"/>
                <w:szCs w:val="21"/>
              </w:rPr>
              <w:t>报酬</w:t>
            </w:r>
          </w:p>
        </w:tc>
        <w:tc>
          <w:tcPr>
            <w:tcW w:w="3561" w:type="dxa"/>
            <w:noWrap w:val="0"/>
            <w:vAlign w:val="center"/>
          </w:tcPr>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管理人按投资周期收取超额业绩报酬。假设单一投资周期的各份额实际年化投资收益在扣除托管费、销售服务费、投资管理费以及运作产品所必须缴纳的税费后为R：</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若R&lt;业绩比较基准下限+（业绩比较基准上限-业绩比较基准下限）*60%，管理人无超额业绩报酬；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若业绩比较基准下限+（业绩比较基准上限-业绩比较基准下限）*60%≤R&lt;业绩比较基准上限，管理人对超出【业绩比较基准下限+（业绩比较基准上限-业绩比较基准下限）*60%】的部分，收取40%的超额业绩报酬；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业绩比较基准上限，管理人对【业绩比较基准下限+（业绩比较基准上限-业绩比较基准下限）*60%】与业绩比较基准上限之间的部分，收取40%的超额业绩报酬；管理人对超出业绩比较基准上限的部分，收取60%的超额业绩报酬。</w:t>
            </w:r>
          </w:p>
        </w:tc>
        <w:tc>
          <w:tcPr>
            <w:tcW w:w="3765" w:type="dxa"/>
            <w:noWrap w:val="0"/>
            <w:vAlign w:val="center"/>
          </w:tcPr>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sz w:val="18"/>
                <w:szCs w:val="18"/>
              </w:rPr>
            </w:pPr>
            <w:r>
              <w:rPr>
                <w:rFonts w:hint="eastAsia" w:ascii="楷体" w:hAnsi="楷体" w:eastAsia="楷体" w:cs="宋体"/>
                <w:spacing w:val="-2"/>
                <w:sz w:val="18"/>
                <w:szCs w:val="18"/>
                <w:highlight w:val="none"/>
              </w:rPr>
              <w:t>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p>
        </w:tc>
      </w:tr>
    </w:tbl>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调整说明书的销售费和管理费</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2999"/>
        <w:gridCol w:w="4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eastAsia" w:ascii="楷体" w:hAnsi="楷体" w:eastAsia="楷体"/>
                <w:b/>
                <w:bCs/>
                <w:sz w:val="21"/>
                <w:szCs w:val="21"/>
              </w:rPr>
            </w:pPr>
            <w:r>
              <w:rPr>
                <w:rFonts w:hint="eastAsia" w:ascii="楷体" w:hAnsi="楷体" w:eastAsia="楷体"/>
                <w:b/>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内容</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销售服务费率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A份额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B份额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D份额 0.05%/年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F份额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G份额 0.05%/年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H份额 0.05%/年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J份额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ZA份额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ZF份额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lang w:val="en-US" w:eastAsia="zh-CN"/>
              </w:rPr>
            </w:pPr>
            <w:r>
              <w:rPr>
                <w:rFonts w:hint="eastAsia" w:ascii="楷体" w:hAnsi="楷体" w:eastAsia="楷体"/>
                <w:sz w:val="20"/>
                <w:szCs w:val="20"/>
              </w:rPr>
              <w:t>ZN份额 0.00%/年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C份额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H份额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R份额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O份额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U份额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ZF2份额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ZC份额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ZK份额 0.50%/年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投资管理费率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A份额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B份额 0.27%/年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D份额 0.20%/年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F份额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G份额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H份额 0.25%/年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J份额 0.20%/年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ZA份额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ZF份额 0.30%/年</w:t>
            </w:r>
          </w:p>
          <w:p>
            <w:pPr>
              <w:pStyle w:val="2"/>
              <w:keepNext w:val="0"/>
              <w:keepLines w:val="0"/>
              <w:pageBreakBefore w:val="0"/>
              <w:kinsoku/>
              <w:wordWrap/>
              <w:overflowPunct/>
              <w:topLinePunct w:val="0"/>
              <w:bidi w:val="0"/>
              <w:snapToGrid/>
              <w:spacing w:before="0" w:line="0" w:lineRule="atLeast"/>
              <w:ind w:right="0" w:rightChars="0"/>
              <w:jc w:val="center"/>
              <w:rPr>
                <w:rFonts w:hint="default" w:ascii="楷体" w:hAnsi="楷体" w:eastAsia="楷体"/>
                <w:sz w:val="18"/>
                <w:szCs w:val="18"/>
                <w:lang w:val="en-US" w:eastAsia="zh-CN"/>
              </w:rPr>
            </w:pPr>
            <w:r>
              <w:rPr>
                <w:rFonts w:hint="eastAsia" w:ascii="楷体" w:hAnsi="楷体" w:eastAsia="楷体"/>
                <w:sz w:val="20"/>
                <w:szCs w:val="20"/>
              </w:rPr>
              <w:t>ZN份额 0.25%/年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0.80%/年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0.77%/年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C份额 0.75%/年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0.72%/年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H份额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R份额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O份额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U份额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ZF2份额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ZC份额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sz w:val="18"/>
                <w:szCs w:val="18"/>
                <w:lang w:val="en-US"/>
              </w:rPr>
            </w:pPr>
            <w:r>
              <w:rPr>
                <w:rFonts w:hint="eastAsia" w:ascii="楷体" w:hAnsi="楷体" w:eastAsia="楷体" w:cs="楷体"/>
                <w:lang w:val="en-US" w:eastAsia="zh-CN"/>
              </w:rPr>
              <w:t>ZK份额 0.65%/年</w:t>
            </w:r>
          </w:p>
        </w:tc>
      </w:tr>
    </w:tbl>
    <w:p>
      <w:pPr>
        <w:pStyle w:val="2"/>
        <w:numPr>
          <w:ilvl w:val="0"/>
          <w:numId w:val="0"/>
        </w:numPr>
        <w:spacing w:before="0" w:line="480" w:lineRule="auto"/>
        <w:ind w:firstLine="560" w:firstLineChars="200"/>
        <w:jc w:val="both"/>
        <w:rPr>
          <w:rFonts w:hint="default"/>
          <w:lang w:val="en-US" w:eastAsia="zh-CN"/>
        </w:rPr>
      </w:pPr>
      <w:r>
        <w:rPr>
          <w:rFonts w:hint="eastAsia" w:ascii="楷体" w:hAnsi="楷体" w:eastAsia="楷体"/>
          <w:sz w:val="28"/>
          <w:szCs w:val="28"/>
          <w:lang w:val="en-US" w:eastAsia="zh-CN"/>
        </w:rPr>
        <w:t>产品存续期内管理人可根据业务情况对费用进行优惠，实际收取费率以管理人公告为准。</w:t>
      </w:r>
    </w:p>
    <w:p>
      <w:pPr>
        <w:pStyle w:val="2"/>
        <w:spacing w:before="0" w:line="480" w:lineRule="auto"/>
        <w:ind w:left="0" w:leftChars="0" w:firstLine="560" w:firstLineChars="200"/>
        <w:jc w:val="both"/>
        <w:rPr>
          <w:rFonts w:ascii="楷体" w:hAnsi="楷体" w:eastAsia="楷体"/>
          <w:sz w:val="28"/>
          <w:szCs w:val="28"/>
        </w:rPr>
      </w:pPr>
      <w:r>
        <w:rPr>
          <w:rFonts w:hint="eastAsia" w:ascii="楷体" w:hAnsi="楷体" w:eastAsia="楷体"/>
          <w:sz w:val="28"/>
          <w:szCs w:val="28"/>
        </w:rPr>
        <w:t>上述调整将于</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3</w:t>
      </w:r>
      <w:r>
        <w:rPr>
          <w:rFonts w:hint="eastAsia" w:ascii="楷体" w:hAnsi="楷体" w:eastAsia="楷体"/>
          <w:sz w:val="28"/>
          <w:szCs w:val="28"/>
          <w:lang w:eastAsia="zh-CN"/>
        </w:rPr>
        <w:t>月</w:t>
      </w:r>
      <w:r>
        <w:rPr>
          <w:rFonts w:hint="eastAsia" w:ascii="楷体" w:hAnsi="楷体" w:eastAsia="楷体"/>
          <w:sz w:val="28"/>
          <w:szCs w:val="28"/>
          <w:lang w:val="en-US" w:eastAsia="zh-CN"/>
        </w:rPr>
        <w:t>10</w:t>
      </w:r>
      <w:r>
        <w:rPr>
          <w:rFonts w:hint="eastAsia" w:ascii="楷体" w:hAnsi="楷体" w:eastAsia="楷体"/>
          <w:sz w:val="28"/>
          <w:szCs w:val="28"/>
          <w:lang w:eastAsia="zh-CN"/>
        </w:rPr>
        <w:t>日</w:t>
      </w:r>
      <w:r>
        <w:rPr>
          <w:rFonts w:hint="eastAsia" w:ascii="楷体" w:hAnsi="楷体" w:eastAsia="楷体"/>
          <w:sz w:val="28"/>
          <w:szCs w:val="28"/>
        </w:rPr>
        <w:t>生效，客户如不接受调整后的产品要素，可在</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2</w:t>
      </w:r>
      <w:r>
        <w:rPr>
          <w:rFonts w:hint="eastAsia" w:ascii="楷体" w:hAnsi="楷体" w:eastAsia="楷体"/>
          <w:sz w:val="28"/>
          <w:szCs w:val="28"/>
          <w:lang w:eastAsia="zh-CN"/>
        </w:rPr>
        <w:t>月</w:t>
      </w:r>
      <w:r>
        <w:rPr>
          <w:rFonts w:hint="eastAsia" w:ascii="楷体" w:hAnsi="楷体" w:eastAsia="楷体"/>
          <w:sz w:val="28"/>
          <w:szCs w:val="28"/>
          <w:lang w:val="en-US" w:eastAsia="zh-CN"/>
        </w:rPr>
        <w:t>28</w:t>
      </w:r>
      <w:r>
        <w:rPr>
          <w:rFonts w:hint="eastAsia" w:ascii="楷体" w:hAnsi="楷体" w:eastAsia="楷体"/>
          <w:sz w:val="28"/>
          <w:szCs w:val="28"/>
          <w:lang w:eastAsia="zh-CN"/>
        </w:rPr>
        <w:t>日至20</w:t>
      </w:r>
      <w:r>
        <w:rPr>
          <w:rFonts w:hint="eastAsia" w:ascii="楷体" w:hAnsi="楷体" w:eastAsia="楷体"/>
          <w:sz w:val="28"/>
          <w:szCs w:val="28"/>
          <w:lang w:val="en-US" w:eastAsia="zh-CN"/>
        </w:rPr>
        <w:t>26</w:t>
      </w:r>
      <w:r>
        <w:rPr>
          <w:rFonts w:hint="eastAsia" w:ascii="楷体" w:hAnsi="楷体" w:eastAsia="楷体"/>
          <w:sz w:val="28"/>
          <w:szCs w:val="28"/>
          <w:lang w:eastAsia="zh-CN"/>
        </w:rPr>
        <w:t>年</w:t>
      </w:r>
      <w:r>
        <w:rPr>
          <w:rFonts w:hint="eastAsia" w:ascii="楷体" w:hAnsi="楷体" w:eastAsia="楷体"/>
          <w:sz w:val="28"/>
          <w:szCs w:val="28"/>
          <w:lang w:val="en-US" w:eastAsia="zh-CN"/>
        </w:rPr>
        <w:t>3</w:t>
      </w:r>
      <w:r>
        <w:rPr>
          <w:rFonts w:hint="eastAsia" w:ascii="楷体" w:hAnsi="楷体" w:eastAsia="楷体"/>
          <w:sz w:val="28"/>
          <w:szCs w:val="28"/>
          <w:lang w:eastAsia="zh-CN"/>
        </w:rPr>
        <w:t>月</w:t>
      </w:r>
      <w:r>
        <w:rPr>
          <w:rFonts w:hint="eastAsia" w:ascii="楷体" w:hAnsi="楷体" w:eastAsia="楷体"/>
          <w:sz w:val="28"/>
          <w:szCs w:val="28"/>
          <w:lang w:val="en-US" w:eastAsia="zh-CN"/>
        </w:rPr>
        <w:t>9</w:t>
      </w:r>
      <w:r>
        <w:rPr>
          <w:rFonts w:hint="eastAsia" w:ascii="楷体" w:hAnsi="楷体" w:eastAsia="楷体"/>
          <w:sz w:val="28"/>
          <w:szCs w:val="28"/>
          <w:lang w:eastAsia="zh-CN"/>
        </w:rPr>
        <w:t>日</w:t>
      </w:r>
      <w:r>
        <w:rPr>
          <w:rFonts w:hint="eastAsia" w:ascii="楷体" w:hAnsi="楷体" w:eastAsia="楷体"/>
          <w:sz w:val="28"/>
          <w:szCs w:val="28"/>
        </w:rPr>
        <w:t>产品开放期内提出赎回申请。客户逾期未提出赎回申请，视为接受上述调整事项。</w:t>
      </w:r>
    </w:p>
    <w:p>
      <w:pPr>
        <w:pStyle w:val="2"/>
        <w:spacing w:before="0" w:line="480" w:lineRule="auto"/>
        <w:ind w:left="0" w:firstLine="560" w:firstLineChars="200"/>
        <w:jc w:val="both"/>
        <w:rPr>
          <w:rFonts w:hint="eastAsia" w:ascii="楷体" w:hAnsi="楷体" w:eastAsia="楷体"/>
          <w:sz w:val="28"/>
          <w:szCs w:val="28"/>
        </w:rPr>
      </w:pPr>
      <w:r>
        <w:rPr>
          <w:rFonts w:hint="eastAsia" w:ascii="楷体" w:hAnsi="楷体" w:eastAsia="楷体"/>
          <w:sz w:val="28"/>
          <w:szCs w:val="28"/>
        </w:rPr>
        <w:t>感谢您一直以来对苏银理财的支持！</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firstLine="560" w:firstLineChars="200"/>
        <w:jc w:val="both"/>
        <w:textAlignment w:val="auto"/>
        <w:outlineLvl w:val="9"/>
        <w:rPr>
          <w:rFonts w:hint="eastAsia" w:ascii="楷体" w:hAnsi="楷体" w:eastAsia="楷体"/>
          <w:kern w:val="0"/>
          <w:sz w:val="28"/>
          <w:szCs w:val="28"/>
        </w:rPr>
      </w:pPr>
      <w:r>
        <w:rPr>
          <w:rFonts w:hint="eastAsia" w:ascii="楷体" w:hAnsi="楷体" w:eastAsia="楷体"/>
          <w:sz w:val="28"/>
          <w:szCs w:val="28"/>
        </w:rPr>
        <w:t>特此公告。 </w:t>
      </w: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cs="楷体"/>
        </w:rPr>
      </w:pPr>
      <w:r>
        <w:rPr>
          <w:rFonts w:hint="eastAsia" w:ascii="楷体" w:hAnsi="楷体" w:eastAsia="楷体"/>
          <w:kern w:val="0"/>
          <w:sz w:val="28"/>
          <w:szCs w:val="28"/>
          <w:lang w:eastAsia="zh-CN"/>
        </w:rPr>
        <w:t>202</w:t>
      </w:r>
      <w:r>
        <w:rPr>
          <w:rFonts w:hint="eastAsia" w:ascii="楷体" w:hAnsi="楷体" w:eastAsia="楷体"/>
          <w:kern w:val="0"/>
          <w:sz w:val="28"/>
          <w:szCs w:val="28"/>
          <w:lang w:val="en-US" w:eastAsia="zh-CN"/>
        </w:rPr>
        <w:t>6</w:t>
      </w:r>
      <w:r>
        <w:rPr>
          <w:rFonts w:hint="eastAsia" w:ascii="楷体" w:hAnsi="楷体" w:eastAsia="楷体"/>
          <w:kern w:val="0"/>
          <w:sz w:val="28"/>
          <w:szCs w:val="28"/>
          <w:lang w:eastAsia="zh-CN"/>
        </w:rPr>
        <w:t>年</w:t>
      </w:r>
      <w:r>
        <w:rPr>
          <w:rFonts w:hint="eastAsia" w:ascii="楷体" w:hAnsi="楷体" w:eastAsia="楷体"/>
          <w:kern w:val="0"/>
          <w:sz w:val="28"/>
          <w:szCs w:val="28"/>
          <w:lang w:val="en-US" w:eastAsia="zh-CN"/>
        </w:rPr>
        <w:t>2</w:t>
      </w:r>
      <w:r>
        <w:rPr>
          <w:rFonts w:hint="eastAsia" w:ascii="楷体" w:hAnsi="楷体" w:eastAsia="楷体"/>
          <w:kern w:val="0"/>
          <w:sz w:val="28"/>
          <w:szCs w:val="28"/>
          <w:lang w:eastAsia="zh-CN"/>
        </w:rPr>
        <w:t>月</w:t>
      </w:r>
      <w:r>
        <w:rPr>
          <w:rFonts w:hint="eastAsia" w:ascii="楷体" w:hAnsi="楷体" w:eastAsia="楷体"/>
          <w:kern w:val="0"/>
          <w:sz w:val="28"/>
          <w:szCs w:val="28"/>
          <w:lang w:val="en-US" w:eastAsia="zh-CN"/>
        </w:rPr>
        <w:t>12</w:t>
      </w:r>
      <w:bookmarkStart w:id="0" w:name="_GoBack"/>
      <w:bookmarkEnd w:id="0"/>
      <w:r>
        <w:rPr>
          <w:rFonts w:hint="eastAsia" w:ascii="楷体" w:hAnsi="楷体" w:eastAsia="楷体"/>
          <w:kern w:val="0"/>
          <w:sz w:val="28"/>
          <w:szCs w:val="28"/>
          <w:lang w:eastAsia="zh-CN"/>
        </w:rPr>
        <w:t>日</w:t>
      </w:r>
    </w:p>
    <w:p>
      <w:pPr>
        <w:keepNext w:val="0"/>
        <w:keepLines w:val="0"/>
        <w:pageBreakBefore w:val="0"/>
        <w:widowControl w:val="0"/>
        <w:kinsoku/>
        <w:wordWrap/>
        <w:overflowPunct/>
        <w:topLinePunct w:val="0"/>
        <w:autoSpaceDE/>
        <w:autoSpaceDN/>
        <w:bidi w:val="0"/>
        <w:adjustRightInd/>
        <w:snapToGrid/>
        <w:spacing w:before="157" w:beforeLines="50" w:line="520" w:lineRule="exact"/>
        <w:textAlignment w:val="auto"/>
        <w:outlineLvl w:val="9"/>
        <w:rPr>
          <w:rFonts w:hint="eastAsia" w:ascii="楷体" w:hAnsi="楷体" w:eastAsia="楷体" w:cs="楷体"/>
          <w:lang w:val="en-US" w:eastAsia="zh-CN"/>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5080" b="5080"/>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5080" b="5080"/>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5080" b="5080"/>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81D6D"/>
    <w:multiLevelType w:val="singleLevel"/>
    <w:tmpl w:val="23B81D6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46A1"/>
    <w:rsid w:val="006A5C3E"/>
    <w:rsid w:val="006B0367"/>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77097"/>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55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385C"/>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11B5618"/>
    <w:rsid w:val="01737047"/>
    <w:rsid w:val="018A5D13"/>
    <w:rsid w:val="0194431F"/>
    <w:rsid w:val="01E8002F"/>
    <w:rsid w:val="01F10A4B"/>
    <w:rsid w:val="025575E2"/>
    <w:rsid w:val="027A3F9F"/>
    <w:rsid w:val="02973E33"/>
    <w:rsid w:val="02A62BE9"/>
    <w:rsid w:val="02CD6006"/>
    <w:rsid w:val="02D16326"/>
    <w:rsid w:val="02E14AB1"/>
    <w:rsid w:val="031445BE"/>
    <w:rsid w:val="033A123E"/>
    <w:rsid w:val="034335FA"/>
    <w:rsid w:val="034A2E67"/>
    <w:rsid w:val="036A51AD"/>
    <w:rsid w:val="036E7BB6"/>
    <w:rsid w:val="03820F4E"/>
    <w:rsid w:val="0383364B"/>
    <w:rsid w:val="03B562A5"/>
    <w:rsid w:val="03D837A8"/>
    <w:rsid w:val="046163BD"/>
    <w:rsid w:val="0479381B"/>
    <w:rsid w:val="04C63B63"/>
    <w:rsid w:val="04F67774"/>
    <w:rsid w:val="052C6D8B"/>
    <w:rsid w:val="056F4477"/>
    <w:rsid w:val="05C24554"/>
    <w:rsid w:val="05D170A8"/>
    <w:rsid w:val="05E56CDC"/>
    <w:rsid w:val="05FB2EA2"/>
    <w:rsid w:val="061C6B32"/>
    <w:rsid w:val="0671319E"/>
    <w:rsid w:val="06BC0C53"/>
    <w:rsid w:val="06C61B59"/>
    <w:rsid w:val="06E53B5E"/>
    <w:rsid w:val="070B051A"/>
    <w:rsid w:val="07367D5E"/>
    <w:rsid w:val="07716FC5"/>
    <w:rsid w:val="07731EDA"/>
    <w:rsid w:val="07EE0FA0"/>
    <w:rsid w:val="084131A0"/>
    <w:rsid w:val="08762FEF"/>
    <w:rsid w:val="08BE33E4"/>
    <w:rsid w:val="090A12E5"/>
    <w:rsid w:val="093B5BA9"/>
    <w:rsid w:val="095F3409"/>
    <w:rsid w:val="097F69FA"/>
    <w:rsid w:val="099D0555"/>
    <w:rsid w:val="09D232AC"/>
    <w:rsid w:val="09FF588F"/>
    <w:rsid w:val="0A392F7B"/>
    <w:rsid w:val="0A5B3405"/>
    <w:rsid w:val="0A77384F"/>
    <w:rsid w:val="0ACC4A81"/>
    <w:rsid w:val="0B2C47E2"/>
    <w:rsid w:val="0B8445B4"/>
    <w:rsid w:val="0B9C374F"/>
    <w:rsid w:val="0BA11BEE"/>
    <w:rsid w:val="0BEC30C9"/>
    <w:rsid w:val="0C48088E"/>
    <w:rsid w:val="0C894AB8"/>
    <w:rsid w:val="0C9123D3"/>
    <w:rsid w:val="0CBF40E5"/>
    <w:rsid w:val="0D0D51A1"/>
    <w:rsid w:val="0D200BB6"/>
    <w:rsid w:val="0D5F63C0"/>
    <w:rsid w:val="0D7972CE"/>
    <w:rsid w:val="0DAF4280"/>
    <w:rsid w:val="0E422521"/>
    <w:rsid w:val="0E5674C0"/>
    <w:rsid w:val="0E8E3B6F"/>
    <w:rsid w:val="0EC72E07"/>
    <w:rsid w:val="0F191555"/>
    <w:rsid w:val="0F210D87"/>
    <w:rsid w:val="0F663BA5"/>
    <w:rsid w:val="0F7067E8"/>
    <w:rsid w:val="0F923AB0"/>
    <w:rsid w:val="0FAF10CE"/>
    <w:rsid w:val="0FCF7D7E"/>
    <w:rsid w:val="104E53CE"/>
    <w:rsid w:val="106A73DE"/>
    <w:rsid w:val="10831037"/>
    <w:rsid w:val="109F1442"/>
    <w:rsid w:val="10D765E7"/>
    <w:rsid w:val="10DD7F3C"/>
    <w:rsid w:val="10E55ACF"/>
    <w:rsid w:val="10EA422A"/>
    <w:rsid w:val="10F37717"/>
    <w:rsid w:val="11193C61"/>
    <w:rsid w:val="112B3525"/>
    <w:rsid w:val="11A30BFE"/>
    <w:rsid w:val="11DE70DE"/>
    <w:rsid w:val="11F8532A"/>
    <w:rsid w:val="12141D1F"/>
    <w:rsid w:val="12305220"/>
    <w:rsid w:val="128C6FF6"/>
    <w:rsid w:val="129928EB"/>
    <w:rsid w:val="12FC46B3"/>
    <w:rsid w:val="12FD043A"/>
    <w:rsid w:val="130F5125"/>
    <w:rsid w:val="13255877"/>
    <w:rsid w:val="133A5971"/>
    <w:rsid w:val="13850E78"/>
    <w:rsid w:val="138E2B8D"/>
    <w:rsid w:val="138F40F7"/>
    <w:rsid w:val="146F3DF7"/>
    <w:rsid w:val="14A93475"/>
    <w:rsid w:val="14AD1E7B"/>
    <w:rsid w:val="14C2659D"/>
    <w:rsid w:val="14D7308C"/>
    <w:rsid w:val="14E40183"/>
    <w:rsid w:val="151843BC"/>
    <w:rsid w:val="15466935"/>
    <w:rsid w:val="157531A0"/>
    <w:rsid w:val="15B64F8F"/>
    <w:rsid w:val="15C14B3C"/>
    <w:rsid w:val="15CF287D"/>
    <w:rsid w:val="15E762CA"/>
    <w:rsid w:val="16287370"/>
    <w:rsid w:val="162F011F"/>
    <w:rsid w:val="16BB26F8"/>
    <w:rsid w:val="16CD5009"/>
    <w:rsid w:val="17121734"/>
    <w:rsid w:val="176A14D9"/>
    <w:rsid w:val="17C078CB"/>
    <w:rsid w:val="17D72BC9"/>
    <w:rsid w:val="17E23DD4"/>
    <w:rsid w:val="181E174A"/>
    <w:rsid w:val="18213C6D"/>
    <w:rsid w:val="183A3312"/>
    <w:rsid w:val="18F87A98"/>
    <w:rsid w:val="19441605"/>
    <w:rsid w:val="19641023"/>
    <w:rsid w:val="196B405E"/>
    <w:rsid w:val="199B6CC4"/>
    <w:rsid w:val="19A07F59"/>
    <w:rsid w:val="19B7732F"/>
    <w:rsid w:val="1A516D0F"/>
    <w:rsid w:val="1A556062"/>
    <w:rsid w:val="1AAA0FBB"/>
    <w:rsid w:val="1AF844CE"/>
    <w:rsid w:val="1B3201DD"/>
    <w:rsid w:val="1B4C64BD"/>
    <w:rsid w:val="1B4D36B1"/>
    <w:rsid w:val="1B667A94"/>
    <w:rsid w:val="1BA91EFF"/>
    <w:rsid w:val="1BBB41AB"/>
    <w:rsid w:val="1BEF680F"/>
    <w:rsid w:val="1C027767"/>
    <w:rsid w:val="1C294840"/>
    <w:rsid w:val="1C8E3149"/>
    <w:rsid w:val="1C9A7219"/>
    <w:rsid w:val="1CFD3FD3"/>
    <w:rsid w:val="1D276828"/>
    <w:rsid w:val="1D5346F0"/>
    <w:rsid w:val="1D645BD4"/>
    <w:rsid w:val="1D6D7635"/>
    <w:rsid w:val="1D7579FA"/>
    <w:rsid w:val="1D924373"/>
    <w:rsid w:val="1D985996"/>
    <w:rsid w:val="1E0972D4"/>
    <w:rsid w:val="1E1006E6"/>
    <w:rsid w:val="1E4F01B9"/>
    <w:rsid w:val="1E760193"/>
    <w:rsid w:val="1EA4443B"/>
    <w:rsid w:val="1EA87234"/>
    <w:rsid w:val="1EC206FB"/>
    <w:rsid w:val="1EDF5366"/>
    <w:rsid w:val="1EE040CA"/>
    <w:rsid w:val="1EEB067E"/>
    <w:rsid w:val="1EEB0CD6"/>
    <w:rsid w:val="1EF17B30"/>
    <w:rsid w:val="1F3E4737"/>
    <w:rsid w:val="1F6E052A"/>
    <w:rsid w:val="1F76388C"/>
    <w:rsid w:val="1FB6782F"/>
    <w:rsid w:val="20371AE7"/>
    <w:rsid w:val="206A5E01"/>
    <w:rsid w:val="209B1322"/>
    <w:rsid w:val="20A57817"/>
    <w:rsid w:val="20C13F30"/>
    <w:rsid w:val="20CF52B8"/>
    <w:rsid w:val="210D6A26"/>
    <w:rsid w:val="212C3222"/>
    <w:rsid w:val="212C6D72"/>
    <w:rsid w:val="213644A8"/>
    <w:rsid w:val="21510889"/>
    <w:rsid w:val="21D32B8D"/>
    <w:rsid w:val="21DA2518"/>
    <w:rsid w:val="21E17924"/>
    <w:rsid w:val="222A359C"/>
    <w:rsid w:val="223F443B"/>
    <w:rsid w:val="22546781"/>
    <w:rsid w:val="226C5780"/>
    <w:rsid w:val="229E7CD7"/>
    <w:rsid w:val="23151294"/>
    <w:rsid w:val="233F63EE"/>
    <w:rsid w:val="237F15A3"/>
    <w:rsid w:val="239502C7"/>
    <w:rsid w:val="239B2179"/>
    <w:rsid w:val="23A55F71"/>
    <w:rsid w:val="23AB2404"/>
    <w:rsid w:val="23AC7493"/>
    <w:rsid w:val="23BD6F5B"/>
    <w:rsid w:val="23C66840"/>
    <w:rsid w:val="23C81D43"/>
    <w:rsid w:val="2487307B"/>
    <w:rsid w:val="24AB41F2"/>
    <w:rsid w:val="24BB546F"/>
    <w:rsid w:val="250C3648"/>
    <w:rsid w:val="25163BE4"/>
    <w:rsid w:val="25213037"/>
    <w:rsid w:val="25787266"/>
    <w:rsid w:val="257A7A34"/>
    <w:rsid w:val="25AB575C"/>
    <w:rsid w:val="26421257"/>
    <w:rsid w:val="265A5C24"/>
    <w:rsid w:val="26875F75"/>
    <w:rsid w:val="26993D60"/>
    <w:rsid w:val="277907C8"/>
    <w:rsid w:val="279B7C74"/>
    <w:rsid w:val="27A93268"/>
    <w:rsid w:val="27CD08D9"/>
    <w:rsid w:val="27D51569"/>
    <w:rsid w:val="27F87FC2"/>
    <w:rsid w:val="283B2206"/>
    <w:rsid w:val="287A5795"/>
    <w:rsid w:val="28BB2087"/>
    <w:rsid w:val="28E61DCA"/>
    <w:rsid w:val="28FD058B"/>
    <w:rsid w:val="29254958"/>
    <w:rsid w:val="29501300"/>
    <w:rsid w:val="29A64AAB"/>
    <w:rsid w:val="2A445C52"/>
    <w:rsid w:val="2A63017B"/>
    <w:rsid w:val="2A642AEF"/>
    <w:rsid w:val="2ACD562A"/>
    <w:rsid w:val="2ADD610D"/>
    <w:rsid w:val="2AF31486"/>
    <w:rsid w:val="2AF469CF"/>
    <w:rsid w:val="2AFD7AC8"/>
    <w:rsid w:val="2B432D00"/>
    <w:rsid w:val="2B660A1C"/>
    <w:rsid w:val="2B7F6AA5"/>
    <w:rsid w:val="2BBD43D2"/>
    <w:rsid w:val="2CA55C6B"/>
    <w:rsid w:val="2CA568CE"/>
    <w:rsid w:val="2CFB185B"/>
    <w:rsid w:val="2D064D96"/>
    <w:rsid w:val="2D381B6B"/>
    <w:rsid w:val="2D3A09B3"/>
    <w:rsid w:val="2D7C7356"/>
    <w:rsid w:val="2DC559A5"/>
    <w:rsid w:val="2DE1082F"/>
    <w:rsid w:val="2E0C17AB"/>
    <w:rsid w:val="2E1A1CB3"/>
    <w:rsid w:val="2E363714"/>
    <w:rsid w:val="2E3C4214"/>
    <w:rsid w:val="2E665FDB"/>
    <w:rsid w:val="2E852ACB"/>
    <w:rsid w:val="2EB62279"/>
    <w:rsid w:val="2ED262D5"/>
    <w:rsid w:val="2EF06564"/>
    <w:rsid w:val="2EFD22A6"/>
    <w:rsid w:val="2F304982"/>
    <w:rsid w:val="2F724538"/>
    <w:rsid w:val="301B1F5D"/>
    <w:rsid w:val="301E1988"/>
    <w:rsid w:val="3058528B"/>
    <w:rsid w:val="308F4C3A"/>
    <w:rsid w:val="30CC105E"/>
    <w:rsid w:val="30EE71C4"/>
    <w:rsid w:val="31231C2B"/>
    <w:rsid w:val="3152277A"/>
    <w:rsid w:val="31611D29"/>
    <w:rsid w:val="31793A80"/>
    <w:rsid w:val="3262171C"/>
    <w:rsid w:val="3275602C"/>
    <w:rsid w:val="32F86A57"/>
    <w:rsid w:val="33483B2E"/>
    <w:rsid w:val="336B41C2"/>
    <w:rsid w:val="33704CF3"/>
    <w:rsid w:val="33D75F09"/>
    <w:rsid w:val="33F03F01"/>
    <w:rsid w:val="34153282"/>
    <w:rsid w:val="342A3E8C"/>
    <w:rsid w:val="34330DD9"/>
    <w:rsid w:val="34634368"/>
    <w:rsid w:val="349F4A05"/>
    <w:rsid w:val="34AA01DC"/>
    <w:rsid w:val="34FE3C30"/>
    <w:rsid w:val="350F5212"/>
    <w:rsid w:val="351D2E33"/>
    <w:rsid w:val="352210FC"/>
    <w:rsid w:val="35370DDB"/>
    <w:rsid w:val="354202DB"/>
    <w:rsid w:val="355038A9"/>
    <w:rsid w:val="359D05B9"/>
    <w:rsid w:val="35A17702"/>
    <w:rsid w:val="367E42C7"/>
    <w:rsid w:val="36956B8C"/>
    <w:rsid w:val="369A0B97"/>
    <w:rsid w:val="36F21769"/>
    <w:rsid w:val="371951A3"/>
    <w:rsid w:val="37C06287"/>
    <w:rsid w:val="37E47740"/>
    <w:rsid w:val="37EC1B56"/>
    <w:rsid w:val="38126F8A"/>
    <w:rsid w:val="38897ECE"/>
    <w:rsid w:val="389265DF"/>
    <w:rsid w:val="38C954F8"/>
    <w:rsid w:val="39292AFC"/>
    <w:rsid w:val="3940059B"/>
    <w:rsid w:val="395D49FE"/>
    <w:rsid w:val="399827D5"/>
    <w:rsid w:val="39CD60E1"/>
    <w:rsid w:val="3A025B8E"/>
    <w:rsid w:val="3A2154E4"/>
    <w:rsid w:val="3A401073"/>
    <w:rsid w:val="3A5E23D3"/>
    <w:rsid w:val="3A741987"/>
    <w:rsid w:val="3A8B3BFB"/>
    <w:rsid w:val="3ABF7DB8"/>
    <w:rsid w:val="3ADE136E"/>
    <w:rsid w:val="3AEC76B8"/>
    <w:rsid w:val="3B386425"/>
    <w:rsid w:val="3B9C63CC"/>
    <w:rsid w:val="3BAA159A"/>
    <w:rsid w:val="3BE401DA"/>
    <w:rsid w:val="3C09240E"/>
    <w:rsid w:val="3C2A61A8"/>
    <w:rsid w:val="3C8961DF"/>
    <w:rsid w:val="3CA02E52"/>
    <w:rsid w:val="3CC2593E"/>
    <w:rsid w:val="3D032D44"/>
    <w:rsid w:val="3D672C3A"/>
    <w:rsid w:val="3DB03A43"/>
    <w:rsid w:val="3E471DFD"/>
    <w:rsid w:val="3E6A1816"/>
    <w:rsid w:val="3EA70758"/>
    <w:rsid w:val="3EDE66B4"/>
    <w:rsid w:val="3F0C5EFE"/>
    <w:rsid w:val="3F3C6A4D"/>
    <w:rsid w:val="3F434A02"/>
    <w:rsid w:val="3FAF0F8B"/>
    <w:rsid w:val="3FB5360D"/>
    <w:rsid w:val="40356C65"/>
    <w:rsid w:val="408753F4"/>
    <w:rsid w:val="408D10B1"/>
    <w:rsid w:val="40947325"/>
    <w:rsid w:val="40AB3370"/>
    <w:rsid w:val="40F405CC"/>
    <w:rsid w:val="40FA1029"/>
    <w:rsid w:val="41370768"/>
    <w:rsid w:val="415F76F8"/>
    <w:rsid w:val="4169166D"/>
    <w:rsid w:val="416F6683"/>
    <w:rsid w:val="41A92C11"/>
    <w:rsid w:val="41D739A5"/>
    <w:rsid w:val="41DA6731"/>
    <w:rsid w:val="41DD004E"/>
    <w:rsid w:val="41FF53B4"/>
    <w:rsid w:val="42044479"/>
    <w:rsid w:val="420F0A8B"/>
    <w:rsid w:val="425F0F38"/>
    <w:rsid w:val="42673E2F"/>
    <w:rsid w:val="42AB75CB"/>
    <w:rsid w:val="42CE5FBB"/>
    <w:rsid w:val="42E90E20"/>
    <w:rsid w:val="43064505"/>
    <w:rsid w:val="43A0700B"/>
    <w:rsid w:val="441C07CA"/>
    <w:rsid w:val="44991AE0"/>
    <w:rsid w:val="44BD6023"/>
    <w:rsid w:val="44F778DB"/>
    <w:rsid w:val="45047CA4"/>
    <w:rsid w:val="451609AC"/>
    <w:rsid w:val="452015FE"/>
    <w:rsid w:val="45715A81"/>
    <w:rsid w:val="4594103F"/>
    <w:rsid w:val="45B4435C"/>
    <w:rsid w:val="45C9758C"/>
    <w:rsid w:val="45E83876"/>
    <w:rsid w:val="45EB52C6"/>
    <w:rsid w:val="461E5F17"/>
    <w:rsid w:val="46625BDF"/>
    <w:rsid w:val="46712D51"/>
    <w:rsid w:val="46B94F03"/>
    <w:rsid w:val="471901B2"/>
    <w:rsid w:val="47585D41"/>
    <w:rsid w:val="47631940"/>
    <w:rsid w:val="47762CA8"/>
    <w:rsid w:val="477A5D4D"/>
    <w:rsid w:val="47A310D6"/>
    <w:rsid w:val="47AC5CCC"/>
    <w:rsid w:val="47AF19AB"/>
    <w:rsid w:val="47E37682"/>
    <w:rsid w:val="47E7403E"/>
    <w:rsid w:val="47F27979"/>
    <w:rsid w:val="480774F3"/>
    <w:rsid w:val="4845132D"/>
    <w:rsid w:val="48BB4465"/>
    <w:rsid w:val="49030FD7"/>
    <w:rsid w:val="49216DBC"/>
    <w:rsid w:val="49387F21"/>
    <w:rsid w:val="495124E6"/>
    <w:rsid w:val="49605AEE"/>
    <w:rsid w:val="49AA0AC7"/>
    <w:rsid w:val="49B358F8"/>
    <w:rsid w:val="49DF4E30"/>
    <w:rsid w:val="49EC1694"/>
    <w:rsid w:val="4A471741"/>
    <w:rsid w:val="4A5A4710"/>
    <w:rsid w:val="4A6878E6"/>
    <w:rsid w:val="4AFD7FBC"/>
    <w:rsid w:val="4B035078"/>
    <w:rsid w:val="4B8B4FBF"/>
    <w:rsid w:val="4BD6191E"/>
    <w:rsid w:val="4BE26612"/>
    <w:rsid w:val="4BFB6B1D"/>
    <w:rsid w:val="4C112E59"/>
    <w:rsid w:val="4C2B2CAD"/>
    <w:rsid w:val="4C4F679C"/>
    <w:rsid w:val="4C896196"/>
    <w:rsid w:val="4C9C3A47"/>
    <w:rsid w:val="4CE51F37"/>
    <w:rsid w:val="4CF93156"/>
    <w:rsid w:val="4D2F7D3F"/>
    <w:rsid w:val="4D763C76"/>
    <w:rsid w:val="4D7654E0"/>
    <w:rsid w:val="4D8F6F14"/>
    <w:rsid w:val="4DBA4216"/>
    <w:rsid w:val="4DBC7557"/>
    <w:rsid w:val="4DCB35ED"/>
    <w:rsid w:val="4DCD55A0"/>
    <w:rsid w:val="4DD6720A"/>
    <w:rsid w:val="4DE31008"/>
    <w:rsid w:val="4DF2602F"/>
    <w:rsid w:val="4E1B6A0B"/>
    <w:rsid w:val="4E221465"/>
    <w:rsid w:val="4E2F2DC0"/>
    <w:rsid w:val="4E3F35B1"/>
    <w:rsid w:val="4E5A5196"/>
    <w:rsid w:val="4EAB28CF"/>
    <w:rsid w:val="4ED423AE"/>
    <w:rsid w:val="4EE957A9"/>
    <w:rsid w:val="4F40507F"/>
    <w:rsid w:val="4F610152"/>
    <w:rsid w:val="4F893668"/>
    <w:rsid w:val="4F9B372A"/>
    <w:rsid w:val="50327120"/>
    <w:rsid w:val="505428F3"/>
    <w:rsid w:val="505C0BA4"/>
    <w:rsid w:val="506C6001"/>
    <w:rsid w:val="507207FA"/>
    <w:rsid w:val="507A6FBA"/>
    <w:rsid w:val="508C5689"/>
    <w:rsid w:val="508D5948"/>
    <w:rsid w:val="509846A9"/>
    <w:rsid w:val="50AA5D32"/>
    <w:rsid w:val="50BB7729"/>
    <w:rsid w:val="50D4472B"/>
    <w:rsid w:val="51360F4D"/>
    <w:rsid w:val="51563A00"/>
    <w:rsid w:val="51992D39"/>
    <w:rsid w:val="51BE7E2F"/>
    <w:rsid w:val="52294F82"/>
    <w:rsid w:val="52500057"/>
    <w:rsid w:val="526268DD"/>
    <w:rsid w:val="5274712B"/>
    <w:rsid w:val="52A56695"/>
    <w:rsid w:val="5305453E"/>
    <w:rsid w:val="53F05904"/>
    <w:rsid w:val="542C5727"/>
    <w:rsid w:val="549473C0"/>
    <w:rsid w:val="54F40A45"/>
    <w:rsid w:val="54FD289A"/>
    <w:rsid w:val="55BD4BB9"/>
    <w:rsid w:val="55F82031"/>
    <w:rsid w:val="55F920FF"/>
    <w:rsid w:val="563952EF"/>
    <w:rsid w:val="56464255"/>
    <w:rsid w:val="566775D0"/>
    <w:rsid w:val="56D42649"/>
    <w:rsid w:val="56DB1E11"/>
    <w:rsid w:val="57416F33"/>
    <w:rsid w:val="57432F4E"/>
    <w:rsid w:val="574746C0"/>
    <w:rsid w:val="574B01B0"/>
    <w:rsid w:val="57B06DB9"/>
    <w:rsid w:val="57BE004A"/>
    <w:rsid w:val="57F57CDB"/>
    <w:rsid w:val="582E7F83"/>
    <w:rsid w:val="58741402"/>
    <w:rsid w:val="593D73DB"/>
    <w:rsid w:val="59EA15B7"/>
    <w:rsid w:val="5A1E418A"/>
    <w:rsid w:val="5A532049"/>
    <w:rsid w:val="5A53598B"/>
    <w:rsid w:val="5A975B84"/>
    <w:rsid w:val="5B06397D"/>
    <w:rsid w:val="5BFD5AB5"/>
    <w:rsid w:val="5C444B13"/>
    <w:rsid w:val="5C5C782A"/>
    <w:rsid w:val="5C793571"/>
    <w:rsid w:val="5C8445D7"/>
    <w:rsid w:val="5CCA1527"/>
    <w:rsid w:val="5D02154D"/>
    <w:rsid w:val="5D95049A"/>
    <w:rsid w:val="5DC62445"/>
    <w:rsid w:val="5DCA6837"/>
    <w:rsid w:val="5E1F1DFA"/>
    <w:rsid w:val="5E6B43CE"/>
    <w:rsid w:val="5E923EC9"/>
    <w:rsid w:val="5EF046D1"/>
    <w:rsid w:val="5F243C26"/>
    <w:rsid w:val="5F963482"/>
    <w:rsid w:val="5FA6139F"/>
    <w:rsid w:val="601B0AEB"/>
    <w:rsid w:val="60367908"/>
    <w:rsid w:val="604D0E43"/>
    <w:rsid w:val="60837ED3"/>
    <w:rsid w:val="60D713FC"/>
    <w:rsid w:val="611976DA"/>
    <w:rsid w:val="613F521A"/>
    <w:rsid w:val="617A47CC"/>
    <w:rsid w:val="61A65EC3"/>
    <w:rsid w:val="61C21FBF"/>
    <w:rsid w:val="62025FCA"/>
    <w:rsid w:val="62192F56"/>
    <w:rsid w:val="62262AD4"/>
    <w:rsid w:val="62730DFD"/>
    <w:rsid w:val="6281495E"/>
    <w:rsid w:val="62C9047A"/>
    <w:rsid w:val="630B20F4"/>
    <w:rsid w:val="63193296"/>
    <w:rsid w:val="63287BC7"/>
    <w:rsid w:val="632F196D"/>
    <w:rsid w:val="63490AF3"/>
    <w:rsid w:val="634F7A07"/>
    <w:rsid w:val="63C26AF4"/>
    <w:rsid w:val="63CF5FFF"/>
    <w:rsid w:val="64215642"/>
    <w:rsid w:val="6441191F"/>
    <w:rsid w:val="64457A91"/>
    <w:rsid w:val="64490695"/>
    <w:rsid w:val="645B4479"/>
    <w:rsid w:val="64767A0B"/>
    <w:rsid w:val="64CB796A"/>
    <w:rsid w:val="64D946D3"/>
    <w:rsid w:val="6536531F"/>
    <w:rsid w:val="654E27FD"/>
    <w:rsid w:val="657A5127"/>
    <w:rsid w:val="659A2E3E"/>
    <w:rsid w:val="659D094E"/>
    <w:rsid w:val="65EF6D63"/>
    <w:rsid w:val="66047A56"/>
    <w:rsid w:val="664B50DC"/>
    <w:rsid w:val="66517B3F"/>
    <w:rsid w:val="66B87BC6"/>
    <w:rsid w:val="66E32439"/>
    <w:rsid w:val="66E947A6"/>
    <w:rsid w:val="67236BC5"/>
    <w:rsid w:val="672732D6"/>
    <w:rsid w:val="673523C1"/>
    <w:rsid w:val="673B426B"/>
    <w:rsid w:val="673F2C72"/>
    <w:rsid w:val="6741510F"/>
    <w:rsid w:val="67715F39"/>
    <w:rsid w:val="678F52EE"/>
    <w:rsid w:val="68095BBE"/>
    <w:rsid w:val="681E22E0"/>
    <w:rsid w:val="688904D0"/>
    <w:rsid w:val="68E8216C"/>
    <w:rsid w:val="68EB201F"/>
    <w:rsid w:val="690E1BE8"/>
    <w:rsid w:val="691D7C84"/>
    <w:rsid w:val="694226BD"/>
    <w:rsid w:val="69643B4A"/>
    <w:rsid w:val="698066A4"/>
    <w:rsid w:val="69836F94"/>
    <w:rsid w:val="69A578E5"/>
    <w:rsid w:val="69C04ABB"/>
    <w:rsid w:val="69C949BD"/>
    <w:rsid w:val="69F936A0"/>
    <w:rsid w:val="69FB3CEA"/>
    <w:rsid w:val="6A5E4BBE"/>
    <w:rsid w:val="6AA73F08"/>
    <w:rsid w:val="6AAC1985"/>
    <w:rsid w:val="6AC76ABF"/>
    <w:rsid w:val="6ACA583A"/>
    <w:rsid w:val="6ACE4D37"/>
    <w:rsid w:val="6AE0698C"/>
    <w:rsid w:val="6B2D2DD1"/>
    <w:rsid w:val="6B4A2C69"/>
    <w:rsid w:val="6B715BA4"/>
    <w:rsid w:val="6B853A0B"/>
    <w:rsid w:val="6BCF16F1"/>
    <w:rsid w:val="6C907499"/>
    <w:rsid w:val="6C9932B3"/>
    <w:rsid w:val="6CB82799"/>
    <w:rsid w:val="6CC62EC5"/>
    <w:rsid w:val="6D3235AF"/>
    <w:rsid w:val="6D6605E1"/>
    <w:rsid w:val="6DB046C3"/>
    <w:rsid w:val="6DCA25A9"/>
    <w:rsid w:val="6DFB0A7C"/>
    <w:rsid w:val="6DFD7802"/>
    <w:rsid w:val="6E374AEF"/>
    <w:rsid w:val="6F065112"/>
    <w:rsid w:val="6F0E64D5"/>
    <w:rsid w:val="6F117386"/>
    <w:rsid w:val="6F2936EC"/>
    <w:rsid w:val="6F666DD4"/>
    <w:rsid w:val="6F763638"/>
    <w:rsid w:val="6F9D7484"/>
    <w:rsid w:val="6FEA7854"/>
    <w:rsid w:val="6FF5793D"/>
    <w:rsid w:val="70352B2C"/>
    <w:rsid w:val="705C05E6"/>
    <w:rsid w:val="70844159"/>
    <w:rsid w:val="708C277D"/>
    <w:rsid w:val="70D03495"/>
    <w:rsid w:val="70D4483F"/>
    <w:rsid w:val="713118C3"/>
    <w:rsid w:val="713978EF"/>
    <w:rsid w:val="7145584D"/>
    <w:rsid w:val="715B13F7"/>
    <w:rsid w:val="715E6C8D"/>
    <w:rsid w:val="718E6F68"/>
    <w:rsid w:val="71E23B38"/>
    <w:rsid w:val="72185F3B"/>
    <w:rsid w:val="72222730"/>
    <w:rsid w:val="727707D3"/>
    <w:rsid w:val="729344B0"/>
    <w:rsid w:val="72A02739"/>
    <w:rsid w:val="72C568B4"/>
    <w:rsid w:val="72DB6001"/>
    <w:rsid w:val="734C7AAA"/>
    <w:rsid w:val="73807E8E"/>
    <w:rsid w:val="7396760B"/>
    <w:rsid w:val="73B01C12"/>
    <w:rsid w:val="73B67AD5"/>
    <w:rsid w:val="73CD79E2"/>
    <w:rsid w:val="7408106C"/>
    <w:rsid w:val="740E30C6"/>
    <w:rsid w:val="741115F7"/>
    <w:rsid w:val="7417414C"/>
    <w:rsid w:val="743F7715"/>
    <w:rsid w:val="7444332F"/>
    <w:rsid w:val="74445220"/>
    <w:rsid w:val="7470424F"/>
    <w:rsid w:val="74966354"/>
    <w:rsid w:val="74AB0875"/>
    <w:rsid w:val="74B757DE"/>
    <w:rsid w:val="74BA6964"/>
    <w:rsid w:val="74E710D7"/>
    <w:rsid w:val="759A3FB7"/>
    <w:rsid w:val="75BF293C"/>
    <w:rsid w:val="75C232CB"/>
    <w:rsid w:val="75D30060"/>
    <w:rsid w:val="75F9181C"/>
    <w:rsid w:val="760B591E"/>
    <w:rsid w:val="764B5DA3"/>
    <w:rsid w:val="766A4803"/>
    <w:rsid w:val="76B1397B"/>
    <w:rsid w:val="76BA0270"/>
    <w:rsid w:val="76BF6564"/>
    <w:rsid w:val="76D161DE"/>
    <w:rsid w:val="771F15FE"/>
    <w:rsid w:val="773E5898"/>
    <w:rsid w:val="77667C2A"/>
    <w:rsid w:val="776D520A"/>
    <w:rsid w:val="77BF7E83"/>
    <w:rsid w:val="785173F2"/>
    <w:rsid w:val="790D447D"/>
    <w:rsid w:val="79325B0F"/>
    <w:rsid w:val="79341C63"/>
    <w:rsid w:val="79344E38"/>
    <w:rsid w:val="796462C2"/>
    <w:rsid w:val="79773D24"/>
    <w:rsid w:val="79822B8A"/>
    <w:rsid w:val="79880773"/>
    <w:rsid w:val="79897B01"/>
    <w:rsid w:val="7A144528"/>
    <w:rsid w:val="7A32639B"/>
    <w:rsid w:val="7A495510"/>
    <w:rsid w:val="7A7118F0"/>
    <w:rsid w:val="7A8F32F6"/>
    <w:rsid w:val="7AA97A9D"/>
    <w:rsid w:val="7ABD49D4"/>
    <w:rsid w:val="7AC06C49"/>
    <w:rsid w:val="7B265069"/>
    <w:rsid w:val="7B524663"/>
    <w:rsid w:val="7B63246C"/>
    <w:rsid w:val="7B652FB5"/>
    <w:rsid w:val="7BAF350D"/>
    <w:rsid w:val="7BDA07A0"/>
    <w:rsid w:val="7C917E46"/>
    <w:rsid w:val="7CC14FCD"/>
    <w:rsid w:val="7D087766"/>
    <w:rsid w:val="7D767E03"/>
    <w:rsid w:val="7DA43BE7"/>
    <w:rsid w:val="7DF6307F"/>
    <w:rsid w:val="7E1C0297"/>
    <w:rsid w:val="7E92744C"/>
    <w:rsid w:val="7EA52354"/>
    <w:rsid w:val="7EA979A6"/>
    <w:rsid w:val="7F642DE6"/>
    <w:rsid w:val="7F8B714F"/>
    <w:rsid w:val="7FA51839"/>
    <w:rsid w:val="7FA746AC"/>
    <w:rsid w:val="7FB03193"/>
    <w:rsid w:val="7FFE44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styleId="29">
    <w:name w:val="List Paragraph"/>
    <w:basedOn w:val="1"/>
    <w:qFormat/>
    <w:uiPriority w:val="72"/>
    <w:pPr>
      <w:ind w:firstLine="420" w:firstLineChars="200"/>
    </w:pPr>
  </w:style>
  <w:style w:type="paragraph" w:customStyle="1" w:styleId="30">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2">
    <w:name w:val="_Style 31"/>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2512</Words>
  <Characters>3148</Characters>
  <Lines>2</Lines>
  <Paragraphs>1</Paragraphs>
  <TotalTime>19</TotalTime>
  <ScaleCrop>false</ScaleCrop>
  <LinksUpToDate>false</LinksUpToDate>
  <CharactersWithSpaces>3209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sylc</cp:lastModifiedBy>
  <cp:lastPrinted>2024-04-16T11:20:00Z</cp:lastPrinted>
  <dcterms:modified xsi:type="dcterms:W3CDTF">2026-02-12T01:13:04Z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692A52A7AFA843EB8EB5DB135A749284</vt:lpwstr>
  </property>
</Properties>
</file>