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highlight w:val="none"/>
        </w:rPr>
      </w:pPr>
      <w:r>
        <w:rPr>
          <w:rFonts w:hint="eastAsia" w:ascii="楷体" w:hAnsi="楷体" w:eastAsia="楷体"/>
          <w:b/>
          <w:color w:val="auto"/>
          <w:sz w:val="28"/>
          <w:szCs w:val="28"/>
        </w:rPr>
        <w:t>“</w:t>
      </w:r>
      <w:r>
        <w:rPr>
          <w:rFonts w:hint="eastAsia" w:ascii="楷体" w:hAnsi="楷体" w:eastAsia="楷体"/>
          <w:b/>
          <w:color w:val="auto"/>
          <w:sz w:val="28"/>
          <w:szCs w:val="28"/>
          <w:highlight w:val="none"/>
          <w:lang w:eastAsia="zh-CN"/>
        </w:rPr>
        <w:t>苏银理财恒源1年定开38期</w:t>
      </w:r>
      <w:r>
        <w:rPr>
          <w:rFonts w:hint="eastAsia" w:ascii="楷体" w:hAnsi="楷体" w:eastAsia="楷体"/>
          <w:b/>
          <w:color w:val="auto"/>
          <w:sz w:val="28"/>
          <w:szCs w:val="28"/>
          <w:highlight w:val="none"/>
        </w:rPr>
        <w:t>”理财产品说</w:t>
      </w:r>
      <w:r>
        <w:rPr>
          <w:rFonts w:hint="eastAsia" w:ascii="楷体" w:hAnsi="楷体" w:eastAsia="楷体"/>
          <w:b/>
          <w:color w:val="auto"/>
          <w:sz w:val="28"/>
          <w:szCs w:val="28"/>
          <w:highlight w:val="none"/>
          <w:lang w:val="en-US" w:eastAsia="zh-CN"/>
        </w:rPr>
        <w:t>明</w:t>
      </w:r>
      <w:r>
        <w:rPr>
          <w:rFonts w:hint="eastAsia" w:ascii="楷体" w:hAnsi="楷体" w:eastAsia="楷体"/>
          <w:b/>
          <w:color w:val="auto"/>
          <w:sz w:val="28"/>
          <w:szCs w:val="28"/>
          <w:highlight w:val="none"/>
        </w:rPr>
        <w:t>书</w:t>
      </w:r>
    </w:p>
    <w:p>
      <w:pPr>
        <w:pStyle w:val="13"/>
        <w:pageBreakBefore w:val="0"/>
        <w:spacing w:before="0" w:beforeAutospacing="0" w:after="0" w:afterAutospacing="0" w:line="240" w:lineRule="auto"/>
        <w:jc w:val="center"/>
        <w:rPr>
          <w:rFonts w:hint="default" w:ascii="楷体" w:hAnsi="楷体" w:eastAsia="楷体" w:cs="Times New Roman"/>
          <w:kern w:val="2"/>
          <w:sz w:val="21"/>
          <w:szCs w:val="21"/>
          <w:highlight w:val="none"/>
          <w:lang w:val="en-US" w:eastAsia="zh-CN" w:bidi="ar-SA"/>
        </w:rPr>
      </w:pPr>
      <w:r>
        <w:rPr>
          <w:rFonts w:hint="eastAsia" w:ascii="楷体" w:hAnsi="楷体" w:eastAsia="楷体" w:cs="Times New Roman"/>
          <w:kern w:val="2"/>
          <w:sz w:val="21"/>
          <w:szCs w:val="21"/>
          <w:highlight w:val="none"/>
          <w:lang w:val="en-US" w:eastAsia="zh-CN" w:bidi="ar-SA"/>
        </w:rPr>
        <w:t>（2026年2月版）</w:t>
      </w:r>
    </w:p>
    <w:p>
      <w:pPr>
        <w:jc w:val="center"/>
        <w:rPr>
          <w:rFonts w:hint="eastAsia" w:ascii="楷体" w:hAnsi="楷体" w:eastAsia="楷体"/>
          <w:b/>
          <w:sz w:val="24"/>
          <w:szCs w:val="24"/>
        </w:rPr>
      </w:pPr>
      <w:r>
        <w:rPr>
          <w:rFonts w:hint="eastAsia" w:ascii="楷体" w:hAnsi="楷体" w:eastAsia="楷体" w:cs="宋体"/>
          <w:b/>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ascii="楷体" w:hAnsi="楷体" w:eastAsia="楷体"/>
          <w:b/>
          <w:sz w:val="21"/>
          <w:szCs w:val="21"/>
          <w:u w:val="single"/>
        </w:rPr>
      </w:pPr>
      <w:r>
        <w:rPr>
          <w:rFonts w:hint="eastAsia" w:ascii="楷体" w:hAnsi="楷体" w:eastAsia="楷体"/>
          <w:b/>
          <w:sz w:val="21"/>
          <w:szCs w:val="21"/>
          <w:u w:val="single"/>
        </w:rPr>
        <w:t>本理财产品不保证本金及收益，您的本金可能因市场变动</w:t>
      </w:r>
      <w:r>
        <w:rPr>
          <w:rFonts w:hint="eastAsia" w:ascii="楷体" w:hAnsi="楷体" w:eastAsia="楷体"/>
          <w:b/>
          <w:sz w:val="21"/>
          <w:szCs w:val="21"/>
          <w:u w:val="single"/>
          <w:lang w:val="en-US" w:eastAsia="zh-CN"/>
        </w:rPr>
        <w:t>或者交易违约等事项</w:t>
      </w:r>
      <w:r>
        <w:rPr>
          <w:rFonts w:hint="eastAsia" w:ascii="楷体" w:hAnsi="楷体" w:eastAsia="楷体"/>
          <w:b/>
          <w:sz w:val="21"/>
          <w:szCs w:val="21"/>
          <w:u w:val="single"/>
        </w:rPr>
        <w:t>而蒙受相应损失，投资者应充分认识投资风险，谨慎投资</w:t>
      </w:r>
      <w:r>
        <w:rPr>
          <w:rFonts w:hint="eastAsia" w:ascii="楷体" w:hAnsi="楷体" w:eastAsia="楷体"/>
          <w:b/>
          <w:sz w:val="21"/>
          <w:szCs w:val="21"/>
          <w:u w:val="single"/>
          <w:lang w:eastAsia="zh-CN"/>
        </w:rPr>
        <w:t>。</w:t>
      </w:r>
    </w:p>
    <w:p>
      <w:pPr>
        <w:numPr>
          <w:ilvl w:val="0"/>
          <w:numId w:val="1"/>
        </w:numPr>
        <w:ind w:left="420" w:leftChars="0" w:hanging="420" w:firstLineChars="0"/>
        <w:rPr>
          <w:rFonts w:ascii="楷体" w:hAnsi="楷体" w:eastAsia="楷体"/>
          <w:b/>
          <w:sz w:val="21"/>
          <w:szCs w:val="21"/>
          <w:u w:val="single"/>
        </w:rPr>
      </w:pPr>
      <w:r>
        <w:rPr>
          <w:rFonts w:hint="eastAsia" w:ascii="楷体" w:hAnsi="楷体" w:eastAsia="楷体"/>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b/>
          <w:sz w:val="21"/>
          <w:szCs w:val="21"/>
          <w:u w:val="single"/>
        </w:rPr>
      </w:pPr>
      <w:r>
        <w:rPr>
          <w:rFonts w:hint="eastAsia" w:ascii="楷体" w:hAnsi="楷体" w:eastAsia="楷体"/>
          <w:b/>
          <w:sz w:val="21"/>
          <w:szCs w:val="21"/>
          <w:u w:val="single"/>
        </w:rPr>
        <w:t>本理财产品任何业绩比较基准</w:t>
      </w:r>
      <w:r>
        <w:rPr>
          <w:rFonts w:hint="eastAsia" w:ascii="楷体" w:hAnsi="楷体" w:eastAsia="楷体"/>
          <w:b/>
          <w:sz w:val="21"/>
          <w:szCs w:val="21"/>
          <w:u w:val="single"/>
          <w:lang w:val="en-US" w:eastAsia="zh-CN"/>
        </w:rPr>
        <w:t>及</w:t>
      </w:r>
      <w:r>
        <w:rPr>
          <w:rFonts w:hint="eastAsia" w:ascii="楷体" w:hAnsi="楷体" w:eastAsia="楷体"/>
          <w:b/>
          <w:sz w:val="21"/>
          <w:szCs w:val="21"/>
          <w:u w:val="single"/>
        </w:rPr>
        <w:t>类似表述均属不具有法律约束力的用语</w:t>
      </w:r>
      <w:r>
        <w:rPr>
          <w:rFonts w:hint="eastAsia" w:ascii="楷体" w:hAnsi="楷体" w:eastAsia="楷体"/>
          <w:b/>
          <w:sz w:val="21"/>
          <w:szCs w:val="21"/>
          <w:u w:val="single"/>
          <w:lang w:eastAsia="zh-CN"/>
        </w:rPr>
        <w:t>。</w:t>
      </w:r>
      <w:r>
        <w:rPr>
          <w:rFonts w:hint="eastAsia" w:ascii="楷体" w:hAnsi="楷体" w:eastAsia="楷体"/>
          <w:b/>
          <w:sz w:val="21"/>
          <w:szCs w:val="21"/>
          <w:u w:val="single"/>
        </w:rPr>
        <w:t>业绩比较基准</w:t>
      </w:r>
      <w:r>
        <w:rPr>
          <w:rFonts w:hint="eastAsia" w:ascii="楷体" w:hAnsi="楷体" w:eastAsia="楷体"/>
          <w:b/>
          <w:sz w:val="21"/>
          <w:szCs w:val="21"/>
          <w:u w:val="single"/>
          <w:lang w:val="en-US" w:eastAsia="zh-CN"/>
        </w:rPr>
        <w:t>为</w:t>
      </w:r>
      <w:r>
        <w:rPr>
          <w:rFonts w:hint="eastAsia" w:ascii="楷体" w:hAnsi="楷体" w:eastAsia="楷体"/>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w:t>
      </w:r>
      <w:r>
        <w:rPr>
          <w:rFonts w:hint="eastAsia" w:ascii="楷体" w:hAnsi="楷体" w:eastAsia="楷体"/>
          <w:b w:val="0"/>
          <w:bCs w:val="0"/>
          <w:sz w:val="21"/>
          <w:szCs w:val="21"/>
          <w:highlight w:val="none"/>
          <w:lang w:eastAsia="zh-CN"/>
        </w:rPr>
        <w:t>苏银理财恒源1年定开38期</w:t>
      </w:r>
      <w:r>
        <w:rPr>
          <w:rFonts w:hint="eastAsia" w:ascii="楷体" w:hAnsi="楷体" w:eastAsia="楷体"/>
          <w:sz w:val="21"/>
          <w:szCs w:val="21"/>
        </w:rPr>
        <w:t>”理财产品风险揭示书》的“风险揭示”部分。</w:t>
      </w:r>
    </w:p>
    <w:p>
      <w:pPr>
        <w:numPr>
          <w:ilvl w:val="0"/>
          <w:numId w:val="1"/>
        </w:numPr>
        <w:ind w:left="420" w:leftChars="0" w:hanging="420" w:firstLineChars="0"/>
        <w:rPr>
          <w:rFonts w:hint="eastAsia" w:ascii="楷体" w:hAnsi="楷体" w:eastAsia="楷体"/>
          <w:b/>
          <w:sz w:val="21"/>
          <w:szCs w:val="21"/>
          <w:highlight w:val="none"/>
          <w:u w:val="single"/>
        </w:rPr>
      </w:pPr>
      <w:r>
        <w:rPr>
          <w:rFonts w:hint="eastAsia" w:ascii="楷体" w:hAnsi="楷体" w:eastAsia="楷体"/>
          <w:b/>
          <w:sz w:val="21"/>
          <w:szCs w:val="21"/>
          <w:highlight w:val="none"/>
          <w:u w:val="single"/>
        </w:rPr>
        <w:t>本产品可设置多</w:t>
      </w:r>
      <w:r>
        <w:rPr>
          <w:rFonts w:hint="eastAsia" w:ascii="楷体" w:hAnsi="楷体" w:eastAsia="楷体"/>
          <w:b/>
          <w:sz w:val="21"/>
          <w:szCs w:val="21"/>
          <w:highlight w:val="none"/>
          <w:u w:val="single"/>
          <w:lang w:val="en-US" w:eastAsia="zh-CN"/>
        </w:rPr>
        <w:t>类</w:t>
      </w:r>
      <w:r>
        <w:rPr>
          <w:rFonts w:hint="eastAsia" w:ascii="楷体" w:hAnsi="楷体" w:eastAsia="楷体"/>
          <w:b/>
          <w:sz w:val="21"/>
          <w:szCs w:val="21"/>
          <w:highlight w:val="none"/>
          <w:u w:val="single"/>
        </w:rPr>
        <w:t>份额，各</w:t>
      </w:r>
      <w:r>
        <w:rPr>
          <w:rFonts w:hint="eastAsia" w:ascii="楷体" w:hAnsi="楷体" w:eastAsia="楷体"/>
          <w:b/>
          <w:sz w:val="21"/>
          <w:szCs w:val="21"/>
          <w:highlight w:val="none"/>
          <w:u w:val="single"/>
          <w:lang w:val="en-US" w:eastAsia="zh-CN"/>
        </w:rPr>
        <w:t>类</w:t>
      </w:r>
      <w:r>
        <w:rPr>
          <w:rFonts w:hint="eastAsia" w:ascii="楷体" w:hAnsi="楷体" w:eastAsia="楷体"/>
          <w:b/>
          <w:sz w:val="21"/>
          <w:szCs w:val="21"/>
          <w:highlight w:val="none"/>
          <w:u w:val="single"/>
        </w:rPr>
        <w:t>份额可能设置不同的销售对象、销售起点、业绩比较基准等，各</w:t>
      </w:r>
      <w:r>
        <w:rPr>
          <w:rFonts w:hint="eastAsia" w:ascii="楷体" w:hAnsi="楷体" w:eastAsia="楷体"/>
          <w:b/>
          <w:sz w:val="21"/>
          <w:szCs w:val="21"/>
          <w:highlight w:val="none"/>
          <w:u w:val="single"/>
          <w:lang w:val="en-US" w:eastAsia="zh-CN"/>
        </w:rPr>
        <w:t>类</w:t>
      </w:r>
      <w:r>
        <w:rPr>
          <w:rFonts w:hint="eastAsia" w:ascii="楷体" w:hAnsi="楷体" w:eastAsia="楷体"/>
          <w:b/>
          <w:sz w:val="21"/>
          <w:szCs w:val="21"/>
          <w:highlight w:val="none"/>
          <w:u w:val="single"/>
        </w:rPr>
        <w:t>份额实际收取的销售服务费率、投资管理费率、超额业绩报酬（如有）等可能存在差异，投资者应根据实际情况自主选择购买。</w:t>
      </w:r>
    </w:p>
    <w:p>
      <w:pPr>
        <w:numPr>
          <w:ilvl w:val="0"/>
          <w:numId w:val="1"/>
        </w:numPr>
        <w:ind w:left="420" w:leftChars="0" w:hanging="420" w:firstLineChars="0"/>
        <w:rPr>
          <w:rFonts w:ascii="楷体" w:hAnsi="楷体" w:eastAsia="楷体"/>
          <w:b/>
          <w:sz w:val="21"/>
          <w:szCs w:val="21"/>
          <w:highlight w:val="none"/>
          <w:u w:val="single"/>
        </w:rPr>
      </w:pPr>
      <w:r>
        <w:rPr>
          <w:rFonts w:hint="eastAsia" w:ascii="楷体" w:hAnsi="楷体" w:eastAsia="楷体"/>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ascii="楷体" w:hAnsi="楷体" w:eastAsia="楷体"/>
          <w:sz w:val="21"/>
          <w:szCs w:val="21"/>
          <w:highlight w:val="none"/>
        </w:rPr>
      </w:pPr>
      <w:r>
        <w:rPr>
          <w:rFonts w:hint="eastAsia" w:ascii="楷体" w:hAnsi="楷体" w:eastAsia="楷体"/>
          <w:sz w:val="21"/>
          <w:szCs w:val="21"/>
        </w:rPr>
        <w:t>在本产品存续期内，如因监管政策或法律法规发生变化，在不损害投资者利益的前提下</w:t>
      </w:r>
      <w:r>
        <w:rPr>
          <w:rFonts w:hint="eastAsia" w:ascii="楷体" w:hAnsi="楷体" w:eastAsia="楷体"/>
          <w:sz w:val="21"/>
          <w:szCs w:val="21"/>
          <w:highlight w:val="none"/>
        </w:rPr>
        <w:t>，苏银理财有权单方对本产品条款进行修订，并按本理财产品说明书约定的信息披露方式予以披露。</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sz w:val="21"/>
          <w:szCs w:val="21"/>
          <w:highlight w:val="none"/>
        </w:rPr>
      </w:pPr>
      <w:r>
        <w:rPr>
          <w:rFonts w:hint="eastAsia" w:ascii="楷体" w:hAnsi="楷体" w:eastAsia="楷体"/>
          <w:b/>
          <w:sz w:val="21"/>
          <w:szCs w:val="21"/>
        </w:rPr>
        <w:t>产品要素</w:t>
      </w:r>
    </w:p>
    <w:p>
      <w:pPr>
        <w:numPr>
          <w:ilvl w:val="0"/>
          <w:numId w:val="0"/>
        </w:numPr>
        <w:tabs>
          <w:tab w:val="left" w:pos="1134"/>
        </w:tabs>
        <w:ind w:left="0" w:leftChars="0" w:firstLine="420" w:firstLineChars="200"/>
        <w:outlineLvl w:val="1"/>
        <w:rPr>
          <w:rFonts w:hint="eastAsia" w:ascii="楷体" w:hAnsi="楷体" w:eastAsia="楷体"/>
          <w:sz w:val="21"/>
          <w:szCs w:val="21"/>
          <w:highlight w:val="none"/>
        </w:rPr>
      </w:pPr>
      <w:r>
        <w:rPr>
          <w:rFonts w:hint="eastAsia" w:ascii="楷体" w:hAnsi="楷体" w:eastAsia="楷体"/>
          <w:sz w:val="21"/>
          <w:szCs w:val="21"/>
          <w:highlight w:val="none"/>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lang w:eastAsia="zh-CN"/>
              </w:rPr>
            </w:pPr>
            <w:r>
              <w:rPr>
                <w:rFonts w:hint="eastAsia" w:ascii="楷体" w:hAnsi="楷体" w:eastAsia="楷体" w:cs="宋体"/>
                <w:spacing w:val="-2"/>
                <w:sz w:val="18"/>
                <w:szCs w:val="18"/>
                <w:highlight w:val="none"/>
                <w:lang w:eastAsia="zh-CN"/>
              </w:rPr>
              <w:t>苏银理财恒源1年定开38期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Z7003122000164，</w:t>
            </w:r>
            <w:r>
              <w:rPr>
                <w:rFonts w:hint="eastAsia" w:ascii="楷体" w:hAnsi="楷体" w:eastAsia="楷体" w:cs="宋体"/>
                <w:spacing w:val="-2"/>
                <w:sz w:val="18"/>
                <w:szCs w:val="18"/>
              </w:rPr>
              <w:t>投资者可依据该编码在中国理财网</w:t>
            </w:r>
            <w:r>
              <w:rPr>
                <w:rFonts w:ascii="楷体" w:hAnsi="楷体" w:eastAsia="楷体" w:cs="宋体"/>
                <w:spacing w:val="-2"/>
                <w:sz w:val="18"/>
                <w:szCs w:val="18"/>
              </w:rPr>
              <w:fldChar w:fldCharType="begin"/>
            </w:r>
            <w:r>
              <w:rPr>
                <w:rFonts w:ascii="楷体" w:hAnsi="楷体" w:eastAsia="楷体" w:cs="宋体"/>
                <w:spacing w:val="-2"/>
                <w:sz w:val="18"/>
                <w:szCs w:val="18"/>
              </w:rPr>
              <w:instrText xml:space="preserve"> HYPERLINK "http://www.chinawealth.com.cn/" </w:instrText>
            </w:r>
            <w:r>
              <w:rPr>
                <w:rFonts w:ascii="楷体" w:hAnsi="楷体" w:eastAsia="楷体" w:cs="宋体"/>
                <w:spacing w:val="-2"/>
                <w:sz w:val="18"/>
                <w:szCs w:val="18"/>
              </w:rPr>
              <w:fldChar w:fldCharType="separate"/>
            </w:r>
            <w:r>
              <w:rPr>
                <w:rFonts w:ascii="楷体" w:hAnsi="楷体" w:eastAsia="楷体" w:cs="宋体"/>
                <w:spacing w:val="-2"/>
                <w:sz w:val="18"/>
                <w:szCs w:val="18"/>
              </w:rPr>
              <w:t>www.chinawealth.com.cn</w:t>
            </w:r>
            <w:r>
              <w:rPr>
                <w:rFonts w:ascii="楷体" w:hAnsi="楷体" w:eastAsia="楷体" w:cs="宋体"/>
                <w:spacing w:val="-2"/>
                <w:sz w:val="18"/>
                <w:szCs w:val="18"/>
              </w:rPr>
              <w:fldChar w:fldCharType="end"/>
            </w:r>
            <w:r>
              <w:rPr>
                <w:rFonts w:hint="eastAsia" w:ascii="楷体" w:hAnsi="楷体" w:eastAsia="楷体" w:cs="宋体"/>
                <w:spacing w:val="-2"/>
                <w:sz w:val="18"/>
                <w:szCs w:val="18"/>
              </w:rPr>
              <w:t>查询产品信息</w:t>
            </w:r>
            <w:r>
              <w:rPr>
                <w:rFonts w:hint="eastAsia" w:ascii="楷体" w:hAnsi="楷体" w:eastAsia="楷体" w:cs="宋体"/>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5"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w:t>
            </w:r>
            <w:r>
              <w:rPr>
                <w:rFonts w:hint="eastAsia" w:ascii="楷体" w:hAnsi="楷体" w:eastAsia="楷体" w:cs="宋体"/>
                <w:b/>
                <w:spacing w:val="-2"/>
                <w:sz w:val="18"/>
                <w:szCs w:val="18"/>
                <w:highlight w:val="none"/>
                <w:lang w:val="en-US" w:eastAsia="zh-CN"/>
              </w:rPr>
              <w:t>名称</w:t>
            </w:r>
            <w:r>
              <w:rPr>
                <w:rFonts w:hint="eastAsia" w:ascii="楷体" w:hAnsi="楷体" w:eastAsia="楷体" w:cs="宋体"/>
                <w:b/>
                <w:spacing w:val="-2"/>
                <w:sz w:val="18"/>
                <w:szCs w:val="18"/>
                <w:highlight w:val="none"/>
              </w:rPr>
              <w:t>/销售代码</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A份额:苏银理财恒源1年定开38期A/J02200</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B份额:苏银理财恒源1年定开38期B/J02201</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C份额:苏银理财恒源1年定开38期C/J13215</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D份额:苏银理财恒源1年定开38期D/J03021</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F份额:苏银理财恒源1年定开38期F/J03022</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G份额:苏银理财恒源1年定开38期G/J02202</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J份额:苏银理财恒源1年定开38期J/J03023</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M份额:苏银理财恒源1年定开38期M/J13216</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P份额:苏银理财恒源1年定开38期P/J13217</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O份额:苏银理财恒源1年定开38期O（兰州银行开门红专属）/J13218</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U份额:苏银理财恒源1年定开38期U/J13219</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Z份额:苏银理财恒源1年定开38期Z/J13220</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ZA份额:苏银理财恒源1年定开38期ZA鑫福款（自动赎回）/J03024</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ZF份额:苏银理财恒源1年定开38期ZF（自动赎回）/J03025</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ZN份额:苏银理财恒源1年定开38期ZN（自动赎回）/J03724</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ZC份额:苏银理财恒源1年定开38期ZC鑫福优享（自动赎回）/J13315</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default"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ZK份额:苏银理财恒源1年定开38期ZK鑫福尊享（自动赎回）/J13316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kern w:val="0"/>
                <w:sz w:val="18"/>
                <w:szCs w:val="18"/>
                <w:lang w:val="en-US" w:eastAsia="zh-CN" w:bidi="ar-SA"/>
              </w:rPr>
            </w:pPr>
            <w:r>
              <w:rPr>
                <w:rFonts w:hint="eastAsia" w:ascii="楷体" w:hAnsi="楷体" w:eastAsia="楷体" w:cs="宋体"/>
                <w:b/>
                <w:spacing w:val="-2"/>
                <w:sz w:val="18"/>
                <w:szCs w:val="18"/>
              </w:rPr>
              <w:t>产品类型</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b/>
                <w:spacing w:val="-2"/>
                <w:kern w:val="0"/>
                <w:sz w:val="18"/>
                <w:szCs w:val="18"/>
                <w:u w:val="single"/>
                <w:lang w:val="en-US" w:eastAsia="zh-CN" w:bidi="ar-SA"/>
              </w:rPr>
            </w:pPr>
            <w:r>
              <w:rPr>
                <w:rFonts w:hint="eastAsia" w:ascii="楷体" w:hAnsi="楷体" w:eastAsia="楷体" w:cs="宋体"/>
                <w:b/>
                <w:spacing w:val="-2"/>
                <w:sz w:val="18"/>
                <w:szCs w:val="18"/>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noWrap w:val="0"/>
            <w:vAlign w:val="center"/>
          </w:tcPr>
          <w:p>
            <w:pPr>
              <w:keepNext w:val="0"/>
              <w:keepLines w:val="0"/>
              <w:pageBreakBefore w:val="0"/>
              <w:widowControl w:val="0"/>
              <w:numPr>
                <w:ilvl w:val="-1"/>
                <w:numId w:val="0"/>
              </w:numPr>
              <w:wordWrap/>
              <w:topLinePunct w:val="0"/>
              <w:bidi w:val="0"/>
              <w:snapToGrid/>
              <w:spacing w:line="0" w:lineRule="atLeast"/>
              <w:ind w:left="0" w:leftChars="0" w:right="0" w:rightChars="0"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29"/>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idowControl w:val="0"/>
                    <w:wordWrap/>
                    <w:topLinePunct w:val="0"/>
                    <w:autoSpaceDE/>
                    <w:autoSpaceDN/>
                    <w:bidi w:val="0"/>
                    <w:adjustRightInd/>
                    <w:snapToGrid/>
                    <w:spacing w:line="0" w:lineRule="atLeast"/>
                    <w:ind w:left="0" w:leftChars="0" w:right="0" w:rightChars="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widowControl w:val="0"/>
              <w:numPr>
                <w:ilvl w:val="-1"/>
                <w:numId w:val="0"/>
              </w:numPr>
              <w:wordWrap/>
              <w:topLinePunct w:val="0"/>
              <w:bidi w:val="0"/>
              <w:snapToGrid/>
              <w:spacing w:line="0" w:lineRule="atLeast"/>
              <w:ind w:left="0" w:leftChars="0" w:right="0" w:rightChars="0"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ascii="楷体" w:hAnsi="楷体" w:eastAsia="楷体" w:cs="宋体"/>
                <w:spacing w:val="-2"/>
                <w:sz w:val="18"/>
                <w:szCs w:val="18"/>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D份额销售机构江苏银行个人投资者仅限财富客户购买，江苏银行财富客户指在江苏银行日均资产大于等于200万元的个人客户；机构投资者具体以销售机构设置为准。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kern w:val="0"/>
                <w:sz w:val="18"/>
                <w:szCs w:val="18"/>
                <w:lang w:val="en-US" w:eastAsia="zh-CN" w:bidi="ar-SA"/>
              </w:rPr>
            </w:pPr>
            <w:r>
              <w:rPr>
                <w:rFonts w:hint="eastAsia" w:ascii="楷体" w:hAnsi="楷体" w:eastAsia="楷体" w:cs="宋体"/>
                <w:b/>
                <w:spacing w:val="-2"/>
                <w:sz w:val="18"/>
                <w:szCs w:val="18"/>
              </w:rPr>
              <w:t>份额面值</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r>
              <w:rPr>
                <w:rFonts w:hint="eastAsia" w:ascii="楷体" w:hAnsi="楷体" w:eastAsia="楷体" w:cs="宋体"/>
                <w:spacing w:val="-2"/>
                <w:sz w:val="18"/>
                <w:szCs w:val="1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5"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投资周期</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default" w:ascii="楷体" w:hAnsi="楷体" w:eastAsia="楷体" w:cs="宋体"/>
                <w:b/>
                <w:spacing w:val="-2"/>
                <w:sz w:val="18"/>
                <w:szCs w:val="18"/>
                <w:highlight w:val="none"/>
                <w:lang w:val="en-US" w:eastAsia="zh-CN"/>
              </w:rPr>
            </w:pPr>
            <w:r>
              <w:rPr>
                <w:rFonts w:hint="eastAsia" w:ascii="楷体" w:hAnsi="楷体" w:eastAsia="楷体" w:cs="宋体"/>
                <w:spacing w:val="-2"/>
                <w:sz w:val="18"/>
                <w:szCs w:val="18"/>
                <w:highlight w:val="none"/>
                <w:lang w:val="en-US" w:eastAsia="zh-CN"/>
              </w:rPr>
              <w:t>1年左右，具体天数以实际投资为准。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5"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pacing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计划发行规模</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本产品计划发行规模为</w:t>
            </w:r>
            <w:r>
              <w:rPr>
                <w:rFonts w:hint="eastAsia" w:ascii="楷体" w:hAnsi="楷体" w:eastAsia="楷体" w:cs="宋体"/>
                <w:spacing w:val="-2"/>
                <w:sz w:val="18"/>
                <w:szCs w:val="18"/>
                <w:highlight w:val="none"/>
                <w:lang w:val="en-US" w:eastAsia="zh-CN"/>
              </w:rPr>
              <w:t>100000万元</w:t>
            </w:r>
            <w:r>
              <w:rPr>
                <w:rFonts w:hint="eastAsia" w:ascii="楷体" w:hAnsi="楷体" w:eastAsia="楷体" w:cs="宋体"/>
                <w:spacing w:val="-2"/>
                <w:sz w:val="18"/>
                <w:szCs w:val="18"/>
                <w:lang w:val="en-US" w:eastAsia="zh-CN"/>
              </w:rPr>
              <w:t>，管理人有权根据实际需要调整计划发行规模。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pacing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noWrap w:val="0"/>
            <w:vAlign w:val="center"/>
          </w:tcPr>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cs="宋体"/>
                <w:spacing w:val="-2"/>
                <w:sz w:val="18"/>
                <w:szCs w:val="18"/>
                <w:lang w:val="en-US" w:eastAsia="zh-CN"/>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w:t>
            </w:r>
            <w:r>
              <w:rPr>
                <w:rFonts w:hint="eastAsia" w:ascii="楷体" w:hAnsi="楷体" w:eastAsia="楷体" w:cs="宋体"/>
                <w:spacing w:val="-2"/>
                <w:sz w:val="18"/>
                <w:szCs w:val="18"/>
              </w:rPr>
              <w:t>，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pacing w:line="0" w:lineRule="atLeast"/>
              <w:ind w:left="0" w:leftChars="0"/>
              <w:jc w:val="both"/>
              <w:textAlignment w:val="auto"/>
              <w:rPr>
                <w:rFonts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noWrap w:val="0"/>
            <w:vAlign w:val="center"/>
          </w:tcPr>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A份额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B份额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200,000元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C份额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D份额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个人投资者：500,000元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机构投资者：</w:t>
            </w:r>
            <w:r>
              <w:rPr>
                <w:rFonts w:hint="eastAsia" w:ascii="楷体" w:hAnsi="楷体" w:eastAsia="楷体"/>
                <w:sz w:val="18"/>
                <w:szCs w:val="18"/>
                <w:highlight w:val="none"/>
                <w:lang w:val="en-US" w:eastAsia="zh-CN"/>
              </w:rPr>
              <w:t>3</w:t>
            </w:r>
            <w:r>
              <w:rPr>
                <w:rFonts w:hint="eastAsia" w:ascii="楷体" w:hAnsi="楷体" w:eastAsia="楷体"/>
                <w:sz w:val="18"/>
                <w:szCs w:val="18"/>
                <w:highlight w:val="none"/>
              </w:rPr>
              <w:t>0,000,000元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F份额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G份额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200,000元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J份额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500,000元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M份额:</w:t>
            </w:r>
            <w:r>
              <w:rPr>
                <w:rFonts w:hint="eastAsia" w:ascii="楷体" w:hAnsi="楷体" w:eastAsia="楷体"/>
                <w:sz w:val="18"/>
                <w:szCs w:val="18"/>
                <w:highlight w:val="none"/>
              </w:rPr>
              <w:t>1元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eastAsia="楷体"/>
                <w:lang w:val="en-US" w:eastAsia="zh-CN"/>
              </w:rPr>
            </w:pPr>
            <w:r>
              <w:rPr>
                <w:rFonts w:hint="eastAsia" w:ascii="楷体" w:hAnsi="楷体" w:eastAsia="楷体"/>
                <w:sz w:val="18"/>
                <w:szCs w:val="18"/>
                <w:highlight w:val="none"/>
              </w:rPr>
              <w:t>P份额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O份额:</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U份额:</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Z份额:</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ZA份额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ZF份额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ZN份额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w:t>
            </w:r>
            <w:r>
              <w:rPr>
                <w:rFonts w:hint="eastAsia" w:ascii="楷体" w:hAnsi="楷体" w:eastAsia="楷体"/>
                <w:sz w:val="18"/>
                <w:szCs w:val="18"/>
                <w:highlight w:val="none"/>
                <w:lang w:val="en-US" w:eastAsia="zh-CN"/>
              </w:rPr>
              <w:t>00</w:t>
            </w:r>
            <w:r>
              <w:rPr>
                <w:rFonts w:hint="eastAsia" w:ascii="楷体" w:hAnsi="楷体" w:eastAsia="楷体"/>
                <w:sz w:val="18"/>
                <w:szCs w:val="18"/>
                <w:highlight w:val="none"/>
              </w:rPr>
              <w:t>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w:t>
            </w:r>
            <w:r>
              <w:rPr>
                <w:rFonts w:hint="eastAsia" w:ascii="楷体" w:hAnsi="楷体" w:eastAsia="楷体"/>
                <w:sz w:val="18"/>
                <w:szCs w:val="18"/>
                <w:highlight w:val="none"/>
                <w:lang w:val="en-US" w:eastAsia="zh-CN"/>
              </w:rPr>
              <w:t>C</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sz w:val="18"/>
                <w:szCs w:val="18"/>
                <w:highlight w:val="none"/>
              </w:rPr>
            </w:pPr>
            <w:r>
              <w:rPr>
                <w:rFonts w:hint="eastAsia" w:ascii="楷体" w:hAnsi="楷体" w:eastAsia="楷体"/>
                <w:sz w:val="18"/>
                <w:szCs w:val="18"/>
                <w:highlight w:val="none"/>
              </w:rPr>
              <w:t>Z</w:t>
            </w:r>
            <w:r>
              <w:rPr>
                <w:rFonts w:hint="eastAsia" w:ascii="楷体" w:hAnsi="楷体" w:eastAsia="楷体"/>
                <w:sz w:val="18"/>
                <w:szCs w:val="18"/>
                <w:highlight w:val="none"/>
                <w:lang w:val="en-US" w:eastAsia="zh-CN"/>
              </w:rPr>
              <w:t>K</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个人投资者：500,000元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机构投资者：</w:t>
            </w:r>
            <w:r>
              <w:rPr>
                <w:rFonts w:hint="eastAsia" w:ascii="楷体" w:hAnsi="楷体" w:eastAsia="楷体"/>
                <w:sz w:val="18"/>
                <w:szCs w:val="18"/>
                <w:highlight w:val="none"/>
                <w:lang w:val="en-US" w:eastAsia="zh-CN"/>
              </w:rPr>
              <w:t>3</w:t>
            </w:r>
            <w:r>
              <w:rPr>
                <w:rFonts w:hint="eastAsia" w:ascii="楷体" w:hAnsi="楷体" w:eastAsia="楷体"/>
                <w:sz w:val="18"/>
                <w:szCs w:val="18"/>
                <w:highlight w:val="none"/>
              </w:rPr>
              <w:t>0,000,000元</w:t>
            </w:r>
            <w:r>
              <w:rPr>
                <w:rFonts w:hint="eastAsia" w:ascii="楷体" w:hAnsi="楷体" w:eastAsia="楷体"/>
                <w:sz w:val="18"/>
                <w:szCs w:val="18"/>
                <w:highlight w:val="none"/>
                <w:lang w:val="en-US" w:eastAsia="zh-CN"/>
              </w:rPr>
              <w:t>/</w:t>
            </w:r>
            <w:r>
              <w:rPr>
                <w:rFonts w:hint="eastAsia" w:ascii="楷体" w:hAnsi="楷体" w:eastAsia="楷体"/>
                <w:sz w:val="18"/>
                <w:szCs w:val="18"/>
                <w:highlight w:val="none"/>
              </w:rPr>
              <w:t>10,000元的整数倍</w:t>
            </w:r>
          </w:p>
          <w:p>
            <w:pPr>
              <w:keepNext w:val="0"/>
              <w:keepLines w:val="0"/>
              <w:pageBreakBefore w:val="0"/>
              <w:widowControl w:val="0"/>
              <w:wordWrap/>
              <w:topLinePunct w:val="0"/>
              <w:bidi w:val="0"/>
              <w:snapToGrid/>
              <w:spacing w:line="0" w:lineRule="atLeast"/>
              <w:ind w:left="0" w:leftChars="0" w:right="0" w:rightChars="0"/>
              <w:jc w:val="left"/>
              <w:textAlignment w:val="auto"/>
              <w:rPr>
                <w:rFonts w:hint="eastAsia" w:ascii="楷体" w:hAnsi="楷体" w:eastAsia="楷体" w:cs="宋体"/>
                <w:spacing w:val="-2"/>
                <w:sz w:val="18"/>
                <w:szCs w:val="18"/>
                <w:lang w:eastAsia="zh-CN"/>
              </w:rPr>
            </w:pPr>
            <w:r>
              <w:rPr>
                <w:rFonts w:hint="eastAsia" w:ascii="楷体" w:hAnsi="楷体" w:eastAsia="楷体"/>
                <w:sz w:val="18"/>
                <w:szCs w:val="18"/>
              </w:rPr>
              <w:t>苏银理财有权对上述起点金额和</w:t>
            </w:r>
            <w:r>
              <w:rPr>
                <w:rFonts w:hint="eastAsia" w:ascii="楷体" w:hAnsi="楷体" w:eastAsia="楷体"/>
                <w:sz w:val="18"/>
                <w:szCs w:val="18"/>
                <w:lang w:val="en-US" w:eastAsia="zh-CN"/>
              </w:rPr>
              <w:t>追加</w:t>
            </w:r>
            <w:r>
              <w:rPr>
                <w:rFonts w:hint="eastAsia" w:ascii="楷体" w:hAnsi="楷体" w:eastAsia="楷体"/>
                <w:sz w:val="18"/>
                <w:szCs w:val="18"/>
              </w:rPr>
              <w:t>金额进行调整，并在调整前进行公告。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募集期</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eastAsia="zh-CN"/>
              </w:rPr>
              <w:t>202</w:t>
            </w:r>
            <w:r>
              <w:rPr>
                <w:rFonts w:hint="eastAsia" w:ascii="楷体" w:hAnsi="楷体" w:eastAsia="楷体" w:cs="宋体"/>
                <w:spacing w:val="-2"/>
                <w:sz w:val="18"/>
                <w:szCs w:val="18"/>
                <w:lang w:val="en-US" w:eastAsia="zh-CN"/>
              </w:rPr>
              <w:t>3</w:t>
            </w:r>
            <w:r>
              <w:rPr>
                <w:rFonts w:hint="eastAsia" w:ascii="楷体" w:hAnsi="楷体" w:eastAsia="楷体" w:cs="宋体"/>
                <w:spacing w:val="-2"/>
                <w:sz w:val="18"/>
                <w:szCs w:val="18"/>
                <w:lang w:eastAsia="zh-CN"/>
              </w:rPr>
              <w:t>年</w:t>
            </w: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lang w:eastAsia="zh-CN"/>
              </w:rPr>
              <w:t>月</w:t>
            </w:r>
            <w:r>
              <w:rPr>
                <w:rFonts w:hint="eastAsia" w:ascii="楷体" w:hAnsi="楷体" w:eastAsia="楷体" w:cs="宋体"/>
                <w:spacing w:val="-2"/>
                <w:sz w:val="18"/>
                <w:szCs w:val="18"/>
                <w:lang w:val="en-US" w:eastAsia="zh-CN"/>
              </w:rPr>
              <w:t>5</w:t>
            </w:r>
            <w:r>
              <w:rPr>
                <w:rFonts w:hint="eastAsia" w:ascii="楷体" w:hAnsi="楷体" w:eastAsia="楷体" w:cs="宋体"/>
                <w:spacing w:val="-2"/>
                <w:sz w:val="18"/>
                <w:szCs w:val="18"/>
                <w:lang w:eastAsia="zh-CN"/>
              </w:rPr>
              <w:t>日</w:t>
            </w:r>
            <w:r>
              <w:rPr>
                <w:rFonts w:hint="eastAsia" w:ascii="楷体" w:hAnsi="楷体" w:eastAsia="楷体" w:cs="宋体"/>
                <w:spacing w:val="-2"/>
                <w:sz w:val="18"/>
                <w:szCs w:val="18"/>
              </w:rPr>
              <w:t>至</w:t>
            </w:r>
            <w:r>
              <w:rPr>
                <w:rFonts w:hint="eastAsia" w:ascii="楷体" w:hAnsi="楷体" w:eastAsia="楷体" w:cs="宋体"/>
                <w:spacing w:val="-2"/>
                <w:sz w:val="18"/>
                <w:szCs w:val="18"/>
                <w:lang w:eastAsia="zh-CN"/>
              </w:rPr>
              <w:t>202</w:t>
            </w:r>
            <w:r>
              <w:rPr>
                <w:rFonts w:hint="eastAsia" w:ascii="楷体" w:hAnsi="楷体" w:eastAsia="楷体" w:cs="宋体"/>
                <w:spacing w:val="-2"/>
                <w:sz w:val="18"/>
                <w:szCs w:val="18"/>
                <w:lang w:val="en-US" w:eastAsia="zh-CN"/>
              </w:rPr>
              <w:t>3</w:t>
            </w:r>
            <w:r>
              <w:rPr>
                <w:rFonts w:hint="eastAsia" w:ascii="楷体" w:hAnsi="楷体" w:eastAsia="楷体" w:cs="宋体"/>
                <w:spacing w:val="-2"/>
                <w:sz w:val="18"/>
                <w:szCs w:val="18"/>
                <w:lang w:eastAsia="zh-CN"/>
              </w:rPr>
              <w:t>年1月</w:t>
            </w:r>
            <w:r>
              <w:rPr>
                <w:rFonts w:hint="eastAsia" w:ascii="楷体" w:hAnsi="楷体" w:eastAsia="楷体" w:cs="宋体"/>
                <w:spacing w:val="-2"/>
                <w:sz w:val="18"/>
                <w:szCs w:val="18"/>
                <w:lang w:val="en-US" w:eastAsia="zh-CN"/>
              </w:rPr>
              <w:t>11</w:t>
            </w:r>
            <w:r>
              <w:rPr>
                <w:rFonts w:hint="eastAsia" w:ascii="楷体" w:hAnsi="楷体" w:eastAsia="楷体" w:cs="宋体"/>
                <w:spacing w:val="-2"/>
                <w:sz w:val="18"/>
                <w:szCs w:val="18"/>
                <w:lang w:eastAsia="zh-CN"/>
              </w:rPr>
              <w:t>日。</w:t>
            </w: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pacing w:line="0" w:lineRule="atLeast"/>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eastAsia="zh-CN"/>
              </w:rPr>
              <w:t>202</w:t>
            </w:r>
            <w:r>
              <w:rPr>
                <w:rFonts w:hint="eastAsia" w:ascii="楷体" w:hAnsi="楷体" w:eastAsia="楷体" w:cs="宋体"/>
                <w:spacing w:val="-2"/>
                <w:sz w:val="18"/>
                <w:szCs w:val="18"/>
                <w:lang w:val="en-US" w:eastAsia="zh-CN"/>
              </w:rPr>
              <w:t>3</w:t>
            </w:r>
            <w:r>
              <w:rPr>
                <w:rFonts w:hint="eastAsia" w:ascii="楷体" w:hAnsi="楷体" w:eastAsia="楷体" w:cs="宋体"/>
                <w:spacing w:val="-2"/>
                <w:sz w:val="18"/>
                <w:szCs w:val="18"/>
                <w:lang w:eastAsia="zh-CN"/>
              </w:rPr>
              <w:t>年1月</w:t>
            </w:r>
            <w:r>
              <w:rPr>
                <w:rFonts w:hint="eastAsia" w:ascii="楷体" w:hAnsi="楷体" w:eastAsia="楷体" w:cs="宋体"/>
                <w:spacing w:val="-2"/>
                <w:sz w:val="18"/>
                <w:szCs w:val="18"/>
                <w:lang w:val="en-US" w:eastAsia="zh-CN"/>
              </w:rPr>
              <w:t>12</w:t>
            </w:r>
            <w:r>
              <w:rPr>
                <w:rFonts w:hint="eastAsia" w:ascii="楷体" w:hAnsi="楷体" w:eastAsia="楷体" w:cs="宋体"/>
                <w:spacing w:val="-2"/>
                <w:sz w:val="18"/>
                <w:szCs w:val="18"/>
                <w:lang w:eastAsia="zh-CN"/>
              </w:rPr>
              <w:t>日。</w:t>
            </w:r>
            <w:r>
              <w:rPr>
                <w:rFonts w:hint="eastAsia" w:ascii="楷体" w:hAnsi="楷体" w:eastAsia="楷体" w:cs="宋体"/>
                <w:spacing w:val="-2"/>
                <w:sz w:val="18"/>
                <w:szCs w:val="18"/>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spacing w:before="0" w:line="0" w:lineRule="atLeast"/>
              <w:ind w:left="0"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color w:val="auto"/>
                <w:spacing w:val="-2"/>
                <w:sz w:val="18"/>
                <w:szCs w:val="18"/>
              </w:rPr>
              <w:t>到期日</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rPr>
            </w:pPr>
            <w:r>
              <w:rPr>
                <w:rFonts w:hint="eastAsia" w:ascii="楷体" w:hAnsi="楷体" w:eastAsia="楷体" w:cs="宋体"/>
                <w:color w:val="auto"/>
                <w:spacing w:val="-2"/>
                <w:sz w:val="18"/>
                <w:szCs w:val="18"/>
                <w:lang w:eastAsia="zh-CN"/>
              </w:rPr>
              <w:t>203</w:t>
            </w:r>
            <w:r>
              <w:rPr>
                <w:rFonts w:hint="eastAsia" w:ascii="楷体" w:hAnsi="楷体" w:eastAsia="楷体" w:cs="宋体"/>
                <w:color w:val="auto"/>
                <w:spacing w:val="-2"/>
                <w:sz w:val="18"/>
                <w:szCs w:val="18"/>
                <w:lang w:val="en-US" w:eastAsia="zh-CN"/>
              </w:rPr>
              <w:t>3</w:t>
            </w:r>
            <w:r>
              <w:rPr>
                <w:rFonts w:hint="eastAsia" w:ascii="楷体" w:hAnsi="楷体" w:eastAsia="楷体" w:cs="宋体"/>
                <w:color w:val="auto"/>
                <w:spacing w:val="-2"/>
                <w:sz w:val="18"/>
                <w:szCs w:val="18"/>
                <w:lang w:eastAsia="zh-CN"/>
              </w:rPr>
              <w:t>年1月</w:t>
            </w:r>
            <w:r>
              <w:rPr>
                <w:rFonts w:hint="eastAsia" w:ascii="楷体" w:hAnsi="楷体" w:eastAsia="楷体" w:cs="宋体"/>
                <w:color w:val="auto"/>
                <w:spacing w:val="-2"/>
                <w:sz w:val="18"/>
                <w:szCs w:val="18"/>
                <w:lang w:val="en-US" w:eastAsia="zh-CN"/>
              </w:rPr>
              <w:t>27</w:t>
            </w:r>
            <w:r>
              <w:rPr>
                <w:rFonts w:hint="eastAsia" w:ascii="楷体" w:hAnsi="楷体" w:eastAsia="楷体" w:cs="宋体"/>
                <w:color w:val="auto"/>
                <w:spacing w:val="-2"/>
                <w:sz w:val="18"/>
                <w:szCs w:val="18"/>
                <w:lang w:eastAsia="zh-CN"/>
              </w:rPr>
              <w:t>日，</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highlight w:val="yellow"/>
              </w:rPr>
            </w:pPr>
            <w:r>
              <w:rPr>
                <w:rFonts w:hint="eastAsia" w:ascii="楷体" w:hAnsi="楷体" w:eastAsia="楷体" w:cs="宋体"/>
                <w:b/>
                <w:spacing w:val="-2"/>
                <w:sz w:val="18"/>
                <w:szCs w:val="18"/>
                <w:highlight w:val="none"/>
              </w:rPr>
              <w:t>开放计划</w:t>
            </w:r>
          </w:p>
        </w:tc>
        <w:tc>
          <w:tcPr>
            <w:tcW w:w="7937" w:type="dxa"/>
            <w:noWrap w:val="0"/>
            <w:vAlign w:val="center"/>
          </w:tcPr>
          <w:p>
            <w:pPr>
              <w:pStyle w:val="34"/>
              <w:keepNext w:val="0"/>
              <w:keepLines w:val="0"/>
              <w:pageBreakBefore w:val="0"/>
              <w:widowControl w:val="0"/>
              <w:numPr>
                <w:ilvl w:val="0"/>
                <w:numId w:val="0"/>
              </w:numPr>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b/>
                <w:bCs/>
                <w:spacing w:val="-2"/>
                <w:sz w:val="18"/>
                <w:szCs w:val="18"/>
                <w:u w:val="single"/>
                <w:lang w:val="en-US" w:eastAsia="zh-CN"/>
              </w:rPr>
            </w:pPr>
            <w:r>
              <w:rPr>
                <w:rFonts w:hint="eastAsia" w:ascii="楷体" w:hAnsi="楷体" w:eastAsia="楷体" w:cs="宋体"/>
                <w:spacing w:val="-2"/>
                <w:sz w:val="18"/>
                <w:szCs w:val="18"/>
                <w:highlight w:val="none"/>
                <w:lang w:val="en-US" w:eastAsia="zh-CN"/>
              </w:rPr>
              <w:t>本产品</w:t>
            </w:r>
            <w:r>
              <w:rPr>
                <w:rFonts w:hint="eastAsia" w:ascii="楷体" w:hAnsi="楷体" w:eastAsia="楷体" w:cs="宋体"/>
                <w:spacing w:val="-2"/>
                <w:sz w:val="18"/>
                <w:szCs w:val="18"/>
                <w:highlight w:val="none"/>
              </w:rPr>
              <w:t>按投资周期开放申购与赎回，</w:t>
            </w:r>
            <w:r>
              <w:rPr>
                <w:rFonts w:hint="eastAsia" w:ascii="楷体" w:hAnsi="楷体" w:eastAsia="楷体" w:cs="宋体"/>
                <w:spacing w:val="-2"/>
                <w:sz w:val="18"/>
                <w:szCs w:val="18"/>
                <w:highlight w:val="none"/>
                <w:lang w:val="en-US" w:eastAsia="zh-CN"/>
              </w:rPr>
              <w:t>最新投资周期（2026年2月13日-2027年3月8日）开放申购与赎回时间为：</w:t>
            </w:r>
            <w:r>
              <w:rPr>
                <w:rFonts w:hint="eastAsia" w:ascii="楷体" w:hAnsi="楷体" w:eastAsia="楷体" w:cs="宋体"/>
                <w:b/>
                <w:bCs/>
                <w:spacing w:val="-2"/>
                <w:sz w:val="18"/>
                <w:szCs w:val="18"/>
                <w:highlight w:val="none"/>
                <w:lang w:val="en-US" w:eastAsia="zh-CN"/>
              </w:rPr>
              <w:t>2026年2月4日至2026年2月12日（</w:t>
            </w:r>
            <w:r>
              <w:rPr>
                <w:rFonts w:hint="eastAsia" w:ascii="楷体" w:hAnsi="楷体" w:eastAsia="楷体" w:cs="宋体"/>
                <w:spacing w:val="-2"/>
                <w:sz w:val="18"/>
                <w:szCs w:val="18"/>
                <w:highlight w:val="none"/>
              </w:rPr>
              <w:t>以各销售机构设置的时间为准</w:t>
            </w:r>
            <w:r>
              <w:rPr>
                <w:rFonts w:hint="eastAsia" w:ascii="楷体" w:hAnsi="楷体" w:eastAsia="楷体" w:cs="宋体"/>
                <w:b/>
                <w:bCs/>
                <w:spacing w:val="-2"/>
                <w:sz w:val="18"/>
                <w:szCs w:val="18"/>
                <w:highlight w:val="none"/>
                <w:lang w:val="en-US" w:eastAsia="zh-CN"/>
              </w:rPr>
              <w:t>）。</w:t>
            </w:r>
            <w:r>
              <w:rPr>
                <w:rFonts w:hint="eastAsia" w:ascii="楷体" w:hAnsi="楷体" w:eastAsia="楷体" w:cs="宋体"/>
                <w:spacing w:val="-2"/>
                <w:sz w:val="18"/>
                <w:szCs w:val="18"/>
                <w:highlight w:val="none"/>
              </w:rPr>
              <w:t>投资者可在</w:t>
            </w:r>
            <w:r>
              <w:rPr>
                <w:rFonts w:hint="eastAsia" w:ascii="楷体" w:hAnsi="楷体" w:eastAsia="楷体" w:cs="宋体"/>
                <w:spacing w:val="-2"/>
                <w:sz w:val="18"/>
                <w:szCs w:val="18"/>
                <w:highlight w:val="none"/>
                <w:lang w:val="en-US" w:eastAsia="zh-CN"/>
              </w:rPr>
              <w:t>此期间提交申购/赎回申请，</w:t>
            </w:r>
            <w:r>
              <w:rPr>
                <w:rFonts w:hint="eastAsia" w:ascii="楷体" w:hAnsi="楷体" w:eastAsia="楷体" w:cs="宋体"/>
                <w:b w:val="0"/>
                <w:bCs w:val="0"/>
                <w:spacing w:val="-2"/>
                <w:sz w:val="18"/>
                <w:szCs w:val="18"/>
                <w:highlight w:val="none"/>
                <w:lang w:val="en-US" w:eastAsia="zh-CN"/>
              </w:rPr>
              <w:t>投资者</w:t>
            </w:r>
            <w:r>
              <w:rPr>
                <w:rFonts w:hint="eastAsia" w:ascii="楷体" w:hAnsi="楷体" w:eastAsia="楷体" w:cs="宋体"/>
                <w:spacing w:val="-2"/>
                <w:sz w:val="18"/>
                <w:szCs w:val="18"/>
                <w:highlight w:val="none"/>
              </w:rPr>
              <w:t>未赎回的部分自动进入下一个投资周期</w:t>
            </w:r>
            <w:r>
              <w:rPr>
                <w:rFonts w:hint="eastAsia" w:ascii="楷体" w:hAnsi="楷体" w:eastAsia="楷体" w:cs="宋体"/>
                <w:spacing w:val="-2"/>
                <w:sz w:val="18"/>
                <w:szCs w:val="18"/>
                <w:highlight w:val="none"/>
                <w:lang w:eastAsia="zh-CN"/>
              </w:rPr>
              <w:t>。</w:t>
            </w:r>
            <w:r>
              <w:rPr>
                <w:rFonts w:hint="eastAsia" w:ascii="楷体" w:hAnsi="楷体" w:eastAsia="楷体" w:cs="宋体"/>
                <w:b/>
                <w:bCs/>
                <w:color w:val="auto"/>
                <w:spacing w:val="-2"/>
                <w:sz w:val="18"/>
                <w:szCs w:val="18"/>
                <w:highlight w:val="none"/>
                <w:lang w:val="en-US" w:eastAsia="zh-CN"/>
              </w:rPr>
              <w:t>(其中ZA份额/ZF份额/ZN份额/ZC份额/ZK份额由系统主动发起赎回申请，投资者无须发起赎回申请</w:t>
            </w:r>
            <w:r>
              <w:rPr>
                <w:rFonts w:hint="eastAsia" w:ascii="楷体" w:hAnsi="楷体" w:eastAsia="楷体" w:cs="宋体"/>
                <w:b/>
                <w:bCs/>
                <w:color w:val="auto"/>
                <w:spacing w:val="-2"/>
                <w:sz w:val="18"/>
                <w:szCs w:val="18"/>
                <w:highlight w:val="none"/>
                <w:lang w:eastAsia="zh-CN"/>
              </w:rPr>
              <w:t>。</w:t>
            </w:r>
            <w:r>
              <w:rPr>
                <w:rFonts w:hint="eastAsia" w:ascii="楷体" w:hAnsi="楷体" w:eastAsia="楷体" w:cs="宋体"/>
                <w:b/>
                <w:bCs/>
                <w:color w:val="auto"/>
                <w:spacing w:val="-2"/>
                <w:sz w:val="18"/>
                <w:szCs w:val="18"/>
                <w:highlight w:val="none"/>
                <w:lang w:val="en-US" w:eastAsia="zh-CN"/>
              </w:rPr>
              <w:t>)</w:t>
            </w:r>
            <w:r>
              <w:rPr>
                <w:rFonts w:hint="eastAsia" w:ascii="楷体" w:hAnsi="楷体" w:eastAsia="楷体" w:cs="宋体"/>
                <w:b/>
                <w:bCs/>
                <w:spacing w:val="-2"/>
                <w:sz w:val="18"/>
                <w:szCs w:val="18"/>
                <w:u w:val="single"/>
              </w:rPr>
              <w:t>除开放计划外的其他时间，管理人不接受投资者申购、赎回申请</w:t>
            </w:r>
            <w:r>
              <w:rPr>
                <w:rFonts w:hint="eastAsia" w:ascii="楷体" w:hAnsi="楷体" w:eastAsia="楷体" w:cs="宋体"/>
                <w:b/>
                <w:bCs/>
                <w:spacing w:val="-2"/>
                <w:sz w:val="18"/>
                <w:szCs w:val="18"/>
                <w:u w:val="single"/>
                <w:lang w:eastAsia="zh-CN"/>
              </w:rPr>
              <w:t>。</w:t>
            </w:r>
          </w:p>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highlight w:val="yellow"/>
              </w:rPr>
            </w:pPr>
            <w:r>
              <w:rPr>
                <w:rFonts w:hint="eastAsia" w:ascii="楷体" w:hAnsi="楷体" w:eastAsia="楷体" w:cs="宋体"/>
                <w:spacing w:val="-2"/>
                <w:sz w:val="18"/>
                <w:szCs w:val="18"/>
                <w:highlight w:val="none"/>
              </w:rPr>
              <w:t>管理人有权根据资产运作情况、节假日安排调整开放计划，并在调整前进行公告。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pacing w:line="0" w:lineRule="atLeast"/>
              <w:ind w:right="0" w:righ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单笔</w:t>
            </w:r>
            <w:r>
              <w:rPr>
                <w:rFonts w:hint="eastAsia" w:ascii="楷体" w:hAnsi="楷体" w:eastAsia="楷体" w:cs="宋体"/>
                <w:b/>
                <w:spacing w:val="-2"/>
                <w:sz w:val="18"/>
                <w:szCs w:val="18"/>
                <w:lang w:val="en-US" w:eastAsia="zh-CN"/>
              </w:rPr>
              <w:t>购买</w:t>
            </w:r>
            <w:r>
              <w:rPr>
                <w:rFonts w:hint="eastAsia" w:ascii="楷体" w:hAnsi="楷体" w:eastAsia="楷体" w:cs="宋体"/>
                <w:b/>
                <w:spacing w:val="-2"/>
                <w:sz w:val="18"/>
                <w:szCs w:val="18"/>
              </w:rPr>
              <w:t>上限</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元。</w:t>
            </w:r>
            <w:r>
              <w:rPr>
                <w:rFonts w:hint="eastAsia" w:ascii="楷体" w:hAnsi="楷体" w:eastAsia="楷体" w:cs="宋体"/>
                <w:spacing w:val="-2"/>
                <w:sz w:val="18"/>
                <w:szCs w:val="18"/>
              </w:rPr>
              <w:t>超过购买上限时，管理人有权拒绝投资者</w:t>
            </w:r>
            <w:r>
              <w:rPr>
                <w:rFonts w:hint="eastAsia" w:ascii="楷体" w:hAnsi="楷体" w:eastAsia="楷体" w:cs="宋体"/>
                <w:spacing w:val="-2"/>
                <w:sz w:val="18"/>
                <w:szCs w:val="18"/>
                <w:lang w:val="en-US" w:eastAsia="zh-CN"/>
              </w:rPr>
              <w:t>购买</w:t>
            </w:r>
            <w:r>
              <w:rPr>
                <w:rFonts w:hint="eastAsia" w:ascii="楷体" w:hAnsi="楷体" w:eastAsia="楷体" w:cs="宋体"/>
                <w:spacing w:val="-2"/>
                <w:sz w:val="18"/>
                <w:szCs w:val="18"/>
              </w:rPr>
              <w:t>申请。产品存续期</w:t>
            </w:r>
            <w:r>
              <w:rPr>
                <w:rFonts w:ascii="楷体" w:hAnsi="楷体" w:eastAsia="楷体" w:cs="宋体"/>
                <w:spacing w:val="-2"/>
                <w:sz w:val="18"/>
                <w:szCs w:val="18"/>
              </w:rPr>
              <w:t>内管理人有权根据实际情况调整</w:t>
            </w:r>
            <w:r>
              <w:rPr>
                <w:rFonts w:hint="eastAsia" w:ascii="楷体" w:hAnsi="楷体" w:eastAsia="楷体" w:cs="宋体"/>
                <w:spacing w:val="-2"/>
                <w:sz w:val="18"/>
                <w:szCs w:val="18"/>
              </w:rPr>
              <w:t>单个</w:t>
            </w:r>
            <w:r>
              <w:rPr>
                <w:rFonts w:hint="eastAsia" w:ascii="楷体" w:hAnsi="楷体" w:eastAsia="楷体" w:cs="宋体"/>
                <w:spacing w:val="-2"/>
                <w:sz w:val="18"/>
                <w:szCs w:val="18"/>
                <w:lang w:eastAsia="zh-CN"/>
              </w:rPr>
              <w:t>投资者</w:t>
            </w:r>
            <w:r>
              <w:rPr>
                <w:rFonts w:hint="eastAsia" w:ascii="楷体" w:hAnsi="楷体" w:eastAsia="楷体" w:cs="宋体"/>
                <w:spacing w:val="-2"/>
                <w:sz w:val="18"/>
                <w:szCs w:val="18"/>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pacing w:line="0" w:lineRule="atLeast"/>
              <w:ind w:right="0" w:rightChars="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lang w:val="en-US" w:eastAsia="zh-CN"/>
              </w:rPr>
              <w:t>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highlight w:val="none"/>
                <w:lang w:val="en-US" w:eastAsia="zh-CN"/>
              </w:rPr>
            </w:pPr>
            <w:r>
              <w:rPr>
                <w:rFonts w:hint="eastAsia" w:ascii="楷体" w:hAnsi="楷体" w:eastAsia="楷体" w:cs="宋体"/>
                <w:spacing w:val="-2"/>
                <w:sz w:val="18"/>
                <w:szCs w:val="18"/>
                <w:highlight w:val="none"/>
                <w:lang w:val="en-US" w:eastAsia="zh-CN"/>
              </w:rPr>
              <w:t>10000万</w:t>
            </w:r>
            <w:r>
              <w:rPr>
                <w:rFonts w:hint="eastAsia" w:ascii="楷体" w:hAnsi="楷体" w:eastAsia="楷体" w:cs="宋体"/>
                <w:spacing w:val="-2"/>
                <w:sz w:val="18"/>
                <w:szCs w:val="18"/>
                <w:highlight w:val="none"/>
              </w:rPr>
              <w:t>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pacing w:line="0" w:lineRule="atLeast"/>
              <w:ind w:right="0" w:righ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w:t>
            </w:r>
            <w:r>
              <w:rPr>
                <w:rFonts w:hint="eastAsia" w:ascii="楷体" w:hAnsi="楷体" w:eastAsia="楷体" w:cs="宋体"/>
                <w:spacing w:val="-2"/>
                <w:sz w:val="18"/>
                <w:szCs w:val="18"/>
                <w:lang w:val="en-US" w:eastAsia="zh-CN"/>
              </w:rPr>
              <w:t>购买</w:t>
            </w:r>
            <w:r>
              <w:rPr>
                <w:rFonts w:hint="eastAsia" w:ascii="楷体" w:hAnsi="楷体" w:eastAsia="楷体" w:cs="宋体"/>
                <w:spacing w:val="-2"/>
                <w:sz w:val="18"/>
                <w:szCs w:val="18"/>
              </w:rPr>
              <w:t>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noWrap w:val="0"/>
            <w:vAlign w:val="center"/>
          </w:tcPr>
          <w:p>
            <w:pPr>
              <w:pStyle w:val="34"/>
              <w:keepNext w:val="0"/>
              <w:keepLines w:val="0"/>
              <w:pageBreakBefore w:val="0"/>
              <w:widowControl w:val="0"/>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rPr>
              <w:t>本产品单个开放日投资者净申购额（申购申请份额总数扣除赎回申请份额总数）超</w:t>
            </w:r>
            <w:r>
              <w:rPr>
                <w:rFonts w:hint="eastAsia" w:ascii="楷体" w:hAnsi="楷体" w:eastAsia="楷体" w:cs="宋体"/>
                <w:spacing w:val="-2"/>
                <w:kern w:val="0"/>
                <w:sz w:val="18"/>
                <w:szCs w:val="18"/>
                <w:highlight w:val="none"/>
              </w:rPr>
              <w:t>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w:t>
            </w:r>
            <w:r>
              <w:rPr>
                <w:rFonts w:hint="eastAsia" w:ascii="楷体" w:hAnsi="楷体" w:eastAsia="楷体" w:cs="宋体"/>
                <w:b/>
                <w:bCs/>
                <w:spacing w:val="-2"/>
                <w:kern w:val="0"/>
                <w:sz w:val="18"/>
                <w:szCs w:val="18"/>
                <w:u w:val="single"/>
              </w:rPr>
              <w:t>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bidi w:val="0"/>
              <w:snapToGrid/>
              <w:spacing w:line="0" w:lineRule="atLeast"/>
              <w:ind w:left="0" w:leftChars="0" w:right="0" w:rightChars="0"/>
              <w:textAlignment w:val="auto"/>
              <w:rPr>
                <w:rFonts w:ascii="楷体" w:hAnsi="楷体" w:eastAsia="楷体" w:cs="宋体"/>
                <w:b/>
                <w:spacing w:val="-2"/>
                <w:sz w:val="18"/>
                <w:szCs w:val="18"/>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业绩比较基准（年化）</w:t>
            </w:r>
          </w:p>
        </w:tc>
        <w:tc>
          <w:tcPr>
            <w:tcW w:w="7937" w:type="dxa"/>
            <w:noWrap w:val="0"/>
            <w:vAlign w:val="center"/>
          </w:tcPr>
          <w:p>
            <w:pPr>
              <w:pStyle w:val="34"/>
              <w:keepNext w:val="0"/>
              <w:keepLines w:val="0"/>
              <w:pageBreakBefore w:val="0"/>
              <w:widowControl w:val="0"/>
              <w:numPr>
                <w:ilvl w:val="0"/>
                <w:numId w:val="0"/>
              </w:numPr>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w:t>
            </w:r>
            <w:r>
              <w:rPr>
                <w:rFonts w:hint="eastAsia" w:ascii="楷体" w:hAnsi="楷体" w:eastAsia="楷体" w:cs="宋体"/>
                <w:b/>
                <w:bCs/>
                <w:spacing w:val="-2"/>
                <w:sz w:val="18"/>
                <w:szCs w:val="18"/>
                <w:u w:val="single"/>
                <w:lang w:val="en-US" w:eastAsia="zh-CN"/>
              </w:rPr>
              <w:t>银行存款（含结构性存款）、</w:t>
            </w:r>
            <w:r>
              <w:rPr>
                <w:rFonts w:ascii="楷体" w:hAnsi="楷体" w:eastAsia="楷体" w:cs="宋体"/>
                <w:b/>
                <w:bCs/>
                <w:spacing w:val="-2"/>
                <w:sz w:val="18"/>
                <w:szCs w:val="18"/>
                <w:u w:val="single"/>
              </w:rPr>
              <w:t>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highlight w:val="none"/>
                <w:u w:val="single"/>
              </w:rPr>
              <w:t>等</w:t>
            </w:r>
            <w:r>
              <w:rPr>
                <w:rFonts w:ascii="楷体" w:hAnsi="楷体" w:eastAsia="楷体" w:cs="宋体"/>
                <w:b/>
                <w:bCs/>
                <w:spacing w:val="-2"/>
                <w:sz w:val="18"/>
                <w:szCs w:val="18"/>
                <w:u w:val="single"/>
              </w:rPr>
              <w:t>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收益水平，在产品说明书约定的投资范围和投资比例内</w:t>
            </w:r>
            <w:r>
              <w:rPr>
                <w:rFonts w:hint="eastAsia" w:ascii="楷体" w:hAnsi="楷体" w:eastAsia="楷体" w:cs="宋体"/>
                <w:b/>
                <w:bCs/>
                <w:spacing w:val="-2"/>
                <w:sz w:val="18"/>
                <w:szCs w:val="18"/>
                <w:u w:val="single"/>
              </w:rPr>
              <w:t>，综合考虑各</w:t>
            </w:r>
            <w:r>
              <w:rPr>
                <w:rFonts w:hint="eastAsia" w:ascii="楷体" w:hAnsi="楷体" w:eastAsia="楷体" w:cs="宋体"/>
                <w:b/>
                <w:bCs/>
                <w:spacing w:val="-2"/>
                <w:sz w:val="18"/>
                <w:szCs w:val="18"/>
                <w:u w:val="single"/>
                <w:lang w:val="en-US" w:eastAsia="zh-CN"/>
              </w:rPr>
              <w:t>类</w:t>
            </w:r>
            <w:r>
              <w:rPr>
                <w:rFonts w:hint="eastAsia" w:ascii="楷体" w:hAnsi="楷体" w:eastAsia="楷体" w:cs="宋体"/>
                <w:b/>
                <w:bCs/>
                <w:spacing w:val="-2"/>
                <w:sz w:val="18"/>
                <w:szCs w:val="18"/>
                <w:u w:val="single"/>
              </w:rPr>
              <w:t>份额收取的销售服务费和投资管理费</w:t>
            </w:r>
            <w:r>
              <w:rPr>
                <w:rFonts w:hint="eastAsia" w:ascii="楷体" w:hAnsi="楷体" w:eastAsia="楷体" w:cs="宋体"/>
                <w:b/>
                <w:bCs/>
                <w:spacing w:val="-2"/>
                <w:sz w:val="18"/>
                <w:szCs w:val="18"/>
                <w:u w:val="single"/>
                <w:lang w:val="en-US" w:eastAsia="zh-CN"/>
              </w:rPr>
              <w:t>等费用</w:t>
            </w:r>
            <w:r>
              <w:rPr>
                <w:rFonts w:hint="eastAsia" w:ascii="楷体" w:hAnsi="楷体" w:eastAsia="楷体" w:cs="宋体"/>
                <w:b/>
                <w:bCs/>
                <w:spacing w:val="-2"/>
                <w:sz w:val="18"/>
                <w:szCs w:val="18"/>
                <w:u w:val="single"/>
              </w:rPr>
              <w:t>情况，</w:t>
            </w:r>
            <w:r>
              <w:rPr>
                <w:rFonts w:ascii="楷体" w:hAnsi="楷体" w:eastAsia="楷体" w:cs="宋体"/>
                <w:b/>
                <w:bCs/>
                <w:spacing w:val="-2"/>
                <w:sz w:val="18"/>
                <w:szCs w:val="18"/>
                <w:u w:val="single"/>
              </w:rPr>
              <w:t>模拟测算得出</w:t>
            </w:r>
            <w:r>
              <w:rPr>
                <w:rFonts w:hint="eastAsia" w:ascii="楷体" w:hAnsi="楷体" w:eastAsia="楷体" w:cs="宋体"/>
                <w:b/>
                <w:bCs/>
                <w:spacing w:val="-2"/>
                <w:sz w:val="18"/>
                <w:szCs w:val="18"/>
                <w:u w:val="single"/>
              </w:rPr>
              <w:t>业绩比较基准。</w:t>
            </w:r>
          </w:p>
          <w:p>
            <w:pPr>
              <w:pStyle w:val="34"/>
              <w:keepNext w:val="0"/>
              <w:keepLines w:val="0"/>
              <w:pageBreakBefore w:val="0"/>
              <w:widowControl w:val="0"/>
              <w:numPr>
                <w:ilvl w:val="0"/>
                <w:numId w:val="0"/>
              </w:numPr>
              <w:kinsoku w:val="0"/>
              <w:wordWrap/>
              <w:overflowPunct w:val="0"/>
              <w:topLinePunct w:val="0"/>
              <w:bidi w:val="0"/>
              <w:snapToGrid/>
              <w:spacing w:line="0" w:lineRule="atLeast"/>
              <w:ind w:left="0" w:leftChars="0" w:right="0" w:rightChars="0"/>
              <w:jc w:val="both"/>
              <w:textAlignment w:val="auto"/>
              <w:rPr>
                <w:rFonts w:hint="eastAsia" w:ascii="楷体" w:hAnsi="楷体" w:eastAsia="楷体" w:cs="宋体"/>
                <w:spacing w:val="-2"/>
                <w:kern w:val="0"/>
                <w:sz w:val="18"/>
                <w:szCs w:val="18"/>
                <w:lang w:val="en-US" w:eastAsia="zh-CN" w:bidi="ar-SA"/>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bCs/>
                <w:spacing w:val="-2"/>
                <w:sz w:val="18"/>
                <w:szCs w:val="18"/>
                <w:u w:val="single"/>
              </w:rPr>
              <w:t>。</w:t>
            </w:r>
            <w:r>
              <w:rPr>
                <w:rFonts w:hint="eastAsia" w:ascii="楷体" w:hAnsi="楷体" w:eastAsia="楷体" w:cs="宋体"/>
                <w:spacing w:val="-2"/>
                <w:kern w:val="0"/>
                <w:sz w:val="18"/>
                <w:szCs w:val="18"/>
                <w:lang w:val="en-US" w:eastAsia="zh-CN" w:bidi="ar-SA"/>
              </w:rPr>
              <w:t>各类份额最新投资周期（</w:t>
            </w:r>
            <w:r>
              <w:rPr>
                <w:rFonts w:hint="eastAsia" w:ascii="楷体" w:hAnsi="楷体" w:eastAsia="楷体" w:cs="宋体"/>
                <w:spacing w:val="-2"/>
                <w:kern w:val="0"/>
                <w:sz w:val="18"/>
                <w:szCs w:val="18"/>
                <w:highlight w:val="none"/>
                <w:u w:val="single"/>
                <w:lang w:val="en-US" w:eastAsia="zh-CN" w:bidi="ar-SA"/>
              </w:rPr>
              <w:t>2026年2月13日-2027年3月8日</w:t>
            </w:r>
            <w:r>
              <w:rPr>
                <w:rFonts w:hint="eastAsia" w:ascii="楷体" w:hAnsi="楷体" w:eastAsia="楷体" w:cs="宋体"/>
                <w:spacing w:val="-2"/>
                <w:kern w:val="0"/>
                <w:sz w:val="18"/>
                <w:szCs w:val="18"/>
                <w:lang w:val="en-US" w:eastAsia="zh-CN" w:bidi="ar-SA"/>
              </w:rPr>
              <w:t>）业绩比较基准如下：</w:t>
            </w:r>
          </w:p>
          <w:tbl>
            <w:tblPr>
              <w:tblStyle w:val="15"/>
              <w:tblW w:w="7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871"/>
              <w:gridCol w:w="1803"/>
              <w:gridCol w:w="2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jc w:val="center"/>
                    <w:rPr>
                      <w:rFonts w:hint="eastAsia" w:ascii="楷体" w:hAnsi="楷体" w:eastAsia="楷体"/>
                      <w:sz w:val="18"/>
                      <w:szCs w:val="18"/>
                    </w:rPr>
                  </w:pPr>
                  <w:r>
                    <w:rPr>
                      <w:rFonts w:hint="eastAsia" w:ascii="楷体" w:hAnsi="楷体" w:eastAsia="楷体"/>
                      <w:sz w:val="18"/>
                      <w:szCs w:val="18"/>
                    </w:rPr>
                    <w:t>投资周期</w:t>
                  </w:r>
                </w:p>
              </w:tc>
              <w:tc>
                <w:tcPr>
                  <w:tcW w:w="1871" w:type="dxa"/>
                  <w:vAlign w:val="center"/>
                </w:tcPr>
                <w:p>
                  <w:pPr>
                    <w:jc w:val="center"/>
                    <w:rPr>
                      <w:rFonts w:hint="eastAsia" w:ascii="楷体" w:hAnsi="楷体" w:eastAsia="楷体"/>
                      <w:sz w:val="18"/>
                      <w:szCs w:val="18"/>
                    </w:rPr>
                  </w:pPr>
                  <w:r>
                    <w:rPr>
                      <w:rFonts w:hint="eastAsia" w:ascii="楷体" w:hAnsi="楷体" w:eastAsia="楷体"/>
                      <w:sz w:val="18"/>
                      <w:szCs w:val="18"/>
                    </w:rPr>
                    <w:t>投资周期起始日</w:t>
                  </w:r>
                </w:p>
              </w:tc>
              <w:tc>
                <w:tcPr>
                  <w:tcW w:w="1803" w:type="dxa"/>
                  <w:vAlign w:val="center"/>
                </w:tcPr>
                <w:p>
                  <w:pPr>
                    <w:jc w:val="center"/>
                    <w:rPr>
                      <w:rFonts w:hint="eastAsia" w:ascii="楷体" w:hAnsi="楷体" w:eastAsia="楷体"/>
                      <w:sz w:val="18"/>
                      <w:szCs w:val="18"/>
                    </w:rPr>
                  </w:pPr>
                  <w:r>
                    <w:rPr>
                      <w:rFonts w:hint="eastAsia" w:ascii="楷体" w:hAnsi="楷体" w:eastAsia="楷体"/>
                      <w:sz w:val="18"/>
                      <w:szCs w:val="18"/>
                    </w:rPr>
                    <w:t>投资周期终止日</w:t>
                  </w:r>
                </w:p>
              </w:tc>
              <w:tc>
                <w:tcPr>
                  <w:tcW w:w="2701" w:type="dxa"/>
                  <w:vAlign w:val="center"/>
                </w:tcPr>
                <w:p>
                  <w:pPr>
                    <w:jc w:val="center"/>
                    <w:rPr>
                      <w:rFonts w:hint="eastAsia" w:ascii="楷体" w:hAnsi="楷体" w:eastAsia="楷体"/>
                      <w:sz w:val="18"/>
                      <w:szCs w:val="18"/>
                      <w:lang w:val="en-US" w:eastAsia="zh-CN"/>
                    </w:rPr>
                  </w:pPr>
                  <w:r>
                    <w:rPr>
                      <w:rFonts w:hint="eastAsia" w:ascii="楷体" w:hAnsi="楷体" w:eastAsia="楷体"/>
                      <w:sz w:val="18"/>
                      <w:szCs w:val="18"/>
                      <w:lang w:val="en-US" w:eastAsia="zh-CN"/>
                    </w:rPr>
                    <w:t>业绩比较基准</w:t>
                  </w:r>
                </w:p>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1</w:t>
                  </w:r>
                </w:p>
              </w:tc>
              <w:tc>
                <w:tcPr>
                  <w:tcW w:w="187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highlight w:val="none"/>
                      <w:lang w:eastAsia="zh-CN"/>
                    </w:rPr>
                    <w:t>2023年1月12日</w:t>
                  </w:r>
                </w:p>
              </w:tc>
              <w:tc>
                <w:tcPr>
                  <w:tcW w:w="1803"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eastAsia="zh-CN"/>
                    </w:rPr>
                    <w:t>2024年1月18日</w:t>
                  </w:r>
                </w:p>
              </w:tc>
              <w:tc>
                <w:tcPr>
                  <w:tcW w:w="2701" w:type="dxa"/>
                  <w:vAlign w:val="center"/>
                </w:tcPr>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A份额</w:t>
                  </w:r>
                  <w:r>
                    <w:rPr>
                      <w:rFonts w:hint="eastAsia" w:ascii="楷体" w:hAnsi="楷体" w:eastAsia="楷体"/>
                      <w:sz w:val="18"/>
                      <w:szCs w:val="18"/>
                      <w:lang w:val="en-US" w:eastAsia="zh-CN"/>
                    </w:rPr>
                    <w:t xml:space="preserve"> 4.10</w:t>
                  </w:r>
                  <w:r>
                    <w:rPr>
                      <w:rFonts w:hint="default" w:ascii="楷体" w:hAnsi="楷体" w:eastAsia="楷体"/>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B份额</w:t>
                  </w:r>
                  <w:r>
                    <w:rPr>
                      <w:rFonts w:hint="eastAsia" w:ascii="楷体" w:hAnsi="楷体" w:eastAsia="楷体"/>
                      <w:sz w:val="18"/>
                      <w:szCs w:val="18"/>
                      <w:lang w:val="en-US" w:eastAsia="zh-CN"/>
                    </w:rPr>
                    <w:t xml:space="preserve"> 4.13</w:t>
                  </w:r>
                  <w:r>
                    <w:rPr>
                      <w:rFonts w:hint="default" w:ascii="楷体" w:hAnsi="楷体" w:eastAsia="楷体"/>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G份额 4.20</w:t>
                  </w:r>
                  <w:r>
                    <w:rPr>
                      <w:rFonts w:hint="default" w:ascii="楷体" w:hAnsi="楷体" w:eastAsia="楷体"/>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2</w:t>
                  </w:r>
                </w:p>
              </w:tc>
              <w:tc>
                <w:tcPr>
                  <w:tcW w:w="187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cs="宋体"/>
                      <w:spacing w:val="-2"/>
                      <w:sz w:val="18"/>
                      <w:szCs w:val="18"/>
                      <w:lang w:val="en-US" w:eastAsia="zh-CN"/>
                    </w:rPr>
                    <w:t>2024年1月19日</w:t>
                  </w:r>
                </w:p>
              </w:tc>
              <w:tc>
                <w:tcPr>
                  <w:tcW w:w="1803"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18"/>
                      <w:szCs w:val="18"/>
                      <w:lang w:val="en-US" w:eastAsia="zh-CN"/>
                    </w:rPr>
                  </w:pPr>
                  <w:r>
                    <w:rPr>
                      <w:rFonts w:hint="eastAsia" w:ascii="楷体" w:hAnsi="楷体" w:eastAsia="楷体"/>
                      <w:sz w:val="18"/>
                      <w:szCs w:val="18"/>
                      <w:lang w:val="en-US" w:eastAsia="zh-CN"/>
                    </w:rPr>
                    <w:t>2025年1月20日</w:t>
                  </w:r>
                </w:p>
              </w:tc>
              <w:tc>
                <w:tcPr>
                  <w:tcW w:w="2701" w:type="dxa"/>
                  <w:vAlign w:val="center"/>
                </w:tcPr>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A份额3.30%-3.90%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B份额3.33%-3.93%</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D份额3.45%-4.05%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F份额3.30%-3.90%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G份额3.40%-4.00%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J份额3.40%-4.00%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ZA份额3.30%-3.90%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eastAsia" w:ascii="楷体" w:hAnsi="楷体" w:eastAsia="楷体"/>
                      <w:sz w:val="18"/>
                      <w:szCs w:val="18"/>
                      <w:lang w:val="en-US" w:eastAsia="zh-CN"/>
                    </w:rPr>
                  </w:pPr>
                  <w:r>
                    <w:rPr>
                      <w:rFonts w:hint="default" w:ascii="楷体" w:hAnsi="楷体" w:eastAsia="楷体" w:cs="Times New Roman"/>
                      <w:sz w:val="18"/>
                      <w:szCs w:val="18"/>
                      <w:lang w:val="en-US" w:eastAsia="zh-CN"/>
                    </w:rPr>
                    <w:t>ZF份额3.30%-3.90%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3</w:t>
                  </w:r>
                </w:p>
              </w:tc>
              <w:tc>
                <w:tcPr>
                  <w:tcW w:w="1871" w:type="dxa"/>
                  <w:vAlign w:val="center"/>
                </w:tcPr>
                <w:p>
                  <w:pPr>
                    <w:jc w:val="center"/>
                    <w:rPr>
                      <w:rFonts w:hint="default" w:ascii="楷体" w:hAnsi="楷体" w:eastAsia="楷体"/>
                      <w:sz w:val="18"/>
                      <w:szCs w:val="18"/>
                      <w:lang w:val="en-US" w:eastAsia="zh-CN"/>
                    </w:rPr>
                  </w:pPr>
                  <w:r>
                    <w:rPr>
                      <w:rFonts w:hint="eastAsia" w:ascii="楷体" w:hAnsi="楷体" w:eastAsia="楷体" w:cs="宋体"/>
                      <w:spacing w:val="-2"/>
                      <w:sz w:val="18"/>
                      <w:szCs w:val="18"/>
                      <w:lang w:val="en-US" w:eastAsia="zh-CN"/>
                    </w:rPr>
                    <w:t>2025年1月21日</w:t>
                  </w:r>
                </w:p>
              </w:tc>
              <w:tc>
                <w:tcPr>
                  <w:tcW w:w="1803" w:type="dxa"/>
                  <w:vAlign w:val="center"/>
                </w:tcPr>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eastAsia" w:ascii="楷体" w:hAnsi="楷体" w:eastAsia="楷体"/>
                      <w:sz w:val="18"/>
                      <w:szCs w:val="18"/>
                      <w:lang w:val="en-US" w:eastAsia="zh-CN"/>
                    </w:rPr>
                    <w:t>2026年2月12日</w:t>
                  </w:r>
                </w:p>
              </w:tc>
              <w:tc>
                <w:tcPr>
                  <w:tcW w:w="2701" w:type="dxa"/>
                  <w:vAlign w:val="center"/>
                </w:tcPr>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A份额</w:t>
                  </w:r>
                  <w:r>
                    <w:rPr>
                      <w:rFonts w:hint="eastAsia" w:ascii="楷体" w:hAnsi="楷体" w:eastAsia="楷体" w:cs="Times New Roman"/>
                      <w:sz w:val="18"/>
                      <w:szCs w:val="18"/>
                      <w:lang w:val="en-US" w:eastAsia="zh-CN"/>
                    </w:rPr>
                    <w:t>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B份额</w:t>
                  </w:r>
                  <w:r>
                    <w:rPr>
                      <w:rFonts w:hint="eastAsia" w:ascii="楷体" w:hAnsi="楷体" w:eastAsia="楷体" w:cs="Times New Roman"/>
                      <w:sz w:val="18"/>
                      <w:szCs w:val="18"/>
                      <w:lang w:val="en-US" w:eastAsia="zh-CN"/>
                    </w:rPr>
                    <w:t>2.73</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33</w:t>
                  </w:r>
                  <w:r>
                    <w:rPr>
                      <w:rFonts w:hint="default" w:ascii="楷体" w:hAnsi="楷体" w:eastAsia="楷体" w:cs="Times New Roman"/>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D份额</w:t>
                  </w:r>
                  <w:r>
                    <w:rPr>
                      <w:rFonts w:hint="eastAsia" w:ascii="楷体" w:hAnsi="楷体" w:eastAsia="楷体" w:cs="Times New Roman"/>
                      <w:sz w:val="18"/>
                      <w:szCs w:val="18"/>
                      <w:lang w:val="en-US" w:eastAsia="zh-CN"/>
                    </w:rPr>
                    <w:t>2.85</w:t>
                  </w:r>
                  <w:r>
                    <w:rPr>
                      <w:rFonts w:hint="default" w:ascii="楷体" w:hAnsi="楷体" w:eastAsia="楷体" w:cs="Times New Roman"/>
                      <w:sz w:val="18"/>
                      <w:szCs w:val="18"/>
                      <w:lang w:val="en-US" w:eastAsia="zh-CN"/>
                    </w:rPr>
                    <w:t>%-</w:t>
                  </w:r>
                  <w:r>
                    <w:rPr>
                      <w:rFonts w:hint="eastAsia" w:ascii="楷体" w:hAnsi="楷体" w:eastAsia="楷体" w:cs="Times New Roman"/>
                      <w:sz w:val="18"/>
                      <w:szCs w:val="18"/>
                      <w:lang w:val="en-US" w:eastAsia="zh-CN"/>
                    </w:rPr>
                    <w:t>3.45</w:t>
                  </w:r>
                  <w:r>
                    <w:rPr>
                      <w:rFonts w:hint="default" w:ascii="楷体" w:hAnsi="楷体" w:eastAsia="楷体" w:cs="Times New Roman"/>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F份额</w:t>
                  </w:r>
                  <w:r>
                    <w:rPr>
                      <w:rFonts w:hint="eastAsia" w:ascii="楷体" w:hAnsi="楷体" w:eastAsia="楷体" w:cs="Times New Roman"/>
                      <w:sz w:val="18"/>
                      <w:szCs w:val="18"/>
                      <w:lang w:val="en-US" w:eastAsia="zh-CN"/>
                    </w:rPr>
                    <w:t>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eastAsia" w:ascii="楷体" w:hAnsi="楷体" w:eastAsia="楷体" w:cs="Times New Roman"/>
                      <w:sz w:val="18"/>
                      <w:szCs w:val="18"/>
                      <w:lang w:val="en-US" w:eastAsia="zh-CN"/>
                    </w:rPr>
                  </w:pPr>
                  <w:r>
                    <w:rPr>
                      <w:rFonts w:hint="eastAsia" w:ascii="楷体" w:hAnsi="楷体" w:eastAsia="楷体" w:cs="Times New Roman"/>
                      <w:sz w:val="18"/>
                      <w:szCs w:val="18"/>
                      <w:lang w:val="en-US" w:eastAsia="zh-CN"/>
                    </w:rPr>
                    <w:t>G份额2.75%-3.35%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J份额</w:t>
                  </w:r>
                  <w:r>
                    <w:rPr>
                      <w:rFonts w:hint="eastAsia" w:ascii="楷体" w:hAnsi="楷体" w:eastAsia="楷体" w:cs="Times New Roman"/>
                      <w:sz w:val="18"/>
                      <w:szCs w:val="18"/>
                      <w:lang w:val="en-US" w:eastAsia="zh-CN"/>
                    </w:rPr>
                    <w:t>2.80</w:t>
                  </w:r>
                  <w:r>
                    <w:rPr>
                      <w:rFonts w:hint="default" w:ascii="楷体" w:hAnsi="楷体" w:eastAsia="楷体" w:cs="Times New Roman"/>
                      <w:sz w:val="18"/>
                      <w:szCs w:val="18"/>
                      <w:lang w:val="en-US" w:eastAsia="zh-CN"/>
                    </w:rPr>
                    <w:t>%-</w:t>
                  </w:r>
                  <w:r>
                    <w:rPr>
                      <w:rFonts w:hint="eastAsia" w:ascii="楷体" w:hAnsi="楷体" w:eastAsia="楷体" w:cs="Times New Roman"/>
                      <w:sz w:val="18"/>
                      <w:szCs w:val="18"/>
                      <w:lang w:val="en-US" w:eastAsia="zh-CN"/>
                    </w:rPr>
                    <w:t>3.40</w:t>
                  </w:r>
                  <w:r>
                    <w:rPr>
                      <w:rFonts w:hint="default" w:ascii="楷体" w:hAnsi="楷体" w:eastAsia="楷体" w:cs="Times New Roman"/>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ZA份</w:t>
                  </w:r>
                  <w:r>
                    <w:rPr>
                      <w:rFonts w:hint="eastAsia" w:ascii="楷体" w:hAnsi="楷体" w:eastAsia="楷体" w:cs="Times New Roman"/>
                      <w:sz w:val="18"/>
                      <w:szCs w:val="18"/>
                      <w:lang w:val="en-US" w:eastAsia="zh-CN"/>
                    </w:rPr>
                    <w:t>额2.70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ZF份</w:t>
                  </w:r>
                  <w:r>
                    <w:rPr>
                      <w:rFonts w:hint="eastAsia" w:ascii="楷体" w:hAnsi="楷体" w:eastAsia="楷体" w:cs="Times New Roman"/>
                      <w:sz w:val="18"/>
                      <w:szCs w:val="18"/>
                      <w:lang w:val="en-US" w:eastAsia="zh-CN"/>
                    </w:rPr>
                    <w:t>额2.70</w:t>
                  </w:r>
                  <w:r>
                    <w:rPr>
                      <w:rFonts w:hint="default" w:ascii="楷体" w:hAnsi="楷体" w:eastAsia="楷体" w:cs="Times New Roman"/>
                      <w:sz w:val="18"/>
                      <w:szCs w:val="18"/>
                      <w:lang w:val="en-US" w:eastAsia="zh-CN"/>
                    </w:rPr>
                    <w:t>%-3.</w:t>
                  </w:r>
                  <w:r>
                    <w:rPr>
                      <w:rFonts w:hint="eastAsia" w:ascii="楷体" w:hAnsi="楷体" w:eastAsia="楷体" w:cs="Times New Roman"/>
                      <w:sz w:val="18"/>
                      <w:szCs w:val="18"/>
                      <w:lang w:val="en-US" w:eastAsia="zh-CN"/>
                    </w:rPr>
                    <w:t>30</w:t>
                  </w:r>
                  <w:r>
                    <w:rPr>
                      <w:rFonts w:hint="default" w:ascii="楷体" w:hAnsi="楷体" w:eastAsia="楷体" w:cs="Times New Roman"/>
                      <w:sz w:val="18"/>
                      <w:szCs w:val="18"/>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eastAsia" w:ascii="楷体" w:hAnsi="楷体" w:eastAsia="楷体" w:cs="Times New Roman"/>
                      <w:sz w:val="18"/>
                      <w:szCs w:val="18"/>
                      <w:lang w:val="en-US" w:eastAsia="zh-CN"/>
                    </w:rPr>
                    <w:t>ZN份额 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Align w:val="center"/>
                </w:tcPr>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4</w:t>
                  </w:r>
                </w:p>
              </w:tc>
              <w:tc>
                <w:tcPr>
                  <w:tcW w:w="1871" w:type="dxa"/>
                  <w:vAlign w:val="center"/>
                </w:tcPr>
                <w:p>
                  <w:pPr>
                    <w:jc w:val="center"/>
                    <w:rPr>
                      <w:rFonts w:hint="default" w:ascii="楷体" w:hAnsi="楷体" w:eastAsia="楷体" w:cs="宋体"/>
                      <w:spacing w:val="-2"/>
                      <w:sz w:val="18"/>
                      <w:szCs w:val="18"/>
                      <w:lang w:val="en-US" w:eastAsia="zh-CN"/>
                    </w:rPr>
                  </w:pPr>
                  <w:r>
                    <w:rPr>
                      <w:rFonts w:hint="eastAsia" w:ascii="楷体" w:hAnsi="楷体" w:eastAsia="楷体" w:cs="宋体"/>
                      <w:spacing w:val="-2"/>
                      <w:sz w:val="18"/>
                      <w:szCs w:val="18"/>
                      <w:lang w:val="en-US" w:eastAsia="zh-CN"/>
                    </w:rPr>
                    <w:t>2026年2月13日</w:t>
                  </w:r>
                </w:p>
              </w:tc>
              <w:tc>
                <w:tcPr>
                  <w:tcW w:w="1803" w:type="dxa"/>
                  <w:vAlign w:val="center"/>
                </w:tcPr>
                <w:p>
                  <w:pPr>
                    <w:pStyle w:val="2"/>
                    <w:keepNext w:val="0"/>
                    <w:keepLines w:val="0"/>
                    <w:pageBreakBefore w:val="0"/>
                    <w:widowControl w:val="0"/>
                    <w:kinsoku/>
                    <w:wordWrap/>
                    <w:overflowPunct/>
                    <w:topLinePunct w:val="0"/>
                    <w:autoSpaceDE/>
                    <w:autoSpaceDN/>
                    <w:bidi w:val="0"/>
                    <w:adjustRightInd/>
                    <w:snapToGrid/>
                    <w:spacing w:before="0" w:line="0" w:lineRule="atLeast"/>
                    <w:jc w:val="center"/>
                    <w:textAlignment w:val="auto"/>
                    <w:rPr>
                      <w:rFonts w:hint="default" w:ascii="楷体" w:hAnsi="楷体" w:eastAsia="楷体"/>
                      <w:sz w:val="18"/>
                      <w:szCs w:val="18"/>
                      <w:lang w:val="en-US" w:eastAsia="zh-CN"/>
                    </w:rPr>
                  </w:pPr>
                  <w:r>
                    <w:rPr>
                      <w:rFonts w:hint="eastAsia" w:ascii="楷体" w:hAnsi="楷体" w:eastAsia="楷体"/>
                      <w:sz w:val="18"/>
                      <w:szCs w:val="18"/>
                      <w:lang w:val="en-US" w:eastAsia="zh-CN"/>
                    </w:rPr>
                    <w:t>2027年3月8日</w:t>
                  </w:r>
                </w:p>
              </w:tc>
              <w:tc>
                <w:tcPr>
                  <w:tcW w:w="2701" w:type="dxa"/>
                  <w:vAlign w:val="center"/>
                </w:tcPr>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A份额 2.45%-3.05%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B份额 2.48%-3.08%</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C份额 2.50%-3.10%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D份额 2.60%-3.20%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F份额 2.45%-3.05%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G份额 2.48%-3.08%</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J份额 2.55%-3.15%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M份额 2.55%-3.15%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P份额 2.65%-3.25%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O份额 2.55%-3.15%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U份额 2.45%-3.05%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Z份额 2.45%-3.05%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ZA份额 2.45%-3.05%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ZF份额 2.45%-3.05%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ZN份额 2.55%-3.15%</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cs="Times New Roman"/>
                      <w:sz w:val="18"/>
                      <w:szCs w:val="18"/>
                      <w:lang w:val="en-US" w:eastAsia="zh-CN"/>
                    </w:rPr>
                  </w:pPr>
                  <w:r>
                    <w:rPr>
                      <w:rFonts w:hint="default" w:ascii="楷体" w:hAnsi="楷体" w:eastAsia="楷体" w:cs="Times New Roman"/>
                      <w:sz w:val="18"/>
                      <w:szCs w:val="18"/>
                      <w:lang w:val="en-US" w:eastAsia="zh-CN"/>
                    </w:rPr>
                    <w:t>ZC份额 2.50%-3.10%</w:t>
                  </w:r>
                </w:p>
                <w:p>
                  <w:pPr>
                    <w:pStyle w:val="2"/>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eastAsia" w:ascii="楷体" w:hAnsi="楷体" w:eastAsia="楷体"/>
                      <w:sz w:val="18"/>
                      <w:szCs w:val="18"/>
                      <w:lang w:val="en-US" w:eastAsia="zh-CN"/>
                    </w:rPr>
                  </w:pPr>
                  <w:r>
                    <w:rPr>
                      <w:rFonts w:hint="default" w:ascii="楷体" w:hAnsi="楷体" w:eastAsia="楷体" w:cs="Times New Roman"/>
                      <w:sz w:val="18"/>
                      <w:szCs w:val="18"/>
                      <w:lang w:val="en-US" w:eastAsia="zh-CN"/>
                    </w:rPr>
                    <w:t>ZK份额 2.60%-3.20%</w:t>
                  </w:r>
                </w:p>
              </w:tc>
            </w:tr>
          </w:tbl>
          <w:p>
            <w:pPr>
              <w:keepNext w:val="0"/>
              <w:keepLines w:val="0"/>
              <w:pageBreakBefore w:val="0"/>
              <w:widowControl w:val="0"/>
              <w:wordWrap/>
              <w:topLinePunct w:val="0"/>
              <w:bidi w:val="0"/>
              <w:snapToGrid/>
              <w:spacing w:line="0" w:lineRule="atLeast"/>
              <w:ind w:left="0" w:leftChars="0" w:right="0" w:rightChars="0"/>
              <w:jc w:val="both"/>
              <w:textAlignment w:val="auto"/>
              <w:rPr>
                <w:rFonts w:hint="eastAsia" w:ascii="楷体" w:hAnsi="楷体" w:eastAsia="楷体" w:cs="宋体"/>
                <w:b/>
                <w:spacing w:val="-2"/>
                <w:sz w:val="18"/>
                <w:szCs w:val="18"/>
                <w:u w:val="single"/>
                <w:lang w:val="en-US" w:eastAsia="zh-CN"/>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w:t>
            </w:r>
          </w:p>
          <w:p>
            <w:pPr>
              <w:keepNext w:val="0"/>
              <w:keepLines w:val="0"/>
              <w:pageBreakBefore w:val="0"/>
              <w:widowControl w:val="0"/>
              <w:wordWrap/>
              <w:topLinePunct w:val="0"/>
              <w:bidi w:val="0"/>
              <w:snapToGrid/>
              <w:spacing w:line="0" w:lineRule="atLeast"/>
              <w:ind w:left="0" w:leftChars="0" w:right="0"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spacing w:val="-2"/>
                <w:sz w:val="18"/>
                <w:szCs w:val="18"/>
                <w:u w:val="single"/>
              </w:rPr>
              <w:t>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rPr>
              <w:t>产品费用</w:t>
            </w:r>
          </w:p>
        </w:tc>
        <w:tc>
          <w:tcPr>
            <w:tcW w:w="7937" w:type="dxa"/>
            <w:noWrap w:val="0"/>
            <w:vAlign w:val="center"/>
          </w:tcPr>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本产品费用包括托管费、销售服务费、投资管理费、超额业绩报酬（如有）以及产品运作和清算中产生的其他费用等。</w:t>
            </w:r>
          </w:p>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1.托管费率（年化）：0.02%。</w:t>
            </w:r>
          </w:p>
          <w:p>
            <w:pPr>
              <w:keepNext w:val="0"/>
              <w:keepLines w:val="0"/>
              <w:pageBreakBefore w:val="0"/>
              <w:numPr>
                <w:ilvl w:val="0"/>
                <w:numId w:val="0"/>
              </w:numPr>
              <w:wordWrap/>
              <w:topLinePunct w:val="0"/>
              <w:bidi w:val="0"/>
              <w:snapToGrid/>
              <w:spacing w:line="0" w:lineRule="atLeast"/>
              <w:ind w:right="0" w:rightChars="0"/>
              <w:textAlignment w:val="auto"/>
              <w:rPr>
                <w:rFonts w:hint="default"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2.销售服务费率（年化）：A份额 0.50%，B份额 0.50%，C份额 0.50%，D份额 0.50%，F份额 0.65%，G份额 0.55%，J份额 0.50%，M份额 0.55%，P份额 0.45%，O份额 0.55%，U份额 0.60%，Z份额 0.65%，ZA份额 0.65%，ZF份额 0.65%，ZN份额 0.55%，ZC份额 0.60%，ZK份额 0.50%。</w:t>
            </w:r>
          </w:p>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3.投资管理费率（年化）：A份额 0.80%，B份额 0.77%，C份额 0.75%，D份额 0.65%，F份额 0.65%，G份额 0.72%，J份额 0.70%，M份额 0.65%，P份额 0.65%，O份额 0.65%，U份额 0.70%，Z份额 0.65%，ZA份额 0.65%，ZF份额 0.65%，ZN份额 0.65%，ZC份额 0.65%，ZK份额 0.65%。</w:t>
            </w:r>
          </w:p>
          <w:p>
            <w:pPr>
              <w:keepNext w:val="0"/>
              <w:keepLines w:val="0"/>
              <w:pageBreakBefore w:val="0"/>
              <w:numPr>
                <w:ilvl w:val="0"/>
                <w:numId w:val="0"/>
              </w:numPr>
              <w:wordWrap/>
              <w:topLinePunct w:val="0"/>
              <w:bidi w:val="0"/>
              <w:snapToGrid/>
              <w:spacing w:line="0" w:lineRule="atLeast"/>
              <w:ind w:right="0" w:rightChars="0"/>
              <w:textAlignment w:val="auto"/>
              <w:rPr>
                <w:rFonts w:hint="eastAsia" w:ascii="楷体" w:hAnsi="楷体" w:eastAsia="楷体" w:cs="宋体"/>
                <w:color w:val="auto"/>
                <w:spacing w:val="-2"/>
                <w:sz w:val="18"/>
                <w:szCs w:val="18"/>
                <w:highlight w:val="none"/>
                <w:lang w:val="en-US" w:eastAsia="zh-CN"/>
              </w:rPr>
            </w:pPr>
            <w:r>
              <w:rPr>
                <w:rFonts w:hint="eastAsia" w:ascii="楷体" w:hAnsi="楷体" w:eastAsia="楷体" w:cs="宋体"/>
                <w:color w:val="auto"/>
                <w:spacing w:val="-2"/>
                <w:sz w:val="18"/>
                <w:szCs w:val="18"/>
                <w:highlight w:val="none"/>
                <w:lang w:val="en-US" w:eastAsia="zh-CN"/>
              </w:rPr>
              <w:t>4</w:t>
            </w:r>
            <w:r>
              <w:rPr>
                <w:rFonts w:hint="eastAsia" w:ascii="楷体" w:hAnsi="楷体" w:eastAsia="楷体" w:cs="宋体"/>
                <w:color w:val="auto"/>
                <w:spacing w:val="-2"/>
                <w:sz w:val="18"/>
                <w:szCs w:val="18"/>
                <w:highlight w:val="none"/>
              </w:rPr>
              <w:t>.超额业绩报酬：</w:t>
            </w:r>
            <w:r>
              <w:rPr>
                <w:rFonts w:hint="eastAsia" w:ascii="楷体" w:hAnsi="楷体" w:eastAsia="楷体" w:cs="宋体"/>
                <w:color w:val="auto"/>
                <w:spacing w:val="-2"/>
                <w:sz w:val="18"/>
                <w:szCs w:val="18"/>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r>
              <w:rPr>
                <w:rFonts w:hint="eastAsia" w:ascii="楷体" w:hAnsi="楷体" w:eastAsia="楷体" w:cs="宋体"/>
                <w:color w:val="auto"/>
                <w:spacing w:val="-2"/>
                <w:sz w:val="18"/>
                <w:szCs w:val="18"/>
                <w:highlight w:val="none"/>
              </w:rPr>
              <w:t>。</w:t>
            </w:r>
          </w:p>
          <w:p>
            <w:pPr>
              <w:keepNext w:val="0"/>
              <w:keepLines w:val="0"/>
              <w:pageBreakBefore w:val="0"/>
              <w:widowControl w:val="0"/>
              <w:wordWrap/>
              <w:topLinePunct w:val="0"/>
              <w:bidi w:val="0"/>
              <w:snapToGrid/>
              <w:spacing w:line="0" w:lineRule="atLeast"/>
              <w:ind w:left="0" w:leftChars="0" w:right="0" w:rightChars="0"/>
              <w:textAlignment w:val="auto"/>
              <w:rPr>
                <w:rFonts w:hint="eastAsia" w:ascii="楷体" w:hAnsi="楷体" w:eastAsia="楷体" w:cs="宋体"/>
                <w:color w:val="auto"/>
                <w:spacing w:val="-2"/>
                <w:sz w:val="18"/>
                <w:szCs w:val="18"/>
                <w:highlight w:val="none"/>
              </w:rPr>
            </w:pPr>
            <w:r>
              <w:rPr>
                <w:rFonts w:hint="eastAsia" w:ascii="楷体" w:hAnsi="楷体" w:eastAsia="楷体" w:cs="宋体"/>
                <w:color w:val="auto"/>
                <w:spacing w:val="-2"/>
                <w:sz w:val="18"/>
                <w:szCs w:val="18"/>
                <w:highlight w:val="none"/>
              </w:rPr>
              <w:t>单一投资周期运作期间内理财产品将每日暂估超额业绩报酬，仅用于理财产品会计核算，并将扣除“暂估超额业绩报酬”后的理财产品份额净值按照说明书约定向投资者进行披露。理财产品实际</w:t>
            </w:r>
            <w:r>
              <w:rPr>
                <w:rFonts w:hint="eastAsia" w:ascii="楷体" w:hAnsi="楷体" w:eastAsia="楷体" w:cs="宋体"/>
                <w:color w:val="auto"/>
                <w:spacing w:val="-2"/>
                <w:sz w:val="18"/>
                <w:szCs w:val="18"/>
                <w:highlight w:val="none"/>
                <w:lang w:val="en-US" w:eastAsia="zh-CN"/>
              </w:rPr>
              <w:t>收取</w:t>
            </w:r>
            <w:r>
              <w:rPr>
                <w:rFonts w:hint="eastAsia" w:ascii="楷体" w:hAnsi="楷体" w:eastAsia="楷体" w:cs="宋体"/>
                <w:color w:val="auto"/>
                <w:spacing w:val="-2"/>
                <w:sz w:val="18"/>
                <w:szCs w:val="18"/>
                <w:highlight w:val="none"/>
              </w:rPr>
              <w:t>的超额业绩报酬以投资周期终止日计提核算的数值为准。</w:t>
            </w:r>
          </w:p>
          <w:p>
            <w:pPr>
              <w:keepNext w:val="0"/>
              <w:keepLines w:val="0"/>
              <w:pageBreakBefore w:val="0"/>
              <w:widowControl w:val="0"/>
              <w:wordWrap/>
              <w:topLinePunct w:val="0"/>
              <w:bidi w:val="0"/>
              <w:snapToGrid/>
              <w:spacing w:line="0" w:lineRule="atLeast"/>
              <w:ind w:left="0" w:leftChars="0" w:right="0" w:rightChars="0"/>
              <w:textAlignment w:val="auto"/>
              <w:rPr>
                <w:sz w:val="18"/>
                <w:szCs w:val="18"/>
              </w:rPr>
            </w:pPr>
            <w:r>
              <w:rPr>
                <w:rFonts w:hint="eastAsia" w:ascii="楷体" w:hAnsi="楷体" w:eastAsia="楷体" w:cs="宋体"/>
                <w:b/>
                <w:spacing w:val="-2"/>
                <w:sz w:val="18"/>
                <w:szCs w:val="18"/>
                <w:u w:val="single"/>
              </w:rPr>
              <w:t>本产品设置</w:t>
            </w:r>
            <w:r>
              <w:rPr>
                <w:rFonts w:hint="eastAsia" w:ascii="楷体" w:hAnsi="楷体" w:eastAsia="楷体" w:cs="宋体"/>
                <w:b/>
                <w:bCs w:val="0"/>
                <w:spacing w:val="-2"/>
                <w:kern w:val="0"/>
                <w:sz w:val="18"/>
                <w:szCs w:val="18"/>
                <w:highlight w:val="none"/>
                <w:u w:val="single"/>
                <w:lang w:val="en-US" w:eastAsia="zh-CN" w:bidi="ar-SA"/>
              </w:rPr>
              <w:t>有多类份额，各类份额按照设置的销售对象和销售起点在不同的销售机构销售，各类份额实际收取的销售服务费率、投资管理费率和超额业绩报酬（如有）可能存在差异，投资者应根据各类份额收费情况自主选择购买。</w:t>
            </w:r>
          </w:p>
          <w:p>
            <w:pPr>
              <w:pStyle w:val="34"/>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0" w:lineRule="atLeast"/>
              <w:ind w:left="0" w:leftChars="0" w:right="0" w:rightChars="0" w:firstLine="0" w:firstLineChars="0"/>
              <w:jc w:val="both"/>
              <w:textAlignment w:val="auto"/>
              <w:rPr>
                <w:rFonts w:ascii="楷体" w:hAnsi="楷体" w:eastAsia="楷体"/>
                <w:sz w:val="18"/>
                <w:szCs w:val="18"/>
              </w:rPr>
            </w:pPr>
            <w:r>
              <w:rPr>
                <w:rFonts w:hint="eastAsia" w:ascii="楷体" w:hAnsi="楷体" w:eastAsia="楷体" w:cs="宋体"/>
                <w:b/>
                <w:bCs w:val="0"/>
                <w:spacing w:val="-2"/>
                <w:sz w:val="18"/>
                <w:szCs w:val="18"/>
                <w:highlight w:val="none"/>
                <w:u w:val="single"/>
              </w:rPr>
              <w:t>产品存续期内管理人有权根据产品运行情况制定费率优惠措施，优惠后实际执行的费率以管理人公告为准</w:t>
            </w:r>
            <w:r>
              <w:rPr>
                <w:rFonts w:hint="eastAsia" w:ascii="楷体" w:hAnsi="楷体" w:eastAsia="楷体" w:cs="宋体"/>
                <w:b/>
                <w:bCs w:val="0"/>
                <w:spacing w:val="-2"/>
                <w:sz w:val="18"/>
                <w:szCs w:val="18"/>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tcBorders>
              <w:bottom w:val="single" w:color="auto" w:sz="4" w:space="0"/>
            </w:tcBorders>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noWrap w:val="0"/>
            <w:vAlign w:val="center"/>
          </w:tcPr>
          <w:p>
            <w:pPr>
              <w:keepNext w:val="0"/>
              <w:keepLines w:val="0"/>
              <w:pageBreakBefore w:val="0"/>
              <w:widowControl w:val="0"/>
              <w:wordWrap/>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w:t>
            </w:r>
            <w:r>
              <w:rPr>
                <w:rFonts w:hint="eastAsia" w:ascii="楷体" w:hAnsi="楷体" w:eastAsia="楷体" w:cs="宋体"/>
                <w:spacing w:val="-2"/>
                <w:sz w:val="18"/>
                <w:szCs w:val="18"/>
                <w:highlight w:val="none"/>
              </w:rPr>
              <w:t>按投资周期进行现金分红</w:t>
            </w:r>
            <w:r>
              <w:rPr>
                <w:rFonts w:hint="eastAsia" w:ascii="楷体" w:hAnsi="楷体" w:eastAsia="楷体" w:cs="宋体"/>
                <w:spacing w:val="-2"/>
                <w:sz w:val="18"/>
                <w:szCs w:val="18"/>
                <w:lang w:eastAsia="zh-CN"/>
              </w:rPr>
              <w:t>。</w:t>
            </w:r>
            <w:r>
              <w:rPr>
                <w:rFonts w:hint="eastAsia" w:ascii="楷体" w:hAnsi="楷体" w:eastAsia="楷体" w:cs="宋体"/>
                <w:spacing w:val="-2"/>
                <w:sz w:val="18"/>
                <w:szCs w:val="18"/>
              </w:rPr>
              <w:t>当一个投资周期结束，在满足投资周期终止日理财产品单位净值大于面值的条件下，管理人可进行现金分红，现金分红金额为单个投资周期投资产生的收益扣除固定费用（包括托管费、销售服务费、投资管理费）、运作产品所必须缴纳的税费、提取业绩报酬（如有）后的部分，2个工作日内到达投资者资金账户。</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tcBorders>
              <w:top w:val="single" w:color="auto" w:sz="4" w:space="0"/>
              <w:left w:val="single" w:color="auto" w:sz="4" w:space="0"/>
              <w:bottom w:val="single" w:color="auto" w:sz="4" w:space="0"/>
              <w:right w:val="single" w:color="auto" w:sz="4" w:space="0"/>
            </w:tcBorders>
            <w:noWrap w:val="0"/>
            <w:vAlign w:val="center"/>
          </w:tcPr>
          <w:p>
            <w:pPr>
              <w:pStyle w:val="34"/>
              <w:keepNext w:val="0"/>
              <w:keepLines w:val="0"/>
              <w:pageBreakBefore w:val="0"/>
              <w:widowControl w:val="0"/>
              <w:kinsoku w:val="0"/>
              <w:wordWrap/>
              <w:overflowPunct w:val="0"/>
              <w:topLinePunct w:val="0"/>
              <w:bidi w:val="0"/>
              <w:snapToGrid/>
              <w:spacing w:before="0" w:line="0" w:lineRule="atLeast"/>
              <w:ind w:left="0" w:leftChars="0"/>
              <w:jc w:val="both"/>
              <w:textAlignment w:val="auto"/>
              <w:rPr>
                <w:rFonts w:hint="default" w:ascii="楷体" w:hAnsi="楷体" w:eastAsia="楷体" w:cs="宋体"/>
                <w:b/>
                <w:spacing w:val="-2"/>
                <w:sz w:val="18"/>
                <w:szCs w:val="18"/>
                <w:lang w:val="en-US"/>
              </w:rPr>
            </w:pPr>
            <w:r>
              <w:rPr>
                <w:rFonts w:hint="eastAsia" w:ascii="楷体" w:hAnsi="楷体" w:eastAsia="楷体" w:cs="宋体"/>
                <w:b/>
                <w:color w:val="auto"/>
                <w:spacing w:val="-2"/>
                <w:sz w:val="18"/>
                <w:szCs w:val="18"/>
                <w:lang w:val="en-US" w:eastAsia="zh-CN"/>
              </w:rPr>
              <w:t>税款</w:t>
            </w:r>
          </w:p>
        </w:tc>
        <w:tc>
          <w:tcPr>
            <w:tcW w:w="7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wordWrap/>
              <w:topLinePunct w:val="0"/>
              <w:bidi w:val="0"/>
              <w:snapToGrid/>
              <w:spacing w:line="0" w:lineRule="atLeast"/>
              <w:ind w:left="0" w:leftChars="0" w:right="0" w:rightChars="0"/>
              <w:textAlignment w:val="auto"/>
              <w:rPr>
                <w:rFonts w:hint="eastAsia" w:ascii="楷体" w:hAnsi="楷体" w:eastAsia="楷体" w:cs="宋体"/>
                <w:spacing w:val="-2"/>
                <w:sz w:val="18"/>
                <w:szCs w:val="18"/>
              </w:rPr>
            </w:pPr>
            <w:r>
              <w:rPr>
                <w:rFonts w:hint="eastAsia" w:ascii="楷体" w:hAnsi="楷体" w:eastAsia="楷体" w:cs="宋体"/>
                <w:color w:val="auto"/>
                <w:spacing w:val="-2"/>
                <w:sz w:val="18"/>
                <w:szCs w:val="18"/>
              </w:rPr>
              <w:t>根据中国增值税等税收相关法律法规、税收政策等要求，</w:t>
            </w:r>
            <w:r>
              <w:rPr>
                <w:rFonts w:hint="eastAsia" w:ascii="楷体" w:hAnsi="楷体" w:eastAsia="楷体" w:cs="宋体"/>
                <w:color w:val="auto"/>
                <w:spacing w:val="-2"/>
                <w:sz w:val="18"/>
                <w:szCs w:val="18"/>
                <w:shd w:val="clear" w:fill="auto"/>
                <w:lang w:val="en-US" w:eastAsia="zh-CN"/>
              </w:rPr>
              <w:t>产品</w:t>
            </w:r>
            <w:r>
              <w:rPr>
                <w:rFonts w:hint="eastAsia" w:ascii="楷体" w:hAnsi="楷体" w:eastAsia="楷体" w:cs="宋体"/>
                <w:color w:val="auto"/>
                <w:spacing w:val="-2"/>
                <w:sz w:val="18"/>
                <w:szCs w:val="18"/>
              </w:rPr>
              <w:t>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rPr>
        <w:t>产品管理人</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本产品管理人为</w:t>
      </w:r>
      <w:r>
        <w:rPr>
          <w:rFonts w:hint="eastAsia" w:ascii="楷体" w:hAnsi="楷体" w:eastAsia="楷体" w:cs="Calibri"/>
          <w:b/>
          <w:bCs/>
          <w:sz w:val="21"/>
          <w:szCs w:val="21"/>
          <w:u w:val="single"/>
        </w:rPr>
        <w:t>苏银理财有限责任公司</w:t>
      </w:r>
      <w:r>
        <w:rPr>
          <w:rFonts w:hint="eastAsia" w:ascii="楷体" w:hAnsi="楷体" w:eastAsia="楷体" w:cs="Calibri"/>
          <w:sz w:val="21"/>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widowControl w:val="0"/>
        <w:numPr>
          <w:ilvl w:val="0"/>
          <w:numId w:val="2"/>
        </w:numPr>
        <w:shd w:val="clear" w:color="auto" w:fill="auto"/>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产品托管人</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firstLine="420" w:firstLineChars="200"/>
        <w:textAlignment w:val="auto"/>
        <w:rPr>
          <w:rFonts w:hint="eastAsia" w:ascii="楷体" w:hAnsi="楷体" w:eastAsia="楷体" w:cs="楷体"/>
          <w:b/>
          <w:bCs/>
          <w:sz w:val="21"/>
          <w:szCs w:val="21"/>
          <w:u w:val="single"/>
        </w:rPr>
      </w:pPr>
      <w:r>
        <w:rPr>
          <w:rFonts w:hint="eastAsia" w:ascii="楷体" w:hAnsi="楷体" w:eastAsia="楷体"/>
          <w:color w:val="auto"/>
          <w:sz w:val="21"/>
          <w:szCs w:val="21"/>
          <w:highlight w:val="none"/>
        </w:rPr>
        <w:t>本产品托管人为</w:t>
      </w:r>
      <w:r>
        <w:rPr>
          <w:rFonts w:hint="eastAsia" w:ascii="楷体" w:hAnsi="楷体" w:eastAsia="楷体" w:cs="Calibri"/>
          <w:b/>
          <w:bCs/>
          <w:sz w:val="21"/>
          <w:szCs w:val="21"/>
          <w:u w:val="single"/>
          <w:lang w:val="en-US" w:eastAsia="zh-CN"/>
        </w:rPr>
        <w:t>江苏银行股份有限</w:t>
      </w:r>
      <w:r>
        <w:rPr>
          <w:rFonts w:hint="eastAsia" w:ascii="楷体" w:hAnsi="楷体" w:eastAsia="楷体" w:cs="Calibri"/>
          <w:b/>
          <w:bCs/>
          <w:sz w:val="21"/>
          <w:szCs w:val="21"/>
          <w:u w:val="single"/>
        </w:rPr>
        <w:t>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2"/>
        </w:numPr>
        <w:shd w:val="clear" w:color="auto" w:fill="auto"/>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销售机构</w:t>
      </w:r>
    </w:p>
    <w:p>
      <w:pPr>
        <w:numPr>
          <w:ilvl w:val="0"/>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0"/>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pStyle w:val="2"/>
        <w:keepNext w:val="0"/>
        <w:keepLines w:val="0"/>
        <w:pageBreakBefore w:val="0"/>
        <w:widowControl w:val="0"/>
        <w:kinsoku/>
        <w:wordWrap/>
        <w:overflowPunct/>
        <w:topLinePunct w:val="0"/>
        <w:bidi w:val="0"/>
        <w:snapToGrid/>
        <w:spacing w:before="0"/>
        <w:ind w:left="0" w:firstLine="420" w:firstLineChars="200"/>
        <w:jc w:val="both"/>
        <w:textAlignment w:val="auto"/>
        <w:rPr>
          <w:rFonts w:hint="eastAsia"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A份额：江苏丹阳农村商业银行股份有限公司/江苏东台农村商业银行股份有限公司/江苏阜宁农村商业银行股份有限公司/江苏高淳农村商业银行股份有限公司/江苏高邮农村商业银行股份有限公司/江苏海安农村商业银行股份有限公司/江苏洪泽农村商业银行股份有限公司/江苏淮安农村商业银行股份有限公司/江苏江阴农村商业银行股份有限公司/江苏靖江农村商业银行股份有限公司/江苏句容农村商业银行股份有限公司/江苏溧水农村商业银行股份有限公司/江苏涟水农村商业银行股份有限公司/江苏南通农村商业银行股份有限公司/江苏邳州农村商业银行股份有限公司/江苏如东农村商业银行股份有限公司/江苏如皋农村商业银行股份有限公司/江苏沭阳农村商业银行股份有限公司/江苏泰兴农村商业银行股份有限公司/江苏新沂农村商业银行股份有限公司/江苏盱眙农村商业银行股份有限公司/江苏扬中农村商业银行股份有限公司/江苏扬州农村商业银行股份有限公司/江苏仪征农村商业银行股份有限公司/江苏宜兴农村商业银行股份有限公司/江苏银行股份有限公司/江苏紫金农村商业银行股份有限公司/九江银行股份有限公司/宁波东海银行股份有限公司/齐鲁银行股份有限公司/上海农村商业银行股份有限公司/上海银行股份有限公司/苏银理财有限责任公司/威海银行股份有限公司/兴业银行股份有限公司/徐州农村商业银行股份有限公司</w:t>
      </w:r>
    </w:p>
    <w:p>
      <w:pPr>
        <w:pStyle w:val="2"/>
        <w:keepNext w:val="0"/>
        <w:keepLines w:val="0"/>
        <w:pageBreakBefore w:val="0"/>
        <w:widowControl w:val="0"/>
        <w:kinsoku/>
        <w:wordWrap/>
        <w:overflowPunct/>
        <w:topLinePunct w:val="0"/>
        <w:bidi w:val="0"/>
        <w:snapToGrid/>
        <w:spacing w:before="0"/>
        <w:ind w:left="0" w:firstLine="420" w:firstLineChars="200"/>
        <w:jc w:val="both"/>
        <w:textAlignment w:val="auto"/>
        <w:rPr>
          <w:rFonts w:hint="default"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B份额：江苏丹阳农村商业银行股份有限公司/江苏东台农村商业银行股份有限公司/江苏阜宁农村商业银行股份有限公司/江苏高淳农村商业银行股份有限公司/江苏高邮农村商业银行股份有限公司/江苏海安农村商业银行股份有限公司/江苏洪泽农村商业银行股份有限公司/江苏淮安农村商业银行股份有限公司/江苏靖江农村商业银行股份有限公司/江苏句容农村商业银行股份有限公司/江苏溧水农村商业银行股份有限公司/江苏涟水农村商业银行股份有限公司/江苏南通农村商业银行股份有限公司/江苏邳州农村商业银行股份有限公司/江苏如东农村商业银行股份有限公司/江苏如皋农村商业银行股份有限公司/江苏沭阳农村商业银行股份有限公司/江苏泰兴农村商业银行股份有限公司/江苏新沂农村商业银行股份有限公司/江苏盱眙农村商业银行股份有限公司/江苏扬中农村商业银行股份有限公司/江苏扬州农村商业银行股份有限公司/江苏仪征农村商业银行股份有限公司/江苏宜兴农村商业银行股份有限公司/江苏银行股份有限公司/江苏紫金农村商业银行股份有限公司/宁波东海银行股份有限公司/齐鲁银行股份有限公司/苏银理财有限责任公司/威海银行股份有限公司/兴业银行股份有限公司/徐州农村商业银行股份有限公司</w:t>
      </w:r>
    </w:p>
    <w:p>
      <w:pPr>
        <w:pStyle w:val="2"/>
        <w:keepNext w:val="0"/>
        <w:keepLines w:val="0"/>
        <w:pageBreakBefore w:val="0"/>
        <w:widowControl w:val="0"/>
        <w:kinsoku/>
        <w:wordWrap/>
        <w:overflowPunct/>
        <w:topLinePunct w:val="0"/>
        <w:bidi w:val="0"/>
        <w:snapToGrid/>
        <w:spacing w:before="0"/>
        <w:ind w:left="0" w:firstLine="420" w:firstLineChars="200"/>
        <w:jc w:val="both"/>
        <w:textAlignment w:val="auto"/>
        <w:rPr>
          <w:rFonts w:hint="default"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C份额：江苏银行股份有限公司/苏银理财有限责任公司</w:t>
      </w:r>
    </w:p>
    <w:p>
      <w:pPr>
        <w:pStyle w:val="2"/>
        <w:keepNext w:val="0"/>
        <w:keepLines w:val="0"/>
        <w:pageBreakBefore w:val="0"/>
        <w:widowControl w:val="0"/>
        <w:kinsoku/>
        <w:wordWrap/>
        <w:overflowPunct/>
        <w:topLinePunct w:val="0"/>
        <w:bidi w:val="0"/>
        <w:snapToGrid/>
        <w:spacing w:before="0"/>
        <w:ind w:left="0" w:firstLine="420" w:firstLineChars="200"/>
        <w:jc w:val="both"/>
        <w:textAlignment w:val="auto"/>
        <w:rPr>
          <w:rFonts w:hint="eastAsia"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D份额：江苏江阴农村商业银行股份有限公司/江苏南通农村商业银行股份有限公司/江苏银行股份有限公司/上海银行股份有限公司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楷体" w:hAnsi="楷体" w:eastAsia="楷体" w:cs="楷体"/>
          <w:sz w:val="21"/>
          <w:szCs w:val="21"/>
          <w:highlight w:val="none"/>
          <w:lang w:val="en-US" w:eastAsia="zh-CN"/>
        </w:rPr>
      </w:pPr>
      <w:r>
        <w:rPr>
          <w:rFonts w:hint="eastAsia" w:ascii="楷体" w:hAnsi="楷体" w:eastAsia="楷体" w:cs="楷体"/>
          <w:sz w:val="21"/>
          <w:szCs w:val="21"/>
          <w:highlight w:val="none"/>
          <w:lang w:val="en-US" w:eastAsia="zh-CN"/>
        </w:rPr>
        <w:t>F份额：北京农村商业银行股份有限公司/广州农村商业银行股份有限公司/广州银行股份有限公司/杭州联合农村商业银行股份有限公司/华侨银行有限公司/交通银行股份有限公司/九江银行股份有限公司/宁波慈溪农村商业银行股份有限公司/宁波通商银行股份有限公司/宁波余姚农村商业银行股份有限公司/宁波镇海农村商业银行股份有限公司/日照银行股份有限公司/山西银行股份有限公司/深圳农村商业银行股份有限公司/苏州银行股份有限公司/台州银行股份有限公司/潍坊银行股份有限公司/兴业银行股份有限公司/浙江淳安农村商业银行股份有限公司/浙江岱山农村商业银行股份有限公司/浙江德清农村商业银行股份有限公司/浙江海宁农村商业银行股份有限公司/浙江杭州余杭农村商业银行股份有限公司/浙江嘉善农村商业银行股份有限公司/浙江江山农村商业银行股份有限公司/浙江开化农村商业银行股份有限公司/浙江乐清农村商业银行股份有限公司/浙江青田农村商业银行股份有限公司/浙江上虞农村商业银行股份有限公司/浙江绍兴瑞丰农村商业银行股份有限公司/浙江泰顺农村商业银行股份有限公司/浙江桐庐农村商业银行股份有限公司/浙江温州龙湾农村商业银行股份有限公司/浙江温州瓯海农村商业银行股份有限公司/浙江武义农村商业银行股份有限公司/浙江萧山农村商业银行股份有限公司/浙江义乌农村商业银行股份有限公司/浙江永嘉农村商业银行股份有限公司/浙江永康农村商业银行股份有限公司/浙江长兴农村商业银行股份有限公司/浙江舟山定海海洋农村商业银行股份有限公司/浙商银行股份有限公司/中邮邮惠万家银行有限责任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G份额：广州农村商业银行股份有限公司/广州银行股份有限公司/杭州联合农村商业银行股份有限公司/徽商银行股份有限公司/九江银行股份有限公司/宁波通商银行股份有限公司/宁波余姚农村商业银行股份有限公司/山西银行股份有限公司/深圳农村商业银行股份有限公司/兴业银行股份有限公司/浙江淳安农村商业银行股份有限公司/浙江岱山农村商业银行股份有限公司/浙江德清农村商业银行股份有限公司/浙江海宁农村商业银行股份有限公司/浙江杭州余杭农村商业银行股份有限公司/浙江嘉善农村商业银行股份有限公司/浙江衢州衢江农村商业银行股份有限公司/浙江上虞农村商业银行股份有限公司/浙江绍兴瑞丰农村商业银行股份有限公司/浙江桐庐农村商业银行股份有限公司/浙江萧山农村商业银行股份有限公司/浙江永嘉农村商业银行股份有限公司/浙江舟山定海海洋农村商业银行股份有限公司/浙商银行股份有限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J份额：江苏如皋农村商业银行股份有限公司/江苏银行股份有限公司/上海银行股份有限公司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M份额：郑州银行股份有限公司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P份额：甘肃银行股份有限公司</w:t>
      </w:r>
    </w:p>
    <w:p>
      <w:pPr>
        <w:ind w:firstLine="420" w:firstLineChars="200"/>
        <w:jc w:val="both"/>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O份额：兰州银行股份有限公司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U份额：徽商银行股份有限公司</w:t>
      </w:r>
    </w:p>
    <w:p>
      <w:pPr>
        <w:ind w:firstLine="420" w:firstLineChars="200"/>
        <w:jc w:val="both"/>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Z份额：上海农村商业银行股份有限公司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A份额：江苏常熟农村商业银行股份有限公司/江苏大丰农村商业银行股份有限公司/江苏丹阳农村商业银行股份有限公司/江苏东海农村商业银行股份有限公司/江苏东台农村商业银行股份有限公司/江苏丰县农村商业银行股份有限公司/江苏阜宁农村商业银行股份有限公司/江苏高淳农村商业银行股份有限公司/江苏高邮农村商业银行股份有限公司/江苏灌云农村商业银行股份有限公司/江苏海安农村商业银行股份有限公司/江苏洪泽农村商业银行股份有限公司/江苏淮安农村商业银行股份有限公司/江苏建湖农村商业银行股份有限公司/江苏江都农村商业银行股份有限公司/江苏金湖农村商业银行股份有限公司/江苏靖江农村商业银行股份有限公司/江苏句容农村商业银行股份有限公司/江苏溧水农村商业银行股份有限公司/江苏南通农村商业银行股份有限公司/江苏邳州农村商业银行股份有限公司/江苏启东农村商业银行股份有限公司/江苏如东农村商业银行股份有限公司/江苏沭阳农村商业银行股份有限公司/江苏泗阳农村商业银行股份有限公司/江苏苏州农村商业银行股份有限公司/江苏睢宁农村商业银行股份有限公司/江苏泰兴农村商业银行股份有限公司/江苏盱眙农村商业银行股份有限公司/江苏盐城农村商业银行股份有限公司/江苏扬中农村商业银行股份有限公司/江苏扬州农村商业银行股份有限公司/江苏仪征农村商业银行股份有限公司/江苏宜兴农村商业银行股份有限公司/江苏镇江农村商业银行股份有限公司/江苏紫金农村商业银行股份有限公司/连云港东方农村商业银行股份有限公司/徐州农村商业银行股份有限公司/江苏灌南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F份额：汉口银行股份有限公司/河北银行股份有限公司/嘉兴银行股份有限公司/江苏江南农村商业银行股份有限公司/江苏张家港农村商业银行股份有限公司/莱商银行股份有限公司/宁波慈溪农村商业银行股份有限公司/宁波余姚农村商业银行股份有限公司/宁波镇海农村商业银行股份有限公司/厦门银行股份有限公司/石嘴山银行股份有限公司/苏州银行股份有限公司/兴业银行股份有限公司/浙江岱山农村商业银行股份有限公司/浙江德清农村商业银行股份有限公司/浙江杭州余杭农村商业银行股份有限公司/浙江嘉善农村商业银行股份有限公司/浙江江山农村商业银行股份有限公司/浙江兰溪农村商业银行股份有限公司/浙江临安农村商业银行股份有限公司/浙江临海农村商业银行股份有限公司/浙江民泰商业银行股份有限公司/浙江浦江农村商业银行股份有限公司/浙江青田农村商业银行股份有限公司/浙江衢州柯城农村商业银行股份有限公司/浙江衢州衢江农村商业银行股份有限公司/浙江上虞农村商业银行股份有限公司/浙江嵊州农村商业银行股份有限公司/浙江温岭农村商业银行股份有限公司/浙江温州龙湾农村商业银行股份有限公司/浙江温州瓯海农村商业银行股份有限公司/浙江萧山农村商业银行股份有限公司/浙江新昌农村商业银行股份有限公司/浙江义乌农村商业银行股份有限公司/浙江永康农村商业银行股份有限公司/中山农村商业银行股份有限公司</w:t>
      </w:r>
    </w:p>
    <w:p>
      <w:pPr>
        <w:ind w:left="420" w:leftChars="200" w:firstLine="0" w:firstLineChars="0"/>
        <w:jc w:val="both"/>
        <w:rPr>
          <w:rFonts w:hint="eastAsia"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ZN份额：河北银行股份有限公司/宁波通商银行股份有限公司/浙江萧山农村商业银行股份有限公司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ZC份额：</w:t>
      </w:r>
      <w:r>
        <w:rPr>
          <w:rFonts w:hint="eastAsia" w:ascii="楷体" w:hAnsi="楷体" w:eastAsia="楷体" w:cs="楷体"/>
          <w:sz w:val="21"/>
          <w:szCs w:val="21"/>
          <w:highlight w:val="none"/>
          <w:lang w:val="en-US" w:eastAsia="zh-CN"/>
        </w:rPr>
        <w:t>江苏紫金农村商业银行股份有限公司/江苏灌南农村商业银行股份有限公司/江苏姜堰农村商业银行股份有限公司/江苏如东农村商业银行股份有限公司</w:t>
      </w:r>
    </w:p>
    <w:p>
      <w:pPr>
        <w:ind w:firstLine="420" w:firstLineChars="200"/>
        <w:jc w:val="both"/>
        <w:rPr>
          <w:rFonts w:hint="default" w:ascii="楷体" w:hAnsi="楷体" w:eastAsia="楷体" w:cs="楷体"/>
          <w:kern w:val="2"/>
          <w:sz w:val="21"/>
          <w:szCs w:val="21"/>
          <w:highlight w:val="none"/>
          <w:lang w:val="en-US" w:eastAsia="zh-CN" w:bidi="ar-SA"/>
        </w:rPr>
      </w:pPr>
      <w:r>
        <w:rPr>
          <w:rFonts w:hint="eastAsia" w:ascii="楷体" w:hAnsi="楷体" w:eastAsia="楷体" w:cs="楷体"/>
          <w:kern w:val="2"/>
          <w:sz w:val="21"/>
          <w:szCs w:val="21"/>
          <w:highlight w:val="none"/>
          <w:lang w:val="en-US" w:eastAsia="zh-CN" w:bidi="ar-SA"/>
        </w:rPr>
        <w:t>ZK份额：</w:t>
      </w:r>
      <w:r>
        <w:rPr>
          <w:rFonts w:hint="eastAsia" w:ascii="楷体" w:hAnsi="楷体" w:eastAsia="楷体" w:cs="楷体"/>
          <w:sz w:val="21"/>
          <w:szCs w:val="21"/>
          <w:highlight w:val="none"/>
          <w:lang w:val="en-US" w:eastAsia="zh-CN"/>
        </w:rPr>
        <w:t>江苏紫金农村商业银行股份有限公司/江苏灌南农村商业银行股份有限公司/江苏姜堰农村商业银行股份有限公司/江苏如东农村商业银行股份有限公司</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rPr>
        <w:t>名词释义</w:t>
      </w:r>
    </w:p>
    <w:p>
      <w:pPr>
        <w:ind w:firstLine="420" w:firstLineChars="200"/>
        <w:rPr>
          <w:rFonts w:hint="eastAsia" w:ascii="楷体" w:hAnsi="楷体" w:eastAsia="楷体"/>
          <w:sz w:val="21"/>
          <w:szCs w:val="21"/>
        </w:rPr>
      </w:pPr>
      <w:r>
        <w:rPr>
          <w:rFonts w:hint="eastAsia" w:ascii="楷体" w:hAnsi="楷体" w:eastAsia="楷体"/>
          <w:sz w:val="21"/>
          <w:szCs w:val="21"/>
        </w:rPr>
        <w:t>在本理财产品说明书中，除非上下文另有明确约定，下列用词将具有如下含义：</w:t>
      </w:r>
    </w:p>
    <w:p>
      <w:pPr>
        <w:numPr>
          <w:ilvl w:val="0"/>
          <w:numId w:val="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销售代码：指本理财产品可能设置一</w:t>
      </w:r>
      <w:r>
        <w:rPr>
          <w:rFonts w:hint="eastAsia" w:ascii="楷体" w:hAnsi="楷体" w:eastAsia="楷体" w:cs="Calibri"/>
          <w:sz w:val="21"/>
          <w:szCs w:val="21"/>
          <w:lang w:val="en-US" w:eastAsia="zh-CN"/>
        </w:rPr>
        <w:t>类</w:t>
      </w:r>
      <w:r>
        <w:rPr>
          <w:rFonts w:hint="eastAsia" w:ascii="楷体" w:hAnsi="楷体" w:eastAsia="楷体" w:cs="Calibri"/>
          <w:sz w:val="21"/>
          <w:szCs w:val="21"/>
        </w:rPr>
        <w:t>或多</w:t>
      </w:r>
      <w:r>
        <w:rPr>
          <w:rFonts w:hint="eastAsia" w:ascii="楷体" w:hAnsi="楷体" w:eastAsia="楷体" w:cs="Calibri"/>
          <w:sz w:val="21"/>
          <w:szCs w:val="21"/>
          <w:lang w:val="en-US" w:eastAsia="zh-CN"/>
        </w:rPr>
        <w:t>类</w:t>
      </w:r>
      <w:r>
        <w:rPr>
          <w:rFonts w:hint="eastAsia" w:ascii="楷体" w:hAnsi="楷体" w:eastAsia="楷体" w:cs="Calibri"/>
          <w:sz w:val="21"/>
          <w:szCs w:val="21"/>
        </w:rPr>
        <w:t>产品份额，管理人在理财产品销售管理过程中对各</w:t>
      </w:r>
      <w:r>
        <w:rPr>
          <w:rFonts w:hint="eastAsia" w:ascii="楷体" w:hAnsi="楷体" w:eastAsia="楷体" w:cs="Calibri"/>
          <w:sz w:val="21"/>
          <w:szCs w:val="21"/>
          <w:lang w:val="en-US" w:eastAsia="zh-CN"/>
        </w:rPr>
        <w:t>类</w:t>
      </w:r>
      <w:r>
        <w:rPr>
          <w:rFonts w:hint="eastAsia" w:ascii="楷体" w:hAnsi="楷体" w:eastAsia="楷体" w:cs="Calibri"/>
          <w:sz w:val="21"/>
          <w:szCs w:val="21"/>
        </w:rPr>
        <w:t>份额设置的</w:t>
      </w:r>
      <w:r>
        <w:rPr>
          <w:rFonts w:hint="eastAsia" w:ascii="楷体" w:hAnsi="楷体" w:eastAsia="楷体" w:cs="Calibri"/>
          <w:sz w:val="21"/>
          <w:szCs w:val="21"/>
          <w:lang w:val="en-US" w:eastAsia="zh-CN"/>
        </w:rPr>
        <w:t>内部代</w:t>
      </w:r>
      <w:r>
        <w:rPr>
          <w:rFonts w:hint="eastAsia" w:ascii="楷体" w:hAnsi="楷体" w:eastAsia="楷体" w:cs="Calibri"/>
          <w:sz w:val="21"/>
          <w:szCs w:val="21"/>
        </w:rPr>
        <w:t>码。</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理财</w:t>
      </w:r>
      <w:r>
        <w:rPr>
          <w:rFonts w:hint="eastAsia" w:ascii="楷体" w:hAnsi="楷体" w:eastAsia="楷体" w:cs="Calibri"/>
          <w:sz w:val="21"/>
          <w:szCs w:val="21"/>
        </w:rPr>
        <w:t>产品资产总值：指产品拥有的各类有价证券、银行存款、应收款项及其他资产的价值总和。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理财</w:t>
      </w:r>
      <w:r>
        <w:rPr>
          <w:rFonts w:hint="eastAsia" w:ascii="楷体" w:hAnsi="楷体" w:eastAsia="楷体" w:cs="Calibri"/>
          <w:sz w:val="21"/>
          <w:szCs w:val="21"/>
        </w:rPr>
        <w:t>产品负债总值：指产品运作及融资时形成的负债价值总和，包括融资资金本息、应付各项费用（包括托管费、销售服务费、投资管理费、超额业绩报酬、其他费用等）、应付税金及其他应付款项等。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理财产品资产净值/净资产：指产品资产总值减去产品负债总值后的价值。</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产品份额累计净值：指理财产品份额的单位净值与理财产品成立后历次累计单位收益分配的总和。</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3"/>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工作日：指国家法定工作日。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交易日：</w:t>
      </w:r>
      <w:r>
        <w:rPr>
          <w:rFonts w:ascii="楷体" w:hAnsi="楷体" w:eastAsia="楷体" w:cs="Calibri"/>
          <w:sz w:val="21"/>
          <w:szCs w:val="21"/>
        </w:rPr>
        <w:t>指上海证券交易所和深圳证券交易所的正常开盘交易日</w:t>
      </w:r>
      <w:r>
        <w:rPr>
          <w:rFonts w:hint="eastAsia" w:ascii="楷体" w:hAnsi="楷体" w:eastAsia="楷体" w:cs="Calibri"/>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份额登记日/份额确认日：</w:t>
      </w:r>
      <w:r>
        <w:rPr>
          <w:rFonts w:hint="eastAsia" w:ascii="楷体" w:hAnsi="楷体" w:eastAsia="楷体" w:cs="Calibri"/>
          <w:color w:val="auto"/>
          <w:sz w:val="21"/>
          <w:szCs w:val="21"/>
        </w:rPr>
        <w:t>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r>
        <w:rPr>
          <w:rFonts w:hint="eastAsia" w:ascii="楷体" w:hAnsi="楷体" w:eastAsia="楷体" w:cs="Calibri"/>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投资周期：投资周期指投资者持有理财产品份额所对应的理财资金由产品管理人进行投资运作的一段完整期间，每一个投资周期为该投资周期起始日至该投资周期终止日的理财期间。</w:t>
      </w:r>
    </w:p>
    <w:p>
      <w:pPr>
        <w:keepNext w:val="0"/>
        <w:keepLines w:val="0"/>
        <w:pageBreakBefore w:val="0"/>
        <w:widowControl w:val="0"/>
        <w:numPr>
          <w:ilvl w:val="0"/>
          <w:numId w:val="5"/>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开放日：指投资周期终止日。开放计划内的申购、赎回申请，将以开放日的净值进行确认。</w:t>
      </w:r>
    </w:p>
    <w:p>
      <w:pPr>
        <w:keepNext w:val="0"/>
        <w:keepLines w:val="0"/>
        <w:pageBreakBefore w:val="0"/>
        <w:widowControl w:val="0"/>
        <w:numPr>
          <w:ilvl w:val="0"/>
          <w:numId w:val="5"/>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产品存续期：指自理财产品成立日起，至理财产品终止日的期间。</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投资管理</w:t>
      </w:r>
    </w:p>
    <w:p>
      <w:pPr>
        <w:numPr>
          <w:ilvl w:val="0"/>
          <w:numId w:val="6"/>
        </w:numPr>
        <w:tabs>
          <w:tab w:val="left" w:pos="993"/>
        </w:tabs>
        <w:ind w:left="0" w:firstLine="420" w:firstLineChars="200"/>
        <w:outlineLvl w:val="2"/>
        <w:rPr>
          <w:rFonts w:ascii="楷体" w:hAnsi="楷体" w:eastAsia="楷体" w:cs="Calibri"/>
          <w:b w:val="0"/>
          <w:bCs/>
          <w:sz w:val="21"/>
          <w:szCs w:val="21"/>
        </w:rPr>
      </w:pPr>
      <w:r>
        <w:rPr>
          <w:rFonts w:hint="eastAsia" w:ascii="楷体" w:hAnsi="楷体" w:eastAsia="楷体" w:cs="Calibri"/>
          <w:b w:val="0"/>
          <w:bCs/>
          <w:sz w:val="21"/>
          <w:szCs w:val="21"/>
        </w:rPr>
        <w:t>投资范围和比例</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理财产品直接或间接投资于货币市场工具类资产、银行存款（含结构性存款）、标准化债权类资产、非标准化债权类资产和监管机构允许投资的其他资产。具体资产投资比例为：货币市场工具、银行存款（含结构性存款）、债券以及符合监管要求的固定收益类资产占产品资产总值比例为80%-100%，符合监管要求的其他资产占产品资产总值比例0%-20%，其中非标准化债权类资产合计投资比例不高于产品净资产50%。</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理财产品在开放日及开放日前7个工作日内持有不低于产品资产净值5%的现金或者到期日在一年以内的国债、中央银行票据和政策性金融债券；直接投资于流动性受限资产的市值在开放日不得超过产品资产净值的15%；在开放日前一工作日内，7个工作日可变现资产的可变现价值应当不低于产品资产净值的10%；每日确认且需当日支付的净赎回申请不超过前一工作日理财产品7个工作日可变现资产的可变现价值。</w:t>
      </w:r>
    </w:p>
    <w:p>
      <w:pPr>
        <w:ind w:firstLine="420" w:firstLineChars="200"/>
        <w:rPr>
          <w:rFonts w:hint="eastAsia" w:ascii="楷体" w:hAnsi="楷体" w:eastAsia="楷体"/>
          <w:sz w:val="21"/>
          <w:szCs w:val="21"/>
        </w:rPr>
      </w:pPr>
      <w:r>
        <w:rPr>
          <w:rFonts w:hint="eastAsia" w:ascii="楷体" w:hAnsi="楷体" w:eastAsia="楷体"/>
          <w:sz w:val="21"/>
          <w:szCs w:val="21"/>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outlineLvl w:val="2"/>
        <w:rPr>
          <w:rFonts w:hint="eastAsia" w:ascii="楷体" w:hAnsi="楷体" w:eastAsia="楷体" w:cs="Calibri"/>
          <w:b w:val="0"/>
          <w:bCs/>
          <w:sz w:val="21"/>
          <w:szCs w:val="21"/>
          <w:lang w:val="en-US" w:eastAsia="zh-CN"/>
        </w:rPr>
      </w:pPr>
      <w:r>
        <w:rPr>
          <w:rFonts w:hint="eastAsia" w:ascii="楷体" w:hAnsi="楷体" w:eastAsia="楷体" w:cs="Calibri"/>
          <w:b w:val="0"/>
          <w:bCs/>
          <w:sz w:val="21"/>
          <w:szCs w:val="21"/>
          <w:lang w:val="en-US" w:eastAsia="zh-CN"/>
        </w:rPr>
        <w:t>投资策略</w:t>
      </w:r>
    </w:p>
    <w:p>
      <w:pPr>
        <w:ind w:firstLine="420" w:firstLineChars="200"/>
        <w:rPr>
          <w:rFonts w:hint="default" w:ascii="楷体" w:hAnsi="楷体" w:eastAsia="楷体"/>
          <w:sz w:val="21"/>
          <w:szCs w:val="21"/>
          <w:lang w:val="en-US" w:eastAsia="zh-CN"/>
        </w:rPr>
      </w:pPr>
      <w:r>
        <w:rPr>
          <w:rFonts w:hint="default" w:ascii="楷体" w:hAnsi="楷体" w:eastAsia="楷体"/>
          <w:sz w:val="21"/>
          <w:szCs w:val="21"/>
          <w:lang w:val="en-US" w:eastAsia="zh-CN"/>
        </w:rPr>
        <w:t>本理财产品计划通过债券、非标准化债权类资产的配置获取稳健收益，同时适时适量配置银行存款，包括同业存</w:t>
      </w:r>
      <w:r>
        <w:rPr>
          <w:rFonts w:hint="eastAsia" w:ascii="楷体" w:hAnsi="楷体" w:eastAsia="楷体"/>
          <w:sz w:val="21"/>
          <w:szCs w:val="21"/>
          <w:lang w:val="en-US" w:eastAsia="zh-CN"/>
        </w:rPr>
        <w:t>款</w:t>
      </w:r>
      <w:r>
        <w:rPr>
          <w:rFonts w:hint="default" w:ascii="楷体" w:hAnsi="楷体" w:eastAsia="楷体"/>
          <w:sz w:val="21"/>
          <w:szCs w:val="21"/>
          <w:lang w:val="en-US" w:eastAsia="zh-CN"/>
        </w:rPr>
        <w:t>、结构性存款等。其中，拟开展的结构性存款主要为信用挂钩型结构性存款，该产品本质是内嵌收益互换合约的存款，挂钩标的包括优质同业存单、高评级信用债等资产，相关挂钩主体均需严格通过我司风险评估，在严控信用风险的前提下实现产品收益增厚的目标。</w:t>
      </w:r>
      <w:bookmarkStart w:id="0" w:name="_GoBack"/>
      <w:bookmarkEnd w:id="0"/>
    </w:p>
    <w:p>
      <w:pPr>
        <w:numPr>
          <w:ilvl w:val="0"/>
          <w:numId w:val="6"/>
        </w:numPr>
        <w:tabs>
          <w:tab w:val="left" w:pos="993"/>
        </w:tabs>
        <w:ind w:left="0" w:firstLine="420" w:firstLineChars="200"/>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非标准化债权类资产</w:t>
      </w:r>
    </w:p>
    <w:p>
      <w:pPr>
        <w:numPr>
          <w:ilvl w:val="0"/>
          <w:numId w:val="0"/>
        </w:numPr>
        <w:tabs>
          <w:tab w:val="left" w:pos="993"/>
        </w:tabs>
        <w:ind w:leftChars="200"/>
        <w:outlineLvl w:val="2"/>
        <w:rPr>
          <w:rFonts w:hint="eastAsia" w:ascii="楷体" w:hAnsi="楷体" w:eastAsia="楷体" w:cs="Calibri"/>
          <w:b w:val="0"/>
          <w:bCs/>
          <w:sz w:val="21"/>
          <w:szCs w:val="21"/>
          <w:highlight w:val="yellow"/>
          <w:lang w:val="en-US" w:eastAsia="zh-CN"/>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1"/>
          <w:numId w:val="0"/>
        </w:numPr>
        <w:ind w:left="0" w:leftChars="0" w:firstLine="420" w:firstLineChars="200"/>
        <w:jc w:val="left"/>
        <w:rPr>
          <w:rFonts w:hint="default" w:ascii="楷体" w:hAnsi="楷体" w:eastAsia="楷体" w:cs="楷体"/>
          <w:color w:val="auto"/>
          <w:kern w:val="2"/>
          <w:sz w:val="21"/>
          <w:szCs w:val="21"/>
          <w:highlight w:val="none"/>
          <w:lang w:val="en-US" w:eastAsia="zh-CN" w:bidi="ar-SA"/>
        </w:rPr>
      </w:pPr>
      <w:r>
        <w:rPr>
          <w:rFonts w:hint="eastAsia" w:ascii="楷体" w:hAnsi="楷体" w:eastAsia="楷体" w:cs="楷体"/>
          <w:color w:val="auto"/>
          <w:kern w:val="2"/>
          <w:sz w:val="21"/>
          <w:szCs w:val="21"/>
          <w:highlight w:val="none"/>
          <w:lang w:val="en-US" w:eastAsia="zh-CN" w:bidi="ar-SA"/>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3）非标准化债权类资产：融资人为南通圆宏控股集团有限公司。融资人经营正常，是依法设立的国有公司，主要股东为南通市通州区人民政府，实际控制人为南通市通州区人民政府。（4）非标准化债权类资产：融资人为泰兴市中鑫投资集团有限公司。融资人经营正常，是依法设立的国有公司，主要股东为泰州化工新材料产业发展集团有限公司，实际控制人为泰兴市政府国有资产监督管理委员会。（5）非标准化债权类资产：融资人为泰兴市交通控股有限公司。融资人经营正常，是依法设立的国有公司，主要股东为泰兴市人民政府国有资产监督管理办公室，实际控制人为泰兴市人民政府国有资产监督管理办公室。（6）非标准化债权类资产：融资人为海安市城建开发投资集团有限公司。融资人经营正常，是依法设立的国有公司，主要股东为海安市政府国有资产监督管理办公室，实际控制人为海安市政府国有资产监督管理办公室。（7）非标准化债权类资产：融资人为扬州市邗江国有资产经营有限公司。融资人经营正常，是依法设立的国有公司，主要股东为扬州市邗江城市建设发展有限公司，扬州市正本溯源建设发展有限公司，实际控制人为扬州市人民政府。（8）非标准化债权类资产：融资人为镇江铁路投资发展有限公司。融资人经营正常，是依法设立的国有公司，主要股东为镇江市人民政府国有资产监督管理委员会，实际控制人为镇江市人民政府国有资产监督管理委员会。（9）非标准化债权类资产：融资人为江苏开晟产业发展集团有限公司。融资人经营正常，是依法设立的国有公司，主要股东为海安经济技术开发区管理委员会，实际控制人为海安经济技术开发区管理委员会。（10）非标准化债权类资产：融资人为溱湖文化旅游集团有限公司。融资人经营正常，是依法设立的国有公司，主要股东为泰州市康旅文化产业集团有限公司、江苏东润数字科技有限公司、江苏金姜城投资集团有限公司，实际控制人为泰州市姜堰区人民政府国有资产监督管理办公室。（11）非标准化债权类资产：融资人为泰州高教投资发展有限公司。融资人经营正常，是依法设立的国有公司，主要股东为泰州市城市建设投资控股有限公司、工银金融资产投资有限公司，实际控制人为泰州市政府国有资产监督管理委员会。（12）非标准化债权类资产：融资人为淮安高新控股有限公司。融资人经营正常，是依法设立的国有公司，主要股东为淮安市财政局、淮安市交通控股集团有限公司、淮安新城投资开发集团有限公司，淮安国发投资集团有限公司，淮安市宏信国有资产投资管理有限公司，淮安市国有联合投资发展集团有限公司和淮安市投资控股集团有限公司，实际控制人为淮安市人民政府。（13）非标准化债权类资产：融资人为江苏瑞海投资控股集团有限公司。融资人经营正常，是依法设立的国有公司，主要股东为海安市国有资产管理中心，实际控制人为海安市国有资产管理中心。（14）非标准化债权类资产：融资人为桐庐县城市建设投资集团有限公司。融资人经营正常，是依法设立的国有公司，主要股东为桐庐投资建设发展集团有限公司，实际控制人为桐庐县人民政府国有资产监督管理委员会。（15）非标准化债权类资产：融资人为绍兴市越城区城市发展建设集团有限公司。融资人经营正常，是依法设立的国有公司，主要股东为绍兴市越城区财政局，实际控制人为绍兴市越城区财政局。（16）非标准化债权类资产：融资人为张家港市高铁投资发展(集团)有限公司。融资人经营正常，是依法设立的国有公司，主要股东为张家港市交通控股有限公司、张家港市城市投资发展集团有限公司、张家港高新区投资控股有限公司，张家港市城镇发展集团有限公司，实际控制人为张家港市国有资产管理中心。（17）非标准化债权类资产：融资人为台州循环经济发展有限公司。融资人经营正常，是依法设立的国有公司，主要股东为台州市商贸核心区开发建设投资集团有限公司、台州市路桥公共资产投资管理集团有限公司、台州市城市建设投资发展集团有限公司，台州市开投城市开发有限公司，实际控制人为台州市人民政府。（18）非标准化债权类资产：融资人为兰溪市城市投资集团有限公司。融资人经营正常，是依法设立的国有公司，主要股东为兰溪市城市发展集团有限公司，实际控制人为兰溪市人民政府国有资产监督管理办公室。（19）非标准化债权类资产：融资人为苏皖合作示范区建设发展集团有限公司。融资人经营正常，是依法设立的国有公司，主要股东为溧阳市国有资产管理中心，实际控制人为溧阳市财政局。（20）非标准化债权类资产：融资人为江苏云港发展集团有限公司。融资人经营正常，是依法设立的国有公司，主要股东为江苏海州湾控股集团有限公司，实际控制人为连云港市连云区人民政府。（21）非标准化债权类资产：融资人为盐城市城镇化建设投资集团有限公司。融资人经营正常，是依法设立的国有公司，主要股东为盐城市人民政府，实际控制人为盐城市人民政府。（22）非标准化债权类资产：融资人为盐城市大丰区谐城实业发展有限公司。融资人经营正常，是依法设立的国有公司，主要股东为盐城市大丰区城市建设集团有限公司，实际控制人为江苏省盐城市大丰区人民政府。</w:t>
      </w:r>
    </w:p>
    <w:p>
      <w:pPr>
        <w:numPr>
          <w:ilvl w:val="-1"/>
          <w:numId w:val="0"/>
        </w:numPr>
        <w:ind w:firstLine="558" w:firstLineChars="266"/>
        <w:rPr>
          <w:rFonts w:hint="eastAsia" w:ascii="楷体" w:hAnsi="楷体" w:eastAsia="楷体"/>
          <w:sz w:val="21"/>
          <w:szCs w:val="21"/>
        </w:rPr>
      </w:pPr>
      <w:r>
        <w:rPr>
          <w:rFonts w:hint="eastAsia" w:ascii="楷体" w:hAnsi="楷体" w:eastAsia="楷体"/>
          <w:sz w:val="21"/>
          <w:szCs w:val="21"/>
          <w:lang w:eastAsia="zh-CN"/>
        </w:rPr>
        <w:t>（</w:t>
      </w:r>
      <w:r>
        <w:rPr>
          <w:rFonts w:hint="eastAsia" w:ascii="楷体" w:hAnsi="楷体" w:eastAsia="楷体"/>
          <w:sz w:val="21"/>
          <w:szCs w:val="21"/>
          <w:lang w:val="en-US" w:eastAsia="zh-CN"/>
        </w:rPr>
        <w:t>1）-（2）各</w:t>
      </w:r>
      <w:r>
        <w:rPr>
          <w:rFonts w:hint="eastAsia" w:ascii="楷体" w:hAnsi="楷体" w:eastAsia="楷体" w:cs="楷体"/>
          <w:kern w:val="2"/>
          <w:sz w:val="21"/>
          <w:szCs w:val="21"/>
          <w:highlight w:val="none"/>
          <w:lang w:val="en-US" w:eastAsia="zh-CN" w:bidi="ar-SA"/>
        </w:rPr>
        <w:t>资产到期日不超过理财产品投资周期终止日，循环期不还本、摊还期过手摊还本息；</w:t>
      </w:r>
      <w:r>
        <w:rPr>
          <w:rFonts w:hint="eastAsia" w:ascii="楷体" w:hAnsi="楷体" w:eastAsia="楷体"/>
          <w:sz w:val="21"/>
          <w:szCs w:val="21"/>
          <w:lang w:eastAsia="zh-CN"/>
        </w:rPr>
        <w:t>（</w:t>
      </w:r>
      <w:r>
        <w:rPr>
          <w:rFonts w:hint="eastAsia" w:ascii="楷体" w:hAnsi="楷体" w:eastAsia="楷体"/>
          <w:sz w:val="21"/>
          <w:szCs w:val="21"/>
          <w:lang w:val="en-US" w:eastAsia="zh-CN"/>
        </w:rPr>
        <w:t>3）-（22）各</w:t>
      </w:r>
      <w:r>
        <w:rPr>
          <w:rFonts w:hint="eastAsia" w:ascii="楷体" w:hAnsi="楷体" w:eastAsia="楷体"/>
          <w:sz w:val="21"/>
          <w:szCs w:val="21"/>
          <w:lang w:eastAsia="zh-CN"/>
        </w:rPr>
        <w:t>资产到期日不超过理财产品投资周期终止日，定期付息、到期一次性还本。</w:t>
      </w:r>
    </w:p>
    <w:p>
      <w:pPr>
        <w:numPr>
          <w:ilvl w:val="0"/>
          <w:numId w:val="0"/>
        </w:numPr>
        <w:ind w:firstLine="420" w:firstLineChars="200"/>
        <w:rPr>
          <w:rFonts w:hint="default"/>
          <w:lang w:val="en-US" w:eastAsia="zh-CN"/>
        </w:rPr>
      </w:pPr>
      <w:r>
        <w:rPr>
          <w:rFonts w:hint="eastAsia" w:ascii="楷体" w:hAnsi="楷体" w:eastAsia="楷体"/>
          <w:sz w:val="21"/>
          <w:szCs w:val="21"/>
        </w:rPr>
        <w:t>产品存续期内若本理财产品投资的</w:t>
      </w:r>
      <w:r>
        <w:rPr>
          <w:rFonts w:hint="eastAsia" w:ascii="楷体" w:hAnsi="楷体" w:eastAsia="楷体"/>
          <w:b w:val="0"/>
          <w:bCs/>
          <w:color w:val="auto"/>
          <w:sz w:val="21"/>
          <w:szCs w:val="21"/>
          <w:highlight w:val="none"/>
          <w:u w:val="none"/>
        </w:rPr>
        <w:t>非标准化债权类资产</w:t>
      </w:r>
      <w:r>
        <w:rPr>
          <w:rFonts w:hint="eastAsia" w:ascii="楷体" w:hAnsi="楷体" w:eastAsia="楷体"/>
          <w:sz w:val="21"/>
          <w:szCs w:val="21"/>
        </w:rPr>
        <w:t>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left="0" w:firstLine="420" w:firstLineChars="200"/>
        <w:outlineLvl w:val="2"/>
        <w:rPr>
          <w:rFonts w:hint="eastAsia" w:ascii="楷体" w:hAnsi="楷体" w:eastAsia="楷体" w:cs="Calibri"/>
          <w:b w:val="0"/>
          <w:bCs/>
          <w:sz w:val="21"/>
          <w:szCs w:val="21"/>
          <w:lang w:val="en-US" w:eastAsia="zh-CN"/>
        </w:rPr>
      </w:pPr>
      <w:r>
        <w:rPr>
          <w:rFonts w:hint="eastAsia" w:ascii="楷体" w:hAnsi="楷体" w:eastAsia="楷体" w:cs="Calibri"/>
          <w:b w:val="0"/>
          <w:bCs/>
          <w:sz w:val="21"/>
          <w:szCs w:val="21"/>
          <w:lang w:val="en-US" w:eastAsia="zh-CN"/>
        </w:rPr>
        <w:t>投资合作机构</w:t>
      </w:r>
    </w:p>
    <w:p>
      <w:pPr>
        <w:numPr>
          <w:ilvl w:val="0"/>
          <w:numId w:val="0"/>
        </w:numPr>
        <w:ind w:firstLine="420" w:firstLineChars="200"/>
        <w:rPr>
          <w:rFonts w:hint="eastAsia" w:ascii="楷体" w:hAnsi="楷体" w:eastAsia="楷体"/>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r>
        <w:rPr>
          <w:rFonts w:hint="eastAsia" w:ascii="楷体" w:hAnsi="楷体" w:eastAsia="楷体"/>
          <w:sz w:val="21"/>
          <w:szCs w:val="21"/>
        </w:rPr>
        <w:t>：</w:t>
      </w:r>
    </w:p>
    <w:p>
      <w:pPr>
        <w:ind w:firstLine="420" w:firstLineChars="200"/>
        <w:rPr>
          <w:rFonts w:hint="eastAsia" w:ascii="楷体" w:hAnsi="楷体" w:eastAsia="楷体"/>
          <w:b w:val="0"/>
          <w:bCs w:val="0"/>
          <w:sz w:val="21"/>
          <w:szCs w:val="21"/>
          <w:lang w:val="en-US" w:eastAsia="zh-CN"/>
        </w:rPr>
      </w:pPr>
      <w:r>
        <w:rPr>
          <w:rFonts w:hint="default" w:ascii="Calibri" w:hAnsi="Calibri" w:eastAsia="楷体" w:cs="Calibri"/>
          <w:b w:val="0"/>
          <w:bCs w:val="0"/>
          <w:sz w:val="21"/>
          <w:szCs w:val="21"/>
        </w:rPr>
        <w:fldChar w:fldCharType="begin"/>
      </w:r>
      <w:r>
        <w:rPr>
          <w:rFonts w:hint="default" w:ascii="Calibri" w:hAnsi="Calibri" w:eastAsia="楷体" w:cs="Calibri"/>
          <w:b w:val="0"/>
          <w:bCs w:val="0"/>
          <w:sz w:val="21"/>
          <w:szCs w:val="21"/>
        </w:rPr>
        <w:instrText xml:space="preserve"> = 1 \* GB3 \* MERGEFORMAT </w:instrText>
      </w:r>
      <w:r>
        <w:rPr>
          <w:rFonts w:hint="default" w:ascii="Calibri" w:hAnsi="Calibri" w:eastAsia="楷体" w:cs="Calibri"/>
          <w:b w:val="0"/>
          <w:bCs w:val="0"/>
          <w:sz w:val="21"/>
          <w:szCs w:val="21"/>
        </w:rPr>
        <w:fldChar w:fldCharType="separate"/>
      </w:r>
      <w:r>
        <w:t>①</w:t>
      </w:r>
      <w:r>
        <w:rPr>
          <w:rFonts w:hint="default" w:ascii="Calibri" w:hAnsi="Calibri" w:eastAsia="楷体" w:cs="Calibri"/>
          <w:b w:val="0"/>
          <w:bCs w:val="0"/>
          <w:sz w:val="21"/>
          <w:szCs w:val="21"/>
        </w:rPr>
        <w:fldChar w:fldCharType="end"/>
      </w:r>
      <w:r>
        <w:rPr>
          <w:rFonts w:hint="eastAsia" w:ascii="楷体" w:hAnsi="楷体" w:eastAsia="楷体"/>
          <w:b w:val="0"/>
          <w:bCs w:val="0"/>
          <w:sz w:val="21"/>
          <w:szCs w:val="21"/>
        </w:rPr>
        <w:t>江苏省国际信托有限责任公司</w:t>
      </w:r>
      <w:r>
        <w:rPr>
          <w:rFonts w:hint="eastAsia" w:ascii="楷体" w:hAnsi="楷体" w:eastAsia="楷体"/>
          <w:b w:val="0"/>
          <w:bCs w:val="0"/>
          <w:sz w:val="21"/>
          <w:szCs w:val="21"/>
          <w:lang w:eastAsia="zh-CN"/>
        </w:rPr>
        <w:t>：</w:t>
      </w:r>
      <w:r>
        <w:rPr>
          <w:rFonts w:hint="eastAsia" w:ascii="楷体" w:hAnsi="楷体" w:eastAsia="楷体"/>
          <w:b w:val="0"/>
          <w:bCs w:val="0"/>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b w:val="0"/>
          <w:bCs w:val="0"/>
          <w:sz w:val="21"/>
          <w:szCs w:val="21"/>
        </w:rPr>
        <w:fldChar w:fldCharType="begin"/>
      </w:r>
      <w:r>
        <w:rPr>
          <w:rFonts w:hint="default" w:ascii="Calibri" w:hAnsi="Calibri" w:eastAsia="楷体" w:cs="Calibri"/>
          <w:b w:val="0"/>
          <w:bCs w:val="0"/>
          <w:sz w:val="21"/>
          <w:szCs w:val="21"/>
        </w:rPr>
        <w:instrText xml:space="preserve"> = 2 \* GB3 \* MERGEFORMAT </w:instrText>
      </w:r>
      <w:r>
        <w:rPr>
          <w:rFonts w:hint="default" w:ascii="Calibri" w:hAnsi="Calibri" w:eastAsia="楷体" w:cs="Calibri"/>
          <w:b w:val="0"/>
          <w:bCs w:val="0"/>
          <w:sz w:val="21"/>
          <w:szCs w:val="21"/>
        </w:rPr>
        <w:fldChar w:fldCharType="separate"/>
      </w:r>
      <w:r>
        <w:t>②</w:t>
      </w:r>
      <w:r>
        <w:rPr>
          <w:rFonts w:hint="default" w:ascii="Calibri" w:hAnsi="Calibri" w:eastAsia="楷体" w:cs="Calibri"/>
          <w:b w:val="0"/>
          <w:bCs w:val="0"/>
          <w:sz w:val="21"/>
          <w:szCs w:val="21"/>
        </w:rPr>
        <w:fldChar w:fldCharType="end"/>
      </w:r>
      <w:r>
        <w:rPr>
          <w:rFonts w:hint="eastAsia" w:ascii="楷体" w:hAnsi="楷体" w:eastAsia="楷体"/>
          <w:b w:val="0"/>
          <w:bCs w:val="0"/>
          <w:sz w:val="21"/>
          <w:szCs w:val="21"/>
        </w:rPr>
        <w:t>创金合信基金管理有限公司</w:t>
      </w:r>
      <w:r>
        <w:rPr>
          <w:rFonts w:hint="eastAsia" w:ascii="楷体" w:hAnsi="楷体" w:eastAsia="楷体"/>
          <w:b w:val="0"/>
          <w:bCs w:val="0"/>
          <w:sz w:val="21"/>
          <w:szCs w:val="21"/>
          <w:lang w:eastAsia="zh-CN"/>
        </w:rPr>
        <w:t>：</w:t>
      </w:r>
      <w:r>
        <w:rPr>
          <w:rFonts w:ascii="楷体" w:hAnsi="楷体" w:eastAsia="楷体"/>
          <w:b w:val="0"/>
          <w:bCs w:val="0"/>
          <w:sz w:val="21"/>
          <w:szCs w:val="21"/>
        </w:rPr>
        <w:t>创金合信基金管理有限公司成立于2014年7月9日，由第一创业证券股份有限公司、深圳市金合信投资合伙企业（有限合伙）共同发起设立，注册地为深圳。</w:t>
      </w:r>
      <w:r>
        <w:rPr>
          <w:rFonts w:hint="default" w:ascii="Calibri" w:hAnsi="Calibri" w:eastAsia="楷体" w:cs="Calibri"/>
          <w:b w:val="0"/>
          <w:bCs w:val="0"/>
          <w:sz w:val="21"/>
          <w:szCs w:val="21"/>
        </w:rPr>
        <w:fldChar w:fldCharType="begin"/>
      </w:r>
      <w:r>
        <w:rPr>
          <w:rFonts w:hint="default" w:ascii="Calibri" w:hAnsi="Calibri" w:eastAsia="楷体" w:cs="Calibri"/>
          <w:b w:val="0"/>
          <w:bCs w:val="0"/>
          <w:sz w:val="21"/>
          <w:szCs w:val="21"/>
        </w:rPr>
        <w:instrText xml:space="preserve"> = 3 \* GB3 \* MERGEFORMAT </w:instrText>
      </w:r>
      <w:r>
        <w:rPr>
          <w:rFonts w:hint="default" w:ascii="Calibri" w:hAnsi="Calibri" w:eastAsia="楷体" w:cs="Calibri"/>
          <w:b w:val="0"/>
          <w:bCs w:val="0"/>
          <w:sz w:val="21"/>
          <w:szCs w:val="21"/>
        </w:rPr>
        <w:fldChar w:fldCharType="separate"/>
      </w:r>
      <w:r>
        <w:t>③</w:t>
      </w:r>
      <w:r>
        <w:rPr>
          <w:rFonts w:hint="default" w:ascii="Calibri" w:hAnsi="Calibri" w:eastAsia="楷体" w:cs="Calibri"/>
          <w:b w:val="0"/>
          <w:bCs w:val="0"/>
          <w:sz w:val="21"/>
          <w:szCs w:val="21"/>
        </w:rPr>
        <w:fldChar w:fldCharType="end"/>
      </w:r>
      <w:r>
        <w:rPr>
          <w:rFonts w:hint="eastAsia" w:ascii="楷体" w:hAnsi="楷体" w:eastAsia="楷体"/>
          <w:b w:val="0"/>
          <w:bCs w:val="0"/>
          <w:sz w:val="21"/>
          <w:szCs w:val="21"/>
          <w:lang w:val="en-US" w:eastAsia="zh-CN"/>
        </w:rPr>
        <w:t>华鑫国际信托有限公司：华鑫国际信托有限公司于2010年2月获得中国银行业监督管理委员会批准重新登记，并于同年3月正式挂牌开业，实际控制人为中国华电集团有限公司，注册资本73.95亿元。</w:t>
      </w:r>
      <w:r>
        <w:rPr>
          <w:rFonts w:ascii="楷体" w:hAnsi="楷体" w:eastAsia="楷体"/>
          <w:b w:val="0"/>
          <w:bCs w:val="0"/>
          <w:sz w:val="21"/>
          <w:szCs w:val="21"/>
        </w:rPr>
        <w:fldChar w:fldCharType="begin"/>
      </w:r>
      <w:r>
        <w:rPr>
          <w:rFonts w:ascii="楷体" w:hAnsi="楷体" w:eastAsia="楷体"/>
          <w:b w:val="0"/>
          <w:bCs w:val="0"/>
          <w:sz w:val="21"/>
          <w:szCs w:val="21"/>
        </w:rPr>
        <w:instrText xml:space="preserve"> = 4 \* GB3 \* MERGEFORMAT </w:instrText>
      </w:r>
      <w:r>
        <w:rPr>
          <w:rFonts w:ascii="楷体" w:hAnsi="楷体" w:eastAsia="楷体"/>
          <w:b w:val="0"/>
          <w:bCs w:val="0"/>
          <w:sz w:val="21"/>
          <w:szCs w:val="21"/>
        </w:rPr>
        <w:fldChar w:fldCharType="separate"/>
      </w:r>
      <w:r>
        <w:t>④</w:t>
      </w:r>
      <w:r>
        <w:rPr>
          <w:rFonts w:ascii="楷体" w:hAnsi="楷体" w:eastAsia="楷体"/>
          <w:b w:val="0"/>
          <w:bCs w:val="0"/>
          <w:sz w:val="21"/>
          <w:szCs w:val="21"/>
        </w:rPr>
        <w:fldChar w:fldCharType="end"/>
      </w:r>
      <w:r>
        <w:rPr>
          <w:rFonts w:hint="eastAsia" w:ascii="楷体" w:hAnsi="楷体" w:eastAsia="楷体"/>
          <w:b w:val="0"/>
          <w:bCs w:val="0"/>
          <w:sz w:val="21"/>
          <w:szCs w:val="21"/>
          <w:lang w:val="en-US" w:eastAsia="zh-CN"/>
        </w:rPr>
        <w:t>中国国际金融股份有限公司：中国国际金融股份有限公司于1995年7月31日成立，实际控制人为中央汇金投资有限责任公司，注册资本4,827,256,868元。</w:t>
      </w:r>
      <w:r>
        <w:rPr>
          <w:rFonts w:hint="eastAsia" w:ascii="楷体" w:hAnsi="楷体" w:eastAsia="楷体"/>
          <w:b w:val="0"/>
          <w:bCs w:val="0"/>
          <w:sz w:val="21"/>
          <w:szCs w:val="21"/>
          <w:lang w:val="en-US" w:eastAsia="zh-CN"/>
        </w:rPr>
        <w:fldChar w:fldCharType="begin"/>
      </w:r>
      <w:r>
        <w:rPr>
          <w:rFonts w:hint="eastAsia" w:ascii="楷体" w:hAnsi="楷体" w:eastAsia="楷体"/>
          <w:b w:val="0"/>
          <w:bCs w:val="0"/>
          <w:sz w:val="21"/>
          <w:szCs w:val="21"/>
          <w:lang w:val="en-US" w:eastAsia="zh-CN"/>
        </w:rPr>
        <w:instrText xml:space="preserve"> = 5 \* GB3 \* MERGEFORMAT </w:instrText>
      </w:r>
      <w:r>
        <w:rPr>
          <w:rFonts w:hint="eastAsia" w:ascii="楷体" w:hAnsi="楷体" w:eastAsia="楷体"/>
          <w:b w:val="0"/>
          <w:bCs w:val="0"/>
          <w:sz w:val="21"/>
          <w:szCs w:val="21"/>
          <w:lang w:val="en-US" w:eastAsia="zh-CN"/>
        </w:rPr>
        <w:fldChar w:fldCharType="separate"/>
      </w:r>
      <w:r>
        <w:t>⑤</w:t>
      </w:r>
      <w:r>
        <w:rPr>
          <w:rFonts w:hint="eastAsia" w:ascii="楷体" w:hAnsi="楷体" w:eastAsia="楷体"/>
          <w:b w:val="0"/>
          <w:bCs w:val="0"/>
          <w:sz w:val="21"/>
          <w:szCs w:val="21"/>
          <w:lang w:val="en-US" w:eastAsia="zh-CN"/>
        </w:rPr>
        <w:fldChar w:fldCharType="end"/>
      </w:r>
      <w:r>
        <w:rPr>
          <w:rFonts w:hint="eastAsia" w:ascii="楷体" w:hAnsi="楷体" w:eastAsia="楷体"/>
          <w:b w:val="0"/>
          <w:bCs w:val="0"/>
          <w:sz w:val="21"/>
          <w:szCs w:val="21"/>
          <w:lang w:val="en-US"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r>
        <w:rPr>
          <w:rFonts w:hint="eastAsia" w:ascii="楷体" w:hAnsi="楷体" w:eastAsia="楷体"/>
          <w:b w:val="0"/>
          <w:bCs w:val="0"/>
          <w:sz w:val="21"/>
          <w:szCs w:val="21"/>
          <w:lang w:val="en-US" w:eastAsia="zh-CN"/>
        </w:rPr>
        <w:fldChar w:fldCharType="begin"/>
      </w:r>
      <w:r>
        <w:rPr>
          <w:rFonts w:hint="eastAsia" w:ascii="楷体" w:hAnsi="楷体" w:eastAsia="楷体"/>
          <w:b w:val="0"/>
          <w:bCs w:val="0"/>
          <w:sz w:val="21"/>
          <w:szCs w:val="21"/>
          <w:lang w:val="en-US" w:eastAsia="zh-CN"/>
        </w:rPr>
        <w:instrText xml:space="preserve"> = 6 \* GB3 \* MERGEFORMAT </w:instrText>
      </w:r>
      <w:r>
        <w:rPr>
          <w:rFonts w:hint="eastAsia" w:ascii="楷体" w:hAnsi="楷体" w:eastAsia="楷体"/>
          <w:b w:val="0"/>
          <w:bCs w:val="0"/>
          <w:sz w:val="21"/>
          <w:szCs w:val="21"/>
          <w:lang w:val="en-US" w:eastAsia="zh-CN"/>
        </w:rPr>
        <w:fldChar w:fldCharType="separate"/>
      </w:r>
      <w:r>
        <w:t>⑥</w:t>
      </w:r>
      <w:r>
        <w:rPr>
          <w:rFonts w:hint="eastAsia" w:ascii="楷体" w:hAnsi="楷体" w:eastAsia="楷体"/>
          <w:b w:val="0"/>
          <w:bCs w:val="0"/>
          <w:sz w:val="21"/>
          <w:szCs w:val="21"/>
          <w:lang w:val="en-US" w:eastAsia="zh-CN"/>
        </w:rPr>
        <w:fldChar w:fldCharType="end"/>
      </w:r>
      <w:r>
        <w:rPr>
          <w:rFonts w:hint="eastAsia" w:ascii="楷体" w:hAnsi="楷体" w:eastAsia="楷体"/>
          <w:b w:val="0"/>
          <w:bCs w:val="0"/>
          <w:sz w:val="21"/>
          <w:szCs w:val="21"/>
          <w:lang w:val="en-US" w:eastAsia="zh-CN"/>
        </w:rPr>
        <w:t>中国对外经济贸易信托有限公司：中国对外经济贸易信托有限公司成立于1987年9月30日，是中国银行保险监督管理委员会核准的国有控股金融机构，注册资本80亿元，股东为中化资本有限公司和中化集团财务有限责任公司。</w:t>
      </w:r>
      <w:r>
        <w:rPr>
          <w:rFonts w:hint="eastAsia" w:ascii="楷体" w:hAnsi="楷体" w:eastAsia="楷体"/>
          <w:b w:val="0"/>
          <w:bCs w:val="0"/>
          <w:sz w:val="21"/>
          <w:szCs w:val="21"/>
          <w:lang w:val="en-US" w:eastAsia="zh-CN"/>
        </w:rPr>
        <w:fldChar w:fldCharType="begin"/>
      </w:r>
      <w:r>
        <w:rPr>
          <w:rFonts w:hint="eastAsia" w:ascii="楷体" w:hAnsi="楷体" w:eastAsia="楷体"/>
          <w:b w:val="0"/>
          <w:bCs w:val="0"/>
          <w:sz w:val="21"/>
          <w:szCs w:val="21"/>
          <w:lang w:val="en-US" w:eastAsia="zh-CN"/>
        </w:rPr>
        <w:instrText xml:space="preserve"> = 7 \* GB3 \* MERGEFORMAT </w:instrText>
      </w:r>
      <w:r>
        <w:rPr>
          <w:rFonts w:hint="eastAsia" w:ascii="楷体" w:hAnsi="楷体" w:eastAsia="楷体"/>
          <w:b w:val="0"/>
          <w:bCs w:val="0"/>
          <w:sz w:val="21"/>
          <w:szCs w:val="21"/>
          <w:lang w:val="en-US" w:eastAsia="zh-CN"/>
        </w:rPr>
        <w:fldChar w:fldCharType="separate"/>
      </w:r>
      <w:r>
        <w:t>⑦</w:t>
      </w:r>
      <w:r>
        <w:rPr>
          <w:rFonts w:hint="eastAsia" w:ascii="楷体" w:hAnsi="楷体" w:eastAsia="楷体"/>
          <w:b w:val="0"/>
          <w:bCs w:val="0"/>
          <w:sz w:val="21"/>
          <w:szCs w:val="21"/>
          <w:lang w:val="en-US" w:eastAsia="zh-CN"/>
        </w:rPr>
        <w:fldChar w:fldCharType="end"/>
      </w:r>
      <w:r>
        <w:rPr>
          <w:rFonts w:hint="default" w:ascii="楷体" w:hAnsi="楷体" w:eastAsia="楷体"/>
          <w:b w:val="0"/>
          <w:bCs w:val="0"/>
          <w:sz w:val="21"/>
          <w:szCs w:val="21"/>
          <w:lang w:val="en-US" w:eastAsia="zh-CN"/>
        </w:rPr>
        <w:t>南方资本管理有限公司</w:t>
      </w:r>
      <w:r>
        <w:rPr>
          <w:rFonts w:hint="eastAsia" w:ascii="楷体" w:hAnsi="楷体" w:eastAsia="楷体"/>
          <w:b w:val="0"/>
          <w:bCs w:val="0"/>
          <w:sz w:val="21"/>
          <w:szCs w:val="21"/>
          <w:lang w:val="en-US" w:eastAsia="zh-CN"/>
        </w:rPr>
        <w:t>：</w:t>
      </w:r>
      <w:r>
        <w:rPr>
          <w:rFonts w:hint="default" w:ascii="楷体" w:hAnsi="楷体" w:eastAsia="楷体"/>
          <w:b w:val="0"/>
          <w:bCs w:val="0"/>
          <w:sz w:val="21"/>
          <w:szCs w:val="21"/>
          <w:lang w:val="en-US" w:eastAsia="zh-CN"/>
        </w:rPr>
        <w:t>南方资本管理有限公司成立于2013年11月14日，注册资本5.42亿元人民币，注册地为深圳前海。经中国证监会核准，南方资本业务范围为特定客户资产管理业务以及中国证监会许可的其他业务。公司股东为南方基金管理股份有限公司（100%）。</w:t>
      </w:r>
    </w:p>
    <w:p>
      <w:pPr>
        <w:ind w:firstLine="420" w:firstLineChars="200"/>
        <w:rPr>
          <w:rFonts w:hint="default"/>
          <w:lang w:val="en-US" w:eastAsia="zh-CN"/>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变化，管理人将按照监管规定和内部管理制度要求对合作机构进行准入，签署相关协议后，披露新增的投资合作机构。</w:t>
      </w:r>
    </w:p>
    <w:p>
      <w:pPr>
        <w:numPr>
          <w:ilvl w:val="0"/>
          <w:numId w:val="6"/>
        </w:numPr>
        <w:tabs>
          <w:tab w:val="left" w:pos="993"/>
        </w:tabs>
        <w:ind w:left="0" w:firstLine="420" w:firstLineChars="200"/>
        <w:outlineLvl w:val="2"/>
        <w:rPr>
          <w:rFonts w:ascii="楷体" w:hAnsi="楷体" w:eastAsia="楷体" w:cs="Calibri"/>
          <w:b w:val="0"/>
          <w:bCs/>
          <w:sz w:val="21"/>
          <w:szCs w:val="21"/>
        </w:rPr>
      </w:pPr>
      <w:r>
        <w:rPr>
          <w:rFonts w:hint="eastAsia" w:ascii="楷体" w:hAnsi="楷体" w:eastAsia="楷体" w:cs="Calibri"/>
          <w:b w:val="0"/>
          <w:bCs/>
          <w:sz w:val="21"/>
          <w:szCs w:val="21"/>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针对上述第1、2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超过140%。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 个工作日内持有不低于产品资产净值5%的现金或者到期日在一年以内的国债、中央银行票据和政策性金融债券。</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在开放日前一工作日内，本理财产品7个工作日可变现资产的可变现价值应当不低于本产品净资产的10%。</w:t>
      </w:r>
    </w:p>
    <w:p>
      <w:pPr>
        <w:numPr>
          <w:ilvl w:val="0"/>
          <w:numId w:val="6"/>
        </w:numPr>
        <w:tabs>
          <w:tab w:val="left" w:pos="993"/>
        </w:tabs>
        <w:ind w:left="0" w:firstLine="420" w:firstLineChars="200"/>
        <w:outlineLvl w:val="2"/>
        <w:rPr>
          <w:rFonts w:ascii="楷体" w:hAnsi="楷体" w:eastAsia="楷体" w:cs="Calibri"/>
          <w:b w:val="0"/>
          <w:bCs/>
          <w:sz w:val="21"/>
          <w:szCs w:val="21"/>
        </w:rPr>
      </w:pPr>
      <w:r>
        <w:rPr>
          <w:rFonts w:hint="eastAsia" w:ascii="楷体" w:hAnsi="楷体" w:eastAsia="楷体" w:cs="Calibri"/>
          <w:b w:val="0"/>
          <w:bCs/>
          <w:sz w:val="21"/>
          <w:szCs w:val="21"/>
        </w:rPr>
        <w:t>投资</w:t>
      </w:r>
      <w:r>
        <w:rPr>
          <w:rFonts w:hint="eastAsia" w:ascii="楷体" w:hAnsi="楷体" w:eastAsia="楷体" w:cs="Calibri"/>
          <w:b w:val="0"/>
          <w:bCs/>
          <w:sz w:val="21"/>
          <w:szCs w:val="21"/>
          <w:lang w:val="en-US" w:eastAsia="zh-CN"/>
        </w:rPr>
        <w:t>管理</w:t>
      </w:r>
      <w:r>
        <w:rPr>
          <w:rFonts w:hint="eastAsia" w:ascii="楷体" w:hAnsi="楷体" w:eastAsia="楷体" w:cs="Calibri"/>
          <w:b w:val="0"/>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ind w:firstLine="420" w:firstLineChars="200"/>
        <w:rPr>
          <w:rFonts w:hint="eastAsia" w:ascii="楷体" w:hAnsi="楷体" w:eastAsia="楷体"/>
          <w:sz w:val="21"/>
          <w:szCs w:val="21"/>
          <w:highlight w:val="none"/>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sz w:val="21"/>
          <w:szCs w:val="21"/>
          <w:highlight w:val="none"/>
          <w:lang w:val="en-US" w:eastAsia="zh-CN"/>
        </w:rPr>
        <w:t>。</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b/>
          <w:sz w:val="21"/>
          <w:szCs w:val="21"/>
        </w:rPr>
      </w:pPr>
      <w:r>
        <w:rPr>
          <w:rFonts w:hint="eastAsia" w:ascii="楷体" w:hAnsi="楷体" w:eastAsia="楷体"/>
          <w:b/>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1"/>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numPr>
          <w:ilvl w:val="-1"/>
          <w:numId w:val="0"/>
        </w:numPr>
        <w:ind w:left="0" w:firstLine="420" w:firstLineChars="20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lang w:val="en-US" w:eastAsia="zh-CN"/>
        </w:rPr>
        <w:t>认购份额=认购金额/产品份额面值，认购份额以四舍五入的方法保留到小数点后两位。</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sz w:val="21"/>
          <w:szCs w:val="21"/>
        </w:rPr>
      </w:pPr>
      <w:r>
        <w:rPr>
          <w:rFonts w:hint="eastAsia" w:ascii="楷体" w:hAnsi="楷体" w:eastAsia="楷体"/>
          <w:b/>
          <w:sz w:val="21"/>
          <w:szCs w:val="21"/>
          <w:highlight w:val="none"/>
        </w:rPr>
        <w:t>产品申购、赎回</w:t>
      </w:r>
    </w:p>
    <w:p>
      <w:pPr>
        <w:numPr>
          <w:ilvl w:val="0"/>
          <w:numId w:val="9"/>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投资周期、开放计划</w:t>
      </w:r>
    </w:p>
    <w:p>
      <w:pPr>
        <w:ind w:firstLine="420" w:firstLineChars="200"/>
        <w:rPr>
          <w:rFonts w:hint="eastAsia" w:ascii="楷体" w:hAnsi="楷体" w:eastAsia="楷体"/>
          <w:sz w:val="21"/>
          <w:szCs w:val="21"/>
        </w:rPr>
      </w:pPr>
      <w:r>
        <w:rPr>
          <w:rFonts w:hint="eastAsia" w:ascii="楷体" w:hAnsi="楷体" w:eastAsia="楷体"/>
          <w:sz w:val="21"/>
          <w:szCs w:val="21"/>
        </w:rPr>
        <w:t>本产品在每个投资周期结束前设置开放计划，时间为投资周期终止日前</w:t>
      </w:r>
      <w:r>
        <w:rPr>
          <w:rFonts w:hint="eastAsia" w:ascii="楷体" w:hAnsi="楷体" w:eastAsia="楷体"/>
          <w:sz w:val="21"/>
          <w:szCs w:val="21"/>
          <w:highlight w:val="none"/>
          <w:lang w:val="en-US" w:eastAsia="zh-CN"/>
        </w:rPr>
        <w:t>7</w:t>
      </w:r>
      <w:r>
        <w:rPr>
          <w:rFonts w:hint="eastAsia" w:ascii="楷体" w:hAnsi="楷体" w:eastAsia="楷体"/>
          <w:sz w:val="21"/>
          <w:szCs w:val="21"/>
          <w:lang w:val="en-US" w:eastAsia="zh-CN"/>
        </w:rPr>
        <w:t>个工作</w:t>
      </w:r>
      <w:r>
        <w:rPr>
          <w:rFonts w:hint="eastAsia" w:ascii="楷体" w:hAnsi="楷体" w:eastAsia="楷体"/>
          <w:sz w:val="21"/>
          <w:szCs w:val="21"/>
        </w:rPr>
        <w:t>日（含投资周期终止日），开放计划最后一日（即投资周期终止日）为开放日。投资者可在开放计划时间内通过销售机构提出申购/赎回申请（以各销售机构设置的开放时间为准），</w:t>
      </w:r>
      <w:r>
        <w:rPr>
          <w:rFonts w:hint="eastAsia" w:ascii="楷体" w:hAnsi="楷体" w:eastAsia="楷体"/>
          <w:b/>
          <w:sz w:val="21"/>
          <w:szCs w:val="21"/>
          <w:u w:val="single"/>
        </w:rPr>
        <w:t>除开放计划外的其他时间，管理人不接受投资者申购、赎回申请。</w:t>
      </w:r>
      <w:r>
        <w:rPr>
          <w:rFonts w:hint="eastAsia" w:ascii="楷体" w:hAnsi="楷体" w:eastAsia="楷体" w:cs="Calibri"/>
          <w:sz w:val="21"/>
          <w:szCs w:val="21"/>
        </w:rPr>
        <w:t>后续投资周期及开放计划受资产运作情况、节假日安排等要素限制，管理人将在每个投资周期结束前通过本理财产品说明书约定的方式披露下一周期开放计划。</w:t>
      </w:r>
    </w:p>
    <w:p>
      <w:pPr>
        <w:numPr>
          <w:ilvl w:val="0"/>
          <w:numId w:val="9"/>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申购、赎回的规则</w:t>
      </w:r>
    </w:p>
    <w:p>
      <w:pPr>
        <w:keepNext w:val="0"/>
        <w:keepLines w:val="0"/>
        <w:pageBreakBefore w:val="0"/>
        <w:widowControl w:val="0"/>
        <w:numPr>
          <w:ilvl w:val="0"/>
          <w:numId w:val="10"/>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申购、赎回的原则：投资者必须在产品开放计划内提出申购、赎回申请</w:t>
      </w:r>
      <w:r>
        <w:rPr>
          <w:rFonts w:hint="eastAsia" w:ascii="楷体" w:hAnsi="楷体" w:eastAsia="楷体" w:cs="Calibri"/>
          <w:sz w:val="21"/>
          <w:szCs w:val="21"/>
          <w:lang w:eastAsia="zh-CN"/>
        </w:rPr>
        <w:t>，</w:t>
      </w:r>
      <w:r>
        <w:rPr>
          <w:rFonts w:hint="eastAsia" w:ascii="楷体" w:hAnsi="楷体" w:eastAsia="楷体" w:cs="Calibri"/>
          <w:sz w:val="21"/>
          <w:szCs w:val="21"/>
        </w:rPr>
        <w:t>采用金额申购、份额赎回的原则，即申购以金额申请，赎回以份额申请。投资者提出申购申请时，须备足购买资金</w:t>
      </w:r>
      <w:r>
        <w:rPr>
          <w:rFonts w:hint="eastAsia" w:ascii="楷体" w:hAnsi="楷体" w:eastAsia="楷体" w:cs="Calibri"/>
          <w:sz w:val="21"/>
          <w:szCs w:val="21"/>
          <w:lang w:val="en-US" w:eastAsia="zh-CN"/>
        </w:rPr>
        <w:t>；</w:t>
      </w:r>
      <w:r>
        <w:rPr>
          <w:rFonts w:hint="eastAsia" w:ascii="楷体" w:hAnsi="楷体" w:eastAsia="楷体" w:cs="Calibri"/>
          <w:sz w:val="21"/>
          <w:szCs w:val="21"/>
        </w:rPr>
        <w:t>投资者提出赎回申请时，须有足够的理财产品份额余额。在开放计划内提交的申购/赎回申请可以在产品开放日</w:t>
      </w:r>
      <w:r>
        <w:rPr>
          <w:rFonts w:hint="eastAsia" w:ascii="楷体" w:hAnsi="楷体" w:eastAsia="楷体" w:cs="Calibri"/>
          <w:sz w:val="21"/>
          <w:szCs w:val="21"/>
          <w:lang w:val="en-US" w:eastAsia="zh-CN"/>
        </w:rPr>
        <w:t>闭市</w:t>
      </w:r>
      <w:r>
        <w:rPr>
          <w:rFonts w:hint="eastAsia" w:ascii="楷体" w:hAnsi="楷体" w:eastAsia="楷体" w:cs="Calibri"/>
          <w:sz w:val="21"/>
          <w:szCs w:val="21"/>
        </w:rPr>
        <w:t>前撤销，之后不得撤销。</w:t>
      </w:r>
      <w:r>
        <w:rPr>
          <w:rFonts w:hint="eastAsia" w:ascii="楷体" w:hAnsi="楷体" w:eastAsia="楷体"/>
          <w:sz w:val="21"/>
          <w:szCs w:val="21"/>
        </w:rPr>
        <w:t>（</w:t>
      </w:r>
      <w:r>
        <w:rPr>
          <w:rFonts w:hint="eastAsia" w:ascii="楷体" w:hAnsi="楷体" w:eastAsia="楷体" w:cs="Calibri"/>
          <w:sz w:val="21"/>
          <w:szCs w:val="21"/>
          <w:lang w:val="en-US" w:eastAsia="zh-CN"/>
        </w:rPr>
        <w:t>闭市时间</w:t>
      </w:r>
      <w:r>
        <w:rPr>
          <w:rFonts w:hint="eastAsia" w:ascii="楷体" w:hAnsi="楷体" w:eastAsia="楷体"/>
          <w:sz w:val="21"/>
          <w:szCs w:val="21"/>
        </w:rPr>
        <w:t>以各销售机构设置为准）</w:t>
      </w:r>
    </w:p>
    <w:p>
      <w:pPr>
        <w:keepNext w:val="0"/>
        <w:keepLines w:val="0"/>
        <w:pageBreakBefore w:val="0"/>
        <w:widowControl w:val="0"/>
        <w:numPr>
          <w:ilvl w:val="0"/>
          <w:numId w:val="10"/>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申购、赎回的确认：投资者申购/赎回本产品时采用“未知价”原则，投资者在开放计划时间内通过销售机构提出的申购/赎回申请，管理人于开放日后1个工作日按开放日单位净值对申购/赎回申请予以统一确认，未赎回的份额自动进入下一个投资周期。</w:t>
      </w:r>
    </w:p>
    <w:p>
      <w:pPr>
        <w:ind w:firstLine="420" w:firstLineChars="200"/>
        <w:rPr>
          <w:rFonts w:hint="eastAsia" w:ascii="楷体" w:hAnsi="楷体" w:eastAsia="楷体"/>
          <w:sz w:val="21"/>
          <w:szCs w:val="21"/>
          <w:highlight w:val="none"/>
        </w:rPr>
      </w:pPr>
      <w:r>
        <w:rPr>
          <w:rFonts w:hint="eastAsia" w:ascii="楷体" w:hAnsi="楷体" w:eastAsia="楷体" w:cs="Calibri"/>
          <w:sz w:val="21"/>
          <w:szCs w:val="21"/>
          <w:highlight w:val="none"/>
          <w:lang w:val="en-US" w:eastAsia="zh-CN"/>
        </w:rPr>
        <w:t>管理人在份额登记日对投资者的</w:t>
      </w:r>
      <w:r>
        <w:rPr>
          <w:rFonts w:hint="eastAsia" w:ascii="楷体" w:hAnsi="楷体" w:eastAsia="楷体"/>
          <w:sz w:val="21"/>
          <w:szCs w:val="21"/>
          <w:highlight w:val="none"/>
        </w:rPr>
        <w:t>申购</w:t>
      </w:r>
      <w:r>
        <w:rPr>
          <w:rFonts w:hint="eastAsia" w:ascii="楷体" w:hAnsi="楷体" w:eastAsia="楷体" w:cs="Calibri"/>
          <w:sz w:val="21"/>
          <w:szCs w:val="21"/>
          <w:highlight w:val="none"/>
          <w:lang w:val="en-US" w:eastAsia="zh-CN"/>
        </w:rPr>
        <w:t>申请登记成功后并收到投资者全额交付的款项，视为投资者的</w:t>
      </w:r>
      <w:r>
        <w:rPr>
          <w:rFonts w:hint="eastAsia" w:ascii="楷体" w:hAnsi="楷体" w:eastAsia="楷体"/>
          <w:sz w:val="21"/>
          <w:szCs w:val="21"/>
          <w:highlight w:val="none"/>
        </w:rPr>
        <w:t>申购</w:t>
      </w:r>
      <w:r>
        <w:rPr>
          <w:rFonts w:hint="eastAsia" w:ascii="楷体" w:hAnsi="楷体" w:eastAsia="楷体" w:cs="Calibri"/>
          <w:sz w:val="21"/>
          <w:szCs w:val="21"/>
          <w:highlight w:val="none"/>
          <w:lang w:val="en-US" w:eastAsia="zh-CN"/>
        </w:rPr>
        <w:t>申请生效。投资者应在</w:t>
      </w:r>
      <w:r>
        <w:rPr>
          <w:rFonts w:hint="eastAsia" w:ascii="楷体" w:hAnsi="楷体" w:eastAsia="楷体"/>
          <w:sz w:val="21"/>
          <w:szCs w:val="21"/>
          <w:highlight w:val="none"/>
        </w:rPr>
        <w:t>开放日后</w:t>
      </w:r>
      <w:r>
        <w:rPr>
          <w:rFonts w:hint="eastAsia" w:ascii="楷体" w:hAnsi="楷体" w:eastAsia="楷体" w:cs="Calibri"/>
          <w:sz w:val="21"/>
          <w:szCs w:val="21"/>
          <w:highlight w:val="none"/>
          <w:lang w:val="en-US" w:eastAsia="zh-CN"/>
        </w:rPr>
        <w:t>及时查询最终的成交情况以及</w:t>
      </w:r>
      <w:r>
        <w:rPr>
          <w:rFonts w:hint="eastAsia" w:ascii="楷体" w:hAnsi="楷体" w:eastAsia="楷体"/>
          <w:sz w:val="21"/>
          <w:szCs w:val="21"/>
          <w:highlight w:val="none"/>
        </w:rPr>
        <w:t>申购</w:t>
      </w:r>
      <w:r>
        <w:rPr>
          <w:rFonts w:hint="eastAsia" w:ascii="楷体" w:hAnsi="楷体" w:eastAsia="楷体" w:cs="Calibri"/>
          <w:sz w:val="21"/>
          <w:szCs w:val="21"/>
          <w:highlight w:val="none"/>
          <w:lang w:val="en-US" w:eastAsia="zh-CN"/>
        </w:rPr>
        <w:t>的份额。</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和销售机构的事由出现，造成申购</w:t>
      </w:r>
      <w:r>
        <w:rPr>
          <w:rFonts w:hint="eastAsia" w:ascii="楷体" w:hAnsi="楷体" w:eastAsia="楷体" w:cs="Calibri"/>
          <w:sz w:val="21"/>
          <w:szCs w:val="21"/>
          <w:highlight w:val="none"/>
          <w:lang w:val="en-US" w:eastAsia="zh-CN"/>
        </w:rPr>
        <w:t>申请</w:t>
      </w:r>
      <w:r>
        <w:rPr>
          <w:rFonts w:hint="eastAsia" w:ascii="楷体" w:hAnsi="楷体" w:eastAsia="楷体"/>
          <w:sz w:val="21"/>
          <w:szCs w:val="21"/>
          <w:highlight w:val="none"/>
        </w:rPr>
        <w:t>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投资者赎回资金将在确认日后2个工作日内到达投资者资金账户。</w:t>
      </w:r>
    </w:p>
    <w:p>
      <w:pPr>
        <w:numPr>
          <w:ilvl w:val="0"/>
          <w:numId w:val="9"/>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申购份额的计算</w:t>
      </w:r>
    </w:p>
    <w:p>
      <w:pPr>
        <w:ind w:firstLine="420" w:firstLineChars="200"/>
        <w:rPr>
          <w:rFonts w:hint="eastAsia" w:ascii="楷体" w:hAnsi="楷体" w:eastAsia="楷体"/>
          <w:sz w:val="21"/>
          <w:szCs w:val="21"/>
        </w:rPr>
      </w:pPr>
      <w:r>
        <w:rPr>
          <w:rFonts w:hint="eastAsia" w:ascii="楷体" w:hAnsi="楷体" w:eastAsia="楷体"/>
          <w:sz w:val="21"/>
          <w:szCs w:val="21"/>
        </w:rPr>
        <w:t>申购份额=申购金额/开放日产品单位净值</w:t>
      </w:r>
      <w:r>
        <w:rPr>
          <w:rFonts w:hint="eastAsia" w:ascii="楷体" w:hAnsi="楷体" w:eastAsia="楷体"/>
          <w:sz w:val="21"/>
          <w:szCs w:val="21"/>
          <w:lang w:eastAsia="zh-CN"/>
        </w:rPr>
        <w:t>，</w:t>
      </w:r>
      <w:r>
        <w:rPr>
          <w:rFonts w:hint="eastAsia" w:ascii="楷体" w:hAnsi="楷体" w:eastAsia="楷体"/>
          <w:sz w:val="21"/>
          <w:szCs w:val="21"/>
        </w:rPr>
        <w:t>申购份额以四舍五入的方法保留到小数点后两位</w:t>
      </w:r>
    </w:p>
    <w:p>
      <w:pPr>
        <w:numPr>
          <w:ilvl w:val="0"/>
          <w:numId w:val="9"/>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赎回金额的计算</w:t>
      </w:r>
    </w:p>
    <w:p>
      <w:pPr>
        <w:ind w:firstLine="420" w:firstLineChars="200"/>
        <w:rPr>
          <w:rFonts w:hint="eastAsia" w:ascii="楷体" w:hAnsi="楷体" w:eastAsia="楷体"/>
          <w:sz w:val="21"/>
          <w:szCs w:val="21"/>
        </w:rPr>
      </w:pPr>
      <w:r>
        <w:rPr>
          <w:rFonts w:hint="eastAsia" w:ascii="楷体" w:hAnsi="楷体" w:eastAsia="楷体"/>
          <w:sz w:val="21"/>
          <w:szCs w:val="21"/>
        </w:rPr>
        <w:t>赎回金额=赎回份额*开放日产品单位净值</w:t>
      </w:r>
      <w:r>
        <w:rPr>
          <w:rFonts w:hint="eastAsia" w:ascii="楷体" w:hAnsi="楷体" w:eastAsia="楷体"/>
          <w:sz w:val="21"/>
          <w:szCs w:val="21"/>
          <w:lang w:val="en-US" w:eastAsia="zh-CN"/>
        </w:rPr>
        <w:t>-超额业绩报酬（如有）</w:t>
      </w:r>
      <w:r>
        <w:rPr>
          <w:rFonts w:hint="eastAsia" w:ascii="楷体" w:hAnsi="楷体" w:eastAsia="楷体"/>
          <w:sz w:val="21"/>
          <w:szCs w:val="21"/>
          <w:lang w:eastAsia="zh-CN"/>
        </w:rPr>
        <w:t>，</w:t>
      </w:r>
      <w:r>
        <w:rPr>
          <w:rFonts w:hint="eastAsia" w:ascii="楷体" w:hAnsi="楷体" w:eastAsia="楷体"/>
          <w:sz w:val="21"/>
          <w:szCs w:val="21"/>
        </w:rPr>
        <w:t>赎回金额以四舍五入的方法保留到小数点后两位</w:t>
      </w:r>
    </w:p>
    <w:p>
      <w:pPr>
        <w:numPr>
          <w:ilvl w:val="0"/>
          <w:numId w:val="9"/>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巨额赎回</w:t>
      </w:r>
      <w:r>
        <w:rPr>
          <w:rFonts w:hint="eastAsia" w:ascii="楷体" w:hAnsi="楷体" w:eastAsia="楷体" w:cs="Calibri"/>
          <w:b w:val="0"/>
          <w:bCs/>
          <w:sz w:val="21"/>
          <w:szCs w:val="21"/>
          <w:lang w:eastAsia="zh-CN"/>
        </w:rPr>
        <w:t>：</w:t>
      </w:r>
      <w:r>
        <w:rPr>
          <w:rFonts w:hint="eastAsia" w:ascii="楷体" w:hAnsi="楷体" w:eastAsia="楷体" w:cs="Calibri"/>
          <w:b w:val="0"/>
          <w:bCs/>
          <w:sz w:val="21"/>
          <w:szCs w:val="21"/>
          <w:lang w:val="en-US" w:eastAsia="zh-CN"/>
        </w:rPr>
        <w:t>详见“产品要素”</w:t>
      </w:r>
    </w:p>
    <w:p>
      <w:pPr>
        <w:numPr>
          <w:ilvl w:val="0"/>
          <w:numId w:val="9"/>
        </w:numPr>
        <w:tabs>
          <w:tab w:val="left" w:pos="993"/>
        </w:tabs>
        <w:ind w:left="0" w:firstLine="420" w:firstLineChars="200"/>
        <w:outlineLvl w:val="2"/>
        <w:rPr>
          <w:rFonts w:hint="eastAsia" w:ascii="楷体" w:hAnsi="楷体" w:eastAsia="楷体" w:cs="Calibri"/>
          <w:b w:val="0"/>
          <w:bCs/>
          <w:sz w:val="21"/>
          <w:szCs w:val="21"/>
        </w:rPr>
      </w:pPr>
      <w:r>
        <w:rPr>
          <w:rFonts w:hint="eastAsia" w:ascii="楷体" w:hAnsi="楷体" w:eastAsia="楷体" w:cs="Calibri"/>
          <w:b w:val="0"/>
          <w:bCs/>
          <w:sz w:val="21"/>
          <w:szCs w:val="21"/>
        </w:rPr>
        <w:t>特殊情形及处理</w:t>
      </w:r>
    </w:p>
    <w:p>
      <w:pPr>
        <w:ind w:firstLine="420" w:firstLineChars="200"/>
        <w:rPr>
          <w:rFonts w:ascii="楷体" w:hAnsi="楷体" w:eastAsia="楷体"/>
          <w:b w:val="0"/>
          <w:bCs w:val="0"/>
          <w:sz w:val="21"/>
          <w:szCs w:val="21"/>
        </w:rPr>
      </w:pPr>
      <w:r>
        <w:rPr>
          <w:rFonts w:ascii="楷体" w:hAnsi="楷体" w:eastAsia="楷体"/>
          <w:b w:val="0"/>
          <w:bCs w:val="0"/>
          <w:sz w:val="21"/>
          <w:szCs w:val="21"/>
        </w:rPr>
        <w:t>1.</w:t>
      </w:r>
      <w:r>
        <w:rPr>
          <w:rFonts w:hint="eastAsia" w:ascii="楷体" w:hAnsi="楷体" w:eastAsia="楷体"/>
          <w:b w:val="0"/>
          <w:bCs w:val="0"/>
          <w:sz w:val="21"/>
          <w:szCs w:val="21"/>
        </w:rPr>
        <w:t>除以下情形外，管理人不得拒绝接受或暂停接受投资者的申购申请：</w:t>
      </w:r>
    </w:p>
    <w:p>
      <w:pPr>
        <w:numPr>
          <w:ilvl w:val="0"/>
          <w:numId w:val="0"/>
        </w:numPr>
        <w:tabs>
          <w:tab w:val="left" w:pos="728"/>
        </w:tabs>
        <w:ind w:left="0" w:leftChars="0" w:firstLine="420" w:firstLineChars="200"/>
        <w:rPr>
          <w:rFonts w:ascii="楷体" w:hAnsi="楷体" w:eastAsia="楷体" w:cs="Calibri"/>
          <w:sz w:val="21"/>
          <w:szCs w:val="21"/>
        </w:rPr>
      </w:pPr>
      <w:r>
        <w:rPr>
          <w:rFonts w:hint="eastAsia" w:ascii="楷体" w:hAnsi="楷体" w:eastAsia="楷体" w:cs="Calibri"/>
          <w:sz w:val="21"/>
          <w:szCs w:val="21"/>
        </w:rPr>
        <w:t>（1）不可抗力的原因导致产品无法正常运作</w:t>
      </w:r>
      <w:r>
        <w:rPr>
          <w:rFonts w:hint="eastAsia" w:ascii="楷体" w:hAnsi="楷体" w:eastAsia="楷体" w:cs="Calibri"/>
          <w:sz w:val="21"/>
          <w:szCs w:val="21"/>
          <w:lang w:eastAsia="zh-CN"/>
        </w:rPr>
        <w:t>；</w:t>
      </w:r>
      <w:r>
        <w:rPr>
          <w:rFonts w:hint="eastAsia" w:ascii="楷体" w:hAnsi="楷体" w:eastAsia="楷体" w:cs="Calibri"/>
          <w:sz w:val="21"/>
          <w:szCs w:val="21"/>
        </w:rPr>
        <w:t>（2）超出产品单一投资者持有上限</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3</w:t>
      </w:r>
      <w:r>
        <w:rPr>
          <w:rFonts w:hint="eastAsia" w:ascii="楷体" w:hAnsi="楷体" w:eastAsia="楷体" w:cs="Calibri"/>
          <w:sz w:val="21"/>
          <w:szCs w:val="21"/>
        </w:rPr>
        <w:t>）发生《理财产品说明书》约定的暂停估值的情形</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4</w:t>
      </w:r>
      <w:r>
        <w:rPr>
          <w:rFonts w:hint="eastAsia" w:ascii="楷体" w:hAnsi="楷体" w:eastAsia="楷体" w:cs="Calibri"/>
          <w:sz w:val="21"/>
          <w:szCs w:val="21"/>
        </w:rPr>
        <w:t>）管理人接受某笔或者某些申购申请有可能导致单一投资者持有理财</w:t>
      </w:r>
      <w:r>
        <w:rPr>
          <w:rFonts w:hint="eastAsia" w:ascii="楷体" w:hAnsi="楷体" w:eastAsia="楷体" w:cs="Calibri"/>
          <w:sz w:val="21"/>
          <w:szCs w:val="21"/>
          <w:lang w:val="en-US" w:eastAsia="zh-CN"/>
        </w:rPr>
        <w:t>产品</w:t>
      </w:r>
      <w:r>
        <w:rPr>
          <w:rFonts w:hint="eastAsia" w:ascii="楷体" w:hAnsi="楷体" w:eastAsia="楷体" w:cs="Calibri"/>
          <w:sz w:val="21"/>
          <w:szCs w:val="21"/>
        </w:rPr>
        <w:t>份额的比例达到或者超过50%的情形</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5</w:t>
      </w:r>
      <w:r>
        <w:rPr>
          <w:rFonts w:hint="eastAsia" w:ascii="楷体" w:hAnsi="楷体" w:eastAsia="楷体" w:cs="Calibri"/>
          <w:sz w:val="21"/>
          <w:szCs w:val="21"/>
        </w:rPr>
        <w:t>）当接受某笔或某些申购申请可能对存量理财</w:t>
      </w:r>
      <w:r>
        <w:rPr>
          <w:rFonts w:hint="eastAsia" w:ascii="楷体" w:hAnsi="楷体" w:eastAsia="楷体" w:cs="Calibri"/>
          <w:sz w:val="21"/>
          <w:szCs w:val="21"/>
          <w:lang w:val="en-US" w:eastAsia="zh-CN"/>
        </w:rPr>
        <w:t>产品</w:t>
      </w:r>
      <w:r>
        <w:rPr>
          <w:rFonts w:hint="eastAsia" w:ascii="楷体" w:hAnsi="楷体" w:eastAsia="楷体" w:cs="Calibri"/>
          <w:sz w:val="21"/>
          <w:szCs w:val="21"/>
        </w:rPr>
        <w:t>份额持有人利益构成潜在重大不利影响时</w:t>
      </w:r>
      <w:r>
        <w:rPr>
          <w:rFonts w:hint="eastAsia" w:ascii="楷体" w:hAnsi="楷体" w:eastAsia="楷体" w:cs="Calibri"/>
          <w:sz w:val="21"/>
          <w:szCs w:val="21"/>
          <w:lang w:eastAsia="zh-CN"/>
        </w:rPr>
        <w:t>；</w:t>
      </w:r>
      <w:r>
        <w:rPr>
          <w:rFonts w:hint="eastAsia" w:ascii="楷体" w:hAnsi="楷体" w:eastAsia="楷体" w:cs="Calibri"/>
          <w:sz w:val="21"/>
          <w:szCs w:val="21"/>
        </w:rPr>
        <w:t>（</w:t>
      </w:r>
      <w:r>
        <w:rPr>
          <w:rFonts w:hint="eastAsia" w:ascii="楷体" w:hAnsi="楷体" w:eastAsia="楷体" w:cs="Calibri"/>
          <w:sz w:val="21"/>
          <w:szCs w:val="21"/>
          <w:lang w:val="en-US" w:eastAsia="zh-CN"/>
        </w:rPr>
        <w:t>6</w:t>
      </w:r>
      <w:r>
        <w:rPr>
          <w:rFonts w:hint="eastAsia" w:ascii="楷体" w:hAnsi="楷体" w:eastAsia="楷体" w:cs="Calibri"/>
          <w:sz w:val="21"/>
          <w:szCs w:val="21"/>
        </w:rPr>
        <w:t>）法律、法规规定认定的其他情形。</w:t>
      </w:r>
    </w:p>
    <w:p>
      <w:pPr>
        <w:numPr>
          <w:ilvl w:val="0"/>
          <w:numId w:val="0"/>
        </w:numPr>
        <w:tabs>
          <w:tab w:val="left" w:pos="728"/>
        </w:tabs>
        <w:ind w:firstLine="420" w:firstLineChars="200"/>
        <w:rPr>
          <w:rFonts w:ascii="楷体" w:hAnsi="楷体" w:eastAsia="楷体" w:cs="Calibri"/>
          <w:sz w:val="21"/>
          <w:szCs w:val="21"/>
        </w:rPr>
      </w:pPr>
      <w:r>
        <w:rPr>
          <w:rFonts w:hint="eastAsia" w:ascii="楷体" w:hAnsi="楷体" w:eastAsia="楷体" w:cs="Calibri"/>
          <w:sz w:val="21"/>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ind w:firstLine="420" w:firstLineChars="200"/>
        <w:rPr>
          <w:rFonts w:ascii="楷体" w:hAnsi="楷体" w:eastAsia="楷体"/>
          <w:b w:val="0"/>
          <w:bCs w:val="0"/>
          <w:sz w:val="21"/>
          <w:szCs w:val="21"/>
        </w:rPr>
      </w:pPr>
      <w:r>
        <w:rPr>
          <w:rFonts w:ascii="楷体" w:hAnsi="楷体" w:eastAsia="楷体"/>
          <w:b w:val="0"/>
          <w:bCs w:val="0"/>
          <w:sz w:val="21"/>
          <w:szCs w:val="21"/>
        </w:rPr>
        <w:t>2.</w:t>
      </w:r>
      <w:r>
        <w:rPr>
          <w:rFonts w:hint="eastAsia" w:ascii="楷体" w:hAnsi="楷体" w:eastAsia="楷体"/>
          <w:b w:val="0"/>
          <w:bCs w:val="0"/>
          <w:sz w:val="21"/>
          <w:szCs w:val="21"/>
        </w:rPr>
        <w:t>除以下情形外，管理人不得暂停接受投资者的赎回申请或延缓支付赎回款项：</w:t>
      </w:r>
    </w:p>
    <w:p>
      <w:pPr>
        <w:numPr>
          <w:ilvl w:val="0"/>
          <w:numId w:val="0"/>
        </w:numPr>
        <w:tabs>
          <w:tab w:val="left" w:pos="728"/>
        </w:tabs>
        <w:ind w:firstLine="420" w:firstLineChars="200"/>
        <w:rPr>
          <w:rFonts w:ascii="楷体" w:hAnsi="楷体" w:eastAsia="楷体" w:cs="Calibri"/>
          <w:sz w:val="21"/>
          <w:szCs w:val="21"/>
        </w:rPr>
      </w:pPr>
      <w:r>
        <w:rPr>
          <w:rFonts w:hint="eastAsia" w:ascii="楷体" w:hAnsi="楷体" w:eastAsia="楷体" w:cs="Calibri"/>
          <w:sz w:val="21"/>
          <w:szCs w:val="21"/>
        </w:rPr>
        <w:t>（1）不可抗力的原因导致管理人不能支付赎回款项</w:t>
      </w:r>
      <w:r>
        <w:rPr>
          <w:rFonts w:hint="eastAsia" w:ascii="楷体" w:hAnsi="楷体" w:eastAsia="楷体" w:cs="Calibri"/>
          <w:sz w:val="21"/>
          <w:szCs w:val="21"/>
          <w:lang w:eastAsia="zh-CN"/>
        </w:rPr>
        <w:t>；</w:t>
      </w:r>
      <w:r>
        <w:rPr>
          <w:rFonts w:hint="eastAsia" w:ascii="楷体" w:hAnsi="楷体" w:eastAsia="楷体" w:cs="Calibri"/>
          <w:sz w:val="21"/>
          <w:szCs w:val="21"/>
        </w:rPr>
        <w:t>（2）触发巨额赎回条款</w:t>
      </w:r>
      <w:r>
        <w:rPr>
          <w:rFonts w:hint="eastAsia" w:ascii="楷体" w:hAnsi="楷体" w:eastAsia="楷体" w:cs="Calibri"/>
          <w:sz w:val="21"/>
          <w:szCs w:val="21"/>
          <w:lang w:eastAsia="zh-CN"/>
        </w:rPr>
        <w:t>；</w:t>
      </w:r>
      <w:r>
        <w:rPr>
          <w:rFonts w:hint="eastAsia" w:ascii="楷体" w:hAnsi="楷体" w:eastAsia="楷体" w:cs="Calibri"/>
          <w:sz w:val="21"/>
          <w:szCs w:val="21"/>
        </w:rPr>
        <w:t>（3）发生《理财产品说明书》约定的暂停估值的情形</w:t>
      </w:r>
      <w:r>
        <w:rPr>
          <w:rFonts w:hint="eastAsia" w:ascii="楷体" w:hAnsi="楷体" w:eastAsia="楷体" w:cs="Calibri"/>
          <w:sz w:val="21"/>
          <w:szCs w:val="21"/>
          <w:lang w:eastAsia="zh-CN"/>
        </w:rPr>
        <w:t>；</w:t>
      </w:r>
      <w:r>
        <w:rPr>
          <w:rFonts w:hint="eastAsia" w:ascii="楷体" w:hAnsi="楷体" w:eastAsia="楷体" w:cs="Calibri"/>
          <w:sz w:val="21"/>
          <w:szCs w:val="21"/>
        </w:rPr>
        <w:t>（4）当接受某笔或某些赎回申请可能对存量理财</w:t>
      </w:r>
      <w:r>
        <w:rPr>
          <w:rFonts w:hint="eastAsia" w:ascii="楷体" w:hAnsi="楷体" w:eastAsia="楷体" w:cs="Calibri"/>
          <w:sz w:val="21"/>
          <w:szCs w:val="21"/>
          <w:lang w:val="en-US" w:eastAsia="zh-CN"/>
        </w:rPr>
        <w:t>产品</w:t>
      </w:r>
      <w:r>
        <w:rPr>
          <w:rFonts w:hint="eastAsia" w:ascii="楷体" w:hAnsi="楷体" w:eastAsia="楷体" w:cs="Calibri"/>
          <w:sz w:val="21"/>
          <w:szCs w:val="21"/>
        </w:rPr>
        <w:t>份额持有人利益构成潜在重大不利影响时</w:t>
      </w:r>
      <w:r>
        <w:rPr>
          <w:rFonts w:hint="eastAsia" w:ascii="楷体" w:hAnsi="楷体" w:eastAsia="楷体" w:cs="Calibri"/>
          <w:sz w:val="21"/>
          <w:szCs w:val="21"/>
          <w:lang w:eastAsia="zh-CN"/>
        </w:rPr>
        <w:t>；</w:t>
      </w:r>
      <w:r>
        <w:rPr>
          <w:rFonts w:hint="eastAsia" w:ascii="楷体" w:hAnsi="楷体" w:eastAsia="楷体" w:cs="Calibri"/>
          <w:sz w:val="21"/>
          <w:szCs w:val="21"/>
        </w:rPr>
        <w:t>（5）法律、法规规定认定的其他情形。</w:t>
      </w:r>
    </w:p>
    <w:p>
      <w:pPr>
        <w:numPr>
          <w:ilvl w:val="0"/>
          <w:numId w:val="0"/>
        </w:numPr>
        <w:tabs>
          <w:tab w:val="left" w:pos="728"/>
        </w:tabs>
        <w:ind w:firstLine="420" w:firstLineChars="200"/>
        <w:rPr>
          <w:rFonts w:hint="eastAsia" w:ascii="楷体" w:hAnsi="楷体" w:eastAsia="楷体" w:cs="Calibri"/>
          <w:sz w:val="21"/>
          <w:szCs w:val="21"/>
        </w:rPr>
      </w:pPr>
      <w:r>
        <w:rPr>
          <w:rFonts w:hint="eastAsia" w:ascii="楷体" w:hAnsi="楷体" w:eastAsia="楷体" w:cs="Calibri"/>
          <w:sz w:val="21"/>
          <w:szCs w:val="21"/>
        </w:rPr>
        <w:t>若管理人决定</w:t>
      </w:r>
      <w:r>
        <w:rPr>
          <w:rFonts w:hint="eastAsia" w:ascii="楷体" w:hAnsi="楷体" w:eastAsia="楷体"/>
          <w:sz w:val="21"/>
          <w:szCs w:val="21"/>
        </w:rPr>
        <w:t>暂停接受投资者的赎回申请或延缓支付赎回款项</w:t>
      </w:r>
      <w:r>
        <w:rPr>
          <w:rFonts w:hint="eastAsia" w:ascii="楷体" w:hAnsi="楷体" w:eastAsia="楷体" w:cs="Calibri"/>
          <w:sz w:val="21"/>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1"/>
          <w:szCs w:val="21"/>
        </w:rPr>
        <w:t>暂停接受投资者的赎回申请或延缓支付赎回款项的情况消除后</w:t>
      </w:r>
      <w:r>
        <w:rPr>
          <w:rFonts w:hint="eastAsia" w:ascii="楷体" w:hAnsi="楷体" w:eastAsia="楷体" w:cs="Calibri"/>
          <w:sz w:val="21"/>
          <w:szCs w:val="21"/>
        </w:rPr>
        <w:t>，管理人将及时恢复</w:t>
      </w:r>
      <w:r>
        <w:rPr>
          <w:rFonts w:hint="eastAsia" w:ascii="楷体" w:hAnsi="楷体" w:eastAsia="楷体" w:cs="Calibri"/>
          <w:sz w:val="21"/>
          <w:szCs w:val="21"/>
          <w:lang w:val="en-US" w:eastAsia="zh-CN"/>
        </w:rPr>
        <w:t>赎回</w:t>
      </w:r>
      <w:r>
        <w:rPr>
          <w:rFonts w:hint="eastAsia" w:ascii="楷体" w:hAnsi="楷体" w:eastAsia="楷体" w:cs="Calibri"/>
          <w:sz w:val="21"/>
          <w:szCs w:val="21"/>
        </w:rPr>
        <w:t>业务的办理。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highlight w:val="none"/>
        </w:rPr>
      </w:pPr>
      <w:r>
        <w:rPr>
          <w:rFonts w:hint="eastAsia" w:ascii="楷体" w:hAnsi="楷体" w:eastAsia="楷体"/>
          <w:b/>
          <w:sz w:val="21"/>
          <w:szCs w:val="21"/>
          <w:highlight w:val="none"/>
        </w:rPr>
        <w:t>收益分配</w:t>
      </w:r>
    </w:p>
    <w:p>
      <w:pPr>
        <w:ind w:firstLine="420" w:firstLineChars="200"/>
        <w:rPr>
          <w:rFonts w:hint="eastAsia" w:ascii="楷体" w:hAnsi="楷体" w:eastAsia="楷体"/>
          <w:sz w:val="21"/>
          <w:szCs w:val="21"/>
        </w:rPr>
      </w:pPr>
      <w:r>
        <w:rPr>
          <w:rFonts w:hint="eastAsia" w:ascii="楷体" w:hAnsi="楷体" w:eastAsia="楷体"/>
          <w:sz w:val="21"/>
          <w:szCs w:val="21"/>
        </w:rPr>
        <w:t>本产品</w:t>
      </w:r>
      <w:r>
        <w:rPr>
          <w:rFonts w:hint="eastAsia" w:ascii="楷体" w:hAnsi="楷体" w:eastAsia="楷体"/>
          <w:sz w:val="21"/>
          <w:szCs w:val="21"/>
          <w:lang w:val="en-US" w:eastAsia="zh-CN"/>
        </w:rPr>
        <w:t>计划</w:t>
      </w:r>
      <w:r>
        <w:rPr>
          <w:rFonts w:hint="eastAsia" w:ascii="楷体" w:hAnsi="楷体" w:eastAsia="楷体"/>
          <w:sz w:val="21"/>
          <w:szCs w:val="21"/>
        </w:rPr>
        <w:t>按投资周期进行现金分红。当一个投资周期结束，在满足投资周期终止日理财产品单位净值大于面值的条件下，管理人可进行现金分红，现金分红金额为单个投资周期投资产生的收益扣除固定费用（包括托管费、销售服务费、投资管理费）、运作产品所必须缴纳的税费、提取业绩报酬（如有）后的部分，将于投资周期终止日后2个工作日内分配至投资者资金账户。</w:t>
      </w:r>
    </w:p>
    <w:p>
      <w:pPr>
        <w:ind w:firstLine="422" w:firstLineChars="200"/>
        <w:rPr>
          <w:rFonts w:hint="eastAsia" w:ascii="楷体" w:hAnsi="楷体" w:eastAsia="楷体"/>
          <w:sz w:val="21"/>
          <w:szCs w:val="21"/>
          <w:lang w:eastAsia="zh-CN"/>
        </w:rPr>
      </w:pPr>
      <w:r>
        <w:rPr>
          <w:rFonts w:hint="eastAsia" w:ascii="楷体" w:hAnsi="楷体" w:eastAsia="楷体"/>
          <w:b/>
          <w:sz w:val="21"/>
          <w:szCs w:val="21"/>
          <w:u w:val="single"/>
        </w:rPr>
        <w:t>以下示例均为假设情况，不代表本产品实际投资业绩</w:t>
      </w:r>
      <w:r>
        <w:rPr>
          <w:rFonts w:hint="eastAsia" w:ascii="楷体" w:hAnsi="楷体" w:eastAsia="楷体"/>
          <w:b/>
          <w:sz w:val="21"/>
          <w:szCs w:val="21"/>
          <w:u w:val="single"/>
          <w:lang w:eastAsia="zh-CN"/>
        </w:rPr>
        <w:t>。</w:t>
      </w:r>
    </w:p>
    <w:p>
      <w:pPr>
        <w:ind w:firstLine="420" w:firstLineChars="200"/>
        <w:rPr>
          <w:rFonts w:hint="eastAsia" w:ascii="楷体" w:hAnsi="楷体" w:eastAsia="楷体"/>
          <w:sz w:val="21"/>
          <w:szCs w:val="21"/>
        </w:rPr>
      </w:pPr>
      <w:r>
        <w:rPr>
          <w:rFonts w:hint="eastAsia" w:ascii="楷体" w:hAnsi="楷体" w:eastAsia="楷体"/>
          <w:sz w:val="21"/>
          <w:szCs w:val="21"/>
        </w:rPr>
        <w:t>1.情景一</w:t>
      </w:r>
    </w:p>
    <w:p>
      <w:pPr>
        <w:ind w:firstLine="420" w:firstLineChars="200"/>
        <w:rPr>
          <w:rFonts w:hint="eastAsia" w:ascii="楷体" w:hAnsi="楷体" w:eastAsia="楷体"/>
          <w:sz w:val="21"/>
          <w:szCs w:val="21"/>
        </w:rPr>
      </w:pPr>
      <w:r>
        <w:rPr>
          <w:rFonts w:hint="eastAsia" w:ascii="楷体" w:hAnsi="楷体" w:eastAsia="楷体"/>
          <w:sz w:val="21"/>
          <w:szCs w:val="21"/>
        </w:rPr>
        <w:t>假定投资者在该投资周期持有该产品的份额为10,000.00份，该投资周期扣除固定费用（包括托管费、销售服务费、投资管理费）、运作产品所必须缴纳的税费、提取业绩报酬（如有）后，产品单位净值为1.0</w:t>
      </w:r>
      <w:r>
        <w:rPr>
          <w:rFonts w:hint="eastAsia" w:ascii="楷体" w:hAnsi="楷体" w:eastAsia="楷体"/>
          <w:sz w:val="21"/>
          <w:szCs w:val="21"/>
          <w:lang w:val="en-US" w:eastAsia="zh-CN"/>
        </w:rPr>
        <w:t>2</w:t>
      </w:r>
      <w:r>
        <w:rPr>
          <w:rFonts w:hint="eastAsia" w:ascii="楷体" w:hAnsi="楷体" w:eastAsia="楷体"/>
          <w:sz w:val="21"/>
          <w:szCs w:val="21"/>
        </w:rPr>
        <w:t>20。理财产品单位净值大于面值，管理人可进行现金分红，每份额可获得的现金分红为0.0</w:t>
      </w:r>
      <w:r>
        <w:rPr>
          <w:rFonts w:hint="eastAsia" w:ascii="楷体" w:hAnsi="楷体" w:eastAsia="楷体"/>
          <w:sz w:val="21"/>
          <w:szCs w:val="21"/>
          <w:lang w:val="en-US" w:eastAsia="zh-CN"/>
        </w:rPr>
        <w:t>2</w:t>
      </w:r>
      <w:r>
        <w:rPr>
          <w:rFonts w:hint="eastAsia" w:ascii="楷体" w:hAnsi="楷体" w:eastAsia="楷体"/>
          <w:sz w:val="21"/>
          <w:szCs w:val="21"/>
        </w:rPr>
        <w:t>20。</w:t>
      </w:r>
    </w:p>
    <w:p>
      <w:pPr>
        <w:ind w:firstLine="420" w:firstLineChars="200"/>
        <w:rPr>
          <w:rFonts w:hint="eastAsia" w:ascii="楷体" w:hAnsi="楷体" w:eastAsia="楷体"/>
          <w:sz w:val="21"/>
          <w:szCs w:val="21"/>
        </w:rPr>
      </w:pPr>
      <w:r>
        <w:rPr>
          <w:rFonts w:hint="eastAsia" w:ascii="楷体" w:hAnsi="楷体" w:eastAsia="楷体"/>
          <w:sz w:val="21"/>
          <w:szCs w:val="21"/>
        </w:rPr>
        <w:t>该投资周期投资者可得分红=10,000.00×0.0</w:t>
      </w:r>
      <w:r>
        <w:rPr>
          <w:rFonts w:hint="eastAsia" w:ascii="楷体" w:hAnsi="楷体" w:eastAsia="楷体"/>
          <w:sz w:val="21"/>
          <w:szCs w:val="21"/>
          <w:lang w:val="en-US" w:eastAsia="zh-CN"/>
        </w:rPr>
        <w:t>2</w:t>
      </w:r>
      <w:r>
        <w:rPr>
          <w:rFonts w:hint="eastAsia" w:ascii="楷体" w:hAnsi="楷体" w:eastAsia="楷体"/>
          <w:sz w:val="21"/>
          <w:szCs w:val="21"/>
        </w:rPr>
        <w:t>20=</w:t>
      </w:r>
      <w:r>
        <w:rPr>
          <w:rFonts w:hint="eastAsia" w:ascii="楷体" w:hAnsi="楷体" w:eastAsia="楷体"/>
          <w:sz w:val="21"/>
          <w:szCs w:val="21"/>
          <w:lang w:val="en-US" w:eastAsia="zh-CN"/>
        </w:rPr>
        <w:t>2</w:t>
      </w:r>
      <w:r>
        <w:rPr>
          <w:rFonts w:hint="eastAsia" w:ascii="楷体" w:hAnsi="楷体" w:eastAsia="楷体"/>
          <w:sz w:val="21"/>
          <w:szCs w:val="21"/>
        </w:rPr>
        <w:t>20.00（元）</w:t>
      </w:r>
    </w:p>
    <w:p>
      <w:pPr>
        <w:ind w:firstLine="420" w:firstLineChars="200"/>
        <w:rPr>
          <w:rFonts w:hint="eastAsia" w:ascii="楷体" w:hAnsi="楷体" w:eastAsia="楷体"/>
          <w:sz w:val="21"/>
          <w:szCs w:val="21"/>
        </w:rPr>
      </w:pPr>
      <w:r>
        <w:rPr>
          <w:rFonts w:hint="eastAsia" w:ascii="楷体" w:hAnsi="楷体" w:eastAsia="楷体"/>
          <w:sz w:val="21"/>
          <w:szCs w:val="21"/>
        </w:rPr>
        <w:t>2.情景二</w:t>
      </w:r>
    </w:p>
    <w:p>
      <w:pPr>
        <w:ind w:firstLine="420" w:firstLineChars="200"/>
        <w:rPr>
          <w:rFonts w:hint="eastAsia" w:ascii="楷体" w:hAnsi="楷体" w:eastAsia="楷体"/>
          <w:sz w:val="21"/>
          <w:szCs w:val="21"/>
        </w:rPr>
      </w:pPr>
      <w:r>
        <w:rPr>
          <w:rFonts w:hint="eastAsia" w:ascii="楷体" w:hAnsi="楷体" w:eastAsia="楷体"/>
          <w:sz w:val="21"/>
          <w:szCs w:val="21"/>
        </w:rPr>
        <w:t>假定投资者在该投资周期持有该产品的份额为10,000.00份，该投资周期扣除固定费用（包括托管费、销售服务费、投资管理费）、运作产品所必须缴纳的税费、提取业绩报酬（如有）后，产品单位净值为0.9975。理财产品单位净值小于面值，该投资周期无现金分红。</w:t>
      </w:r>
    </w:p>
    <w:p>
      <w:pPr>
        <w:ind w:firstLine="422" w:firstLineChars="200"/>
        <w:rPr>
          <w:rFonts w:hint="eastAsia"/>
          <w:sz w:val="21"/>
          <w:szCs w:val="21"/>
        </w:rPr>
      </w:pPr>
      <w:r>
        <w:rPr>
          <w:rFonts w:hint="eastAsia" w:ascii="楷体" w:hAnsi="楷体" w:eastAsia="楷体"/>
          <w:b/>
          <w:sz w:val="21"/>
          <w:szCs w:val="21"/>
          <w:u w:val="single"/>
        </w:rPr>
        <w:t>上述情况假设仅用于向投资者示例现金分红计算方法之用，并不代表管理人对实际分红情况的预期判断，也不代表以上所有情形或某一情形一定会发生，或管理人认为发生的可能性很大。投资者获得的最终</w:t>
      </w:r>
      <w:r>
        <w:rPr>
          <w:rFonts w:hint="eastAsia" w:ascii="楷体" w:hAnsi="楷体" w:eastAsia="楷体"/>
          <w:b/>
          <w:sz w:val="21"/>
          <w:szCs w:val="21"/>
          <w:u w:val="single"/>
          <w:lang w:val="en-US" w:eastAsia="zh-CN"/>
        </w:rPr>
        <w:t>收益</w:t>
      </w:r>
      <w:r>
        <w:rPr>
          <w:rFonts w:hint="eastAsia" w:ascii="楷体" w:hAnsi="楷体" w:eastAsia="楷体"/>
          <w:b/>
          <w:sz w:val="21"/>
          <w:szCs w:val="21"/>
          <w:u w:val="single"/>
        </w:rPr>
        <w:t>以产品实际运作表现及管理人实际支付为准。</w:t>
      </w:r>
    </w:p>
    <w:p>
      <w:pPr>
        <w:keepNext w:val="0"/>
        <w:keepLines w:val="0"/>
        <w:pageBreakBefore w:val="0"/>
        <w:widowControl w:val="0"/>
        <w:numPr>
          <w:ilvl w:val="0"/>
          <w:numId w:val="2"/>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rPr>
        <w:t>产品终止</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rPr>
      </w:pPr>
      <w:r>
        <w:rPr>
          <w:rFonts w:hint="eastAsia" w:ascii="楷体" w:hAnsi="楷体" w:eastAsia="楷体" w:cs="楷体"/>
          <w:b w:val="0"/>
          <w:bCs w:val="0"/>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延期</w:t>
      </w:r>
      <w:r>
        <w:rPr>
          <w:rFonts w:hint="eastAsia" w:ascii="楷体" w:hAnsi="楷体" w:eastAsia="楷体" w:cs="Calibri"/>
          <w:b w:val="0"/>
          <w:bCs w:val="0"/>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r>
        <w:rPr>
          <w:rFonts w:hint="eastAsia" w:ascii="楷体" w:hAnsi="楷体" w:eastAsia="楷体" w:cs="Calibri"/>
          <w:color w:val="auto"/>
          <w:sz w:val="21"/>
          <w:szCs w:val="21"/>
        </w:rPr>
        <w:t>。</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lang w:val="en-US" w:eastAsia="zh-CN"/>
        </w:rPr>
        <w:t>终止</w:t>
      </w:r>
      <w:r>
        <w:rPr>
          <w:rFonts w:hint="eastAsia" w:ascii="楷体" w:hAnsi="楷体" w:eastAsia="楷体" w:cs="Calibri"/>
          <w:b w:val="0"/>
          <w:bCs w:val="0"/>
          <w:color w:val="auto"/>
          <w:sz w:val="21"/>
          <w:szCs w:val="21"/>
        </w:rPr>
        <w:t>清算</w:t>
      </w:r>
    </w:p>
    <w:p>
      <w:pPr>
        <w:widowControl w:val="0"/>
        <w:numPr>
          <w:ilvl w:val="0"/>
          <w:numId w:val="0"/>
        </w:numPr>
        <w:tabs>
          <w:tab w:val="left" w:pos="1092"/>
        </w:tabs>
        <w:jc w:val="both"/>
        <w:rPr>
          <w:rFonts w:hint="eastAsia" w:ascii="楷体" w:hAnsi="楷体" w:eastAsia="楷体" w:cs="Calibri"/>
          <w:color w:val="auto"/>
          <w:sz w:val="21"/>
          <w:szCs w:val="21"/>
          <w:lang w:eastAsia="zh-CN"/>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keepNext w:val="0"/>
        <w:keepLines w:val="0"/>
        <w:pageBreakBefore w:val="0"/>
        <w:widowControl w:val="0"/>
        <w:numPr>
          <w:ilvl w:val="0"/>
          <w:numId w:val="2"/>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购买</w:t>
      </w:r>
      <w:r>
        <w:rPr>
          <w:rFonts w:hint="eastAsia" w:ascii="楷体" w:hAnsi="楷体" w:eastAsia="楷体"/>
          <w:color w:val="auto"/>
          <w:sz w:val="21"/>
          <w:szCs w:val="21"/>
        </w:rPr>
        <w:t>本产品，投资金额为10,000.00元，</w:t>
      </w:r>
      <w:r>
        <w:rPr>
          <w:rFonts w:hint="eastAsia" w:ascii="楷体" w:hAnsi="楷体" w:eastAsia="楷体"/>
          <w:color w:val="auto"/>
          <w:sz w:val="21"/>
          <w:szCs w:val="21"/>
          <w:lang w:val="en-US" w:eastAsia="zh-CN"/>
        </w:rPr>
        <w:t>产品单位净值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w:t>
      </w:r>
      <w:r>
        <w:rPr>
          <w:rFonts w:hint="eastAsia" w:ascii="楷体" w:hAnsi="楷体" w:eastAsia="楷体"/>
          <w:color w:val="auto"/>
          <w:sz w:val="21"/>
          <w:szCs w:val="21"/>
          <w:lang w:val="en-US" w:eastAsia="zh-CN"/>
        </w:rPr>
        <w:t>投资者赎回/</w:t>
      </w:r>
      <w:r>
        <w:rPr>
          <w:rFonts w:hint="eastAsia" w:ascii="楷体" w:hAnsi="楷体" w:eastAsia="楷体"/>
          <w:color w:val="auto"/>
          <w:sz w:val="21"/>
          <w:szCs w:val="21"/>
        </w:rPr>
        <w:t>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25503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25503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购买</w:t>
      </w:r>
      <w:r>
        <w:rPr>
          <w:rFonts w:hint="eastAsia" w:ascii="楷体" w:hAnsi="楷体" w:eastAsia="楷体"/>
          <w:color w:val="auto"/>
          <w:sz w:val="21"/>
          <w:szCs w:val="21"/>
        </w:rPr>
        <w:t>本产品，投资金额为10,000.00元，</w:t>
      </w:r>
      <w:r>
        <w:rPr>
          <w:rFonts w:hint="eastAsia" w:ascii="楷体" w:hAnsi="楷体" w:eastAsia="楷体"/>
          <w:color w:val="auto"/>
          <w:sz w:val="21"/>
          <w:szCs w:val="21"/>
          <w:lang w:val="en-US" w:eastAsia="zh-CN"/>
        </w:rPr>
        <w:t>产品单位净值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w:t>
      </w:r>
      <w:r>
        <w:rPr>
          <w:rFonts w:hint="eastAsia" w:ascii="楷体" w:hAnsi="楷体" w:eastAsia="楷体"/>
          <w:color w:val="auto"/>
          <w:sz w:val="21"/>
          <w:szCs w:val="21"/>
          <w:lang w:val="en-US" w:eastAsia="zh-CN"/>
        </w:rPr>
        <w:t>投资者赎回/</w:t>
      </w:r>
      <w:r>
        <w:rPr>
          <w:rFonts w:hint="eastAsia" w:ascii="楷体" w:hAnsi="楷体" w:eastAsia="楷体"/>
          <w:color w:val="auto"/>
          <w:sz w:val="21"/>
          <w:szCs w:val="21"/>
        </w:rPr>
        <w:t>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ind w:left="0" w:leftChars="0" w:firstLine="422" w:firstLineChars="200"/>
      </w:pPr>
      <w:r>
        <w:rPr>
          <w:rFonts w:hint="eastAsia" w:ascii="楷体" w:hAnsi="楷体" w:eastAsia="楷体"/>
          <w:b/>
          <w:color w:val="auto"/>
          <w:sz w:val="21"/>
          <w:szCs w:val="21"/>
          <w:u w:val="single"/>
        </w:rPr>
        <w:t>上述情况假设仅用于向投资者示例收益计算方法之用，并不代表管理人对实际投资情况的预期判断，</w:t>
      </w:r>
      <w:r>
        <w:rPr>
          <w:rFonts w:hint="eastAsia" w:ascii="楷体" w:hAnsi="楷体" w:eastAsia="楷体"/>
          <w:b/>
          <w:color w:val="auto"/>
          <w:sz w:val="21"/>
          <w:szCs w:val="21"/>
          <w:u w:val="single"/>
          <w:lang w:val="en-US" w:eastAsia="zh-CN"/>
        </w:rPr>
        <w:t>也不代表</w:t>
      </w:r>
      <w:r>
        <w:rPr>
          <w:rFonts w:hint="eastAsia" w:ascii="楷体" w:hAnsi="楷体" w:eastAsia="楷体"/>
          <w:b/>
          <w:color w:val="auto"/>
          <w:sz w:val="21"/>
          <w:szCs w:val="21"/>
          <w:u w:val="single"/>
        </w:rPr>
        <w:t>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2"/>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cs="Calibri"/>
          <w:b w:val="0"/>
          <w:bCs/>
          <w:sz w:val="21"/>
          <w:szCs w:val="21"/>
        </w:rPr>
      </w:pPr>
      <w:r>
        <w:rPr>
          <w:rFonts w:hint="eastAsia" w:ascii="楷体" w:hAnsi="楷体" w:eastAsia="楷体"/>
          <w:b/>
          <w:sz w:val="21"/>
          <w:szCs w:val="21"/>
        </w:rPr>
        <w:t>产品费用</w:t>
      </w:r>
    </w:p>
    <w:p>
      <w:pPr>
        <w:ind w:firstLine="420" w:firstLineChars="200"/>
        <w:rPr>
          <w:rFonts w:hint="default" w:ascii="楷体" w:hAnsi="楷体" w:eastAsia="楷体" w:cs="Calibri"/>
          <w:b w:val="0"/>
          <w:bCs/>
          <w:sz w:val="21"/>
          <w:szCs w:val="21"/>
          <w:lang w:val="en-US" w:eastAsia="zh-CN"/>
        </w:rPr>
      </w:pPr>
      <w:r>
        <w:rPr>
          <w:rFonts w:hint="eastAsia" w:ascii="楷体" w:hAnsi="楷体" w:eastAsia="楷体"/>
          <w:b w:val="0"/>
          <w:bCs/>
          <w:sz w:val="21"/>
          <w:szCs w:val="21"/>
        </w:rPr>
        <w:t>本产品费用包括托管费、销售服务费、投资管理费、超额业绩报酬（如有）以及产品运作和清算中产生的其他费用等。</w:t>
      </w:r>
      <w:r>
        <w:rPr>
          <w:rFonts w:hint="eastAsia" w:ascii="楷体" w:hAnsi="楷体" w:eastAsia="楷体" w:cs="Calibri"/>
          <w:b w:val="0"/>
          <w:bCs/>
          <w:sz w:val="21"/>
          <w:szCs w:val="21"/>
        </w:rPr>
        <w:t>计提方法</w:t>
      </w:r>
      <w:r>
        <w:rPr>
          <w:rFonts w:hint="eastAsia" w:ascii="楷体" w:hAnsi="楷体" w:eastAsia="楷体" w:cs="Calibri"/>
          <w:b w:val="0"/>
          <w:bCs/>
          <w:sz w:val="21"/>
          <w:szCs w:val="21"/>
          <w:lang w:val="en-US" w:eastAsia="zh-CN"/>
        </w:rPr>
        <w:t>如下：</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：管理人按投资周期收取超额业绩报酬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超额业绩报酬计算详见“产品要素”。</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本产品不收取认购费用、申购费用、赎回费用。</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费用计算</w:t>
      </w:r>
      <w:r>
        <w:rPr>
          <w:rFonts w:hint="eastAsia" w:ascii="楷体" w:hAnsi="楷体" w:eastAsia="楷体" w:cs="Calibri"/>
          <w:color w:val="auto"/>
          <w:sz w:val="21"/>
          <w:szCs w:val="21"/>
          <w:highlight w:val="none"/>
        </w:rPr>
        <w:t>四舍五入保留至小数点后两位</w:t>
      </w:r>
      <w:r>
        <w:rPr>
          <w:rFonts w:hint="eastAsia" w:ascii="楷体" w:hAnsi="楷体" w:eastAsia="楷体" w:cs="Calibri"/>
          <w:color w:val="auto"/>
          <w:sz w:val="21"/>
          <w:szCs w:val="21"/>
          <w:highlight w:val="none"/>
          <w:lang w:eastAsia="zh-CN"/>
        </w:rPr>
        <w:t>。</w:t>
      </w:r>
    </w:p>
    <w:p>
      <w:pPr>
        <w:ind w:firstLine="420" w:firstLineChars="200"/>
        <w:rPr>
          <w:rFonts w:hint="default" w:eastAsia="楷体"/>
          <w:sz w:val="21"/>
          <w:szCs w:val="21"/>
          <w:lang w:val="en-US" w:eastAsia="zh-CN"/>
        </w:rPr>
      </w:pPr>
      <w:r>
        <w:rPr>
          <w:rFonts w:hint="eastAsia" w:ascii="楷体" w:hAnsi="楷体" w:eastAsia="楷体"/>
          <w:sz w:val="21"/>
          <w:szCs w:val="21"/>
        </w:rPr>
        <w:t>产品管理人有权根据市场情况等调整上述各项费用费率和超额业绩报酬收取方式及比例，产品管理人将于调整事项生效前2个工作日通过短信及苏银理财有限责任公司官方网站（www.suyinwealth.com）、销售机构电子渠道和营业网点等方式进行信息披露。如投资者不接受的，可在公告约定的期限内赎回本产品，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2"/>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b/>
          <w:sz w:val="21"/>
          <w:szCs w:val="21"/>
        </w:rPr>
      </w:pPr>
      <w:r>
        <w:rPr>
          <w:rFonts w:hint="eastAsia" w:ascii="楷体" w:hAnsi="楷体" w:eastAsia="楷体"/>
          <w:b/>
          <w:sz w:val="21"/>
          <w:szCs w:val="21"/>
        </w:rPr>
        <w:t>产品估值</w:t>
      </w:r>
    </w:p>
    <w:p>
      <w:pPr>
        <w:keepNext w:val="0"/>
        <w:keepLines w:val="0"/>
        <w:pageBreakBefore w:val="0"/>
        <w:widowControl w:val="0"/>
        <w:numPr>
          <w:ilvl w:val="0"/>
          <w:numId w:val="13"/>
        </w:numPr>
        <w:tabs>
          <w:tab w:val="left" w:pos="993"/>
        </w:tabs>
        <w:kinsoku/>
        <w:wordWrap/>
        <w:overflowPunct/>
        <w:topLinePunct w:val="0"/>
        <w:bidi w:val="0"/>
        <w:snapToGrid/>
        <w:ind w:left="0" w:firstLine="420" w:firstLineChars="200"/>
        <w:textAlignment w:val="auto"/>
        <w:outlineLvl w:val="2"/>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idowControl w:val="0"/>
        <w:kinsoku/>
        <w:wordWrap/>
        <w:overflowPunct/>
        <w:topLinePunct w:val="0"/>
        <w:bidi w:val="0"/>
        <w:snapToGrid/>
        <w:ind w:firstLine="420" w:firstLineChars="200"/>
        <w:textAlignment w:val="auto"/>
        <w:rPr>
          <w:rFonts w:ascii="楷体" w:hAnsi="楷体" w:eastAsia="楷体"/>
          <w:sz w:val="21"/>
          <w:szCs w:val="21"/>
        </w:rPr>
      </w:pPr>
      <w:r>
        <w:rPr>
          <w:rFonts w:hint="eastAsia" w:ascii="楷体" w:hAnsi="楷体" w:eastAsia="楷体"/>
          <w:sz w:val="21"/>
          <w:szCs w:val="21"/>
        </w:rPr>
        <w:t>本产品所拥有的各类证券、银行存款、应收款项及其它资产及负债。</w:t>
      </w:r>
    </w:p>
    <w:p>
      <w:pPr>
        <w:keepNext w:val="0"/>
        <w:keepLines w:val="0"/>
        <w:pageBreakBefore w:val="0"/>
        <w:widowControl w:val="0"/>
        <w:numPr>
          <w:ilvl w:val="0"/>
          <w:numId w:val="13"/>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b w:val="0"/>
          <w:bCs w:val="0"/>
          <w:color w:val="auto"/>
          <w:sz w:val="21"/>
          <w:szCs w:val="21"/>
        </w:rPr>
        <w:t>本产品资产估值的目的是客观、准确</w:t>
      </w:r>
      <w:r>
        <w:rPr>
          <w:rFonts w:hint="eastAsia" w:ascii="楷体" w:hAnsi="楷体" w:eastAsia="楷体" w:cs="Calibri"/>
          <w:b w:val="0"/>
          <w:bCs w:val="0"/>
          <w:color w:val="auto"/>
          <w:sz w:val="21"/>
          <w:szCs w:val="21"/>
          <w:lang w:val="en-US" w:eastAsia="zh-CN"/>
        </w:rPr>
        <w:t>地</w:t>
      </w:r>
      <w:r>
        <w:rPr>
          <w:rFonts w:hint="eastAsia" w:ascii="楷体" w:hAnsi="楷体" w:eastAsia="楷体" w:cs="Calibri"/>
          <w:b w:val="0"/>
          <w:bCs w:val="0"/>
          <w:color w:val="auto"/>
          <w:sz w:val="21"/>
          <w:szCs w:val="21"/>
        </w:rPr>
        <w:t>反映资产净值，确定理财产品资产净值，并为理财产品的兑付提供计价依据</w:t>
      </w:r>
      <w:r>
        <w:rPr>
          <w:rFonts w:hint="eastAsia" w:ascii="楷体" w:hAnsi="楷体" w:eastAsia="楷体" w:cs="Calibri"/>
          <w:sz w:val="21"/>
          <w:szCs w:val="21"/>
        </w:rPr>
        <w:t>。</w:t>
      </w:r>
    </w:p>
    <w:p>
      <w:pPr>
        <w:keepNext w:val="0"/>
        <w:keepLines w:val="0"/>
        <w:pageBreakBefore w:val="0"/>
        <w:widowControl w:val="0"/>
        <w:numPr>
          <w:ilvl w:val="0"/>
          <w:numId w:val="1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sz w:val="21"/>
          <w:szCs w:val="21"/>
        </w:rPr>
        <w:t>本产品单位净值精确到小数点后</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位，小数点</w:t>
      </w:r>
      <w:r>
        <w:rPr>
          <w:rFonts w:hint="eastAsia" w:ascii="楷体" w:hAnsi="楷体" w:eastAsia="楷体" w:cs="Calibri"/>
          <w:sz w:val="21"/>
          <w:szCs w:val="21"/>
          <w:highlight w:val="none"/>
          <w:lang w:val="en-US" w:eastAsia="zh-CN"/>
        </w:rPr>
        <w:t>6</w:t>
      </w:r>
      <w:r>
        <w:rPr>
          <w:rFonts w:hint="eastAsia" w:ascii="楷体" w:hAnsi="楷体" w:eastAsia="楷体" w:cs="Calibri"/>
          <w:sz w:val="21"/>
          <w:szCs w:val="21"/>
          <w:highlight w:val="none"/>
        </w:rPr>
        <w:t>位后</w:t>
      </w:r>
      <w:r>
        <w:rPr>
          <w:rFonts w:hint="eastAsia" w:ascii="楷体" w:hAnsi="楷体" w:eastAsia="楷体" w:cs="Calibri"/>
          <w:sz w:val="21"/>
          <w:szCs w:val="21"/>
        </w:rPr>
        <w:t>截位。</w:t>
      </w:r>
    </w:p>
    <w:p>
      <w:pPr>
        <w:keepNext w:val="0"/>
        <w:keepLines w:val="0"/>
        <w:pageBreakBefore w:val="0"/>
        <w:widowControl w:val="0"/>
        <w:numPr>
          <w:ilvl w:val="0"/>
          <w:numId w:val="13"/>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highlight w:val="none"/>
        </w:rPr>
      </w:pPr>
      <w:r>
        <w:rPr>
          <w:rFonts w:hint="eastAsia" w:ascii="楷体" w:hAnsi="楷体" w:eastAsia="楷体" w:cs="Calibri"/>
          <w:b w:val="0"/>
          <w:bCs/>
          <w:sz w:val="21"/>
          <w:szCs w:val="21"/>
          <w:highlight w:val="none"/>
        </w:rPr>
        <w:t>估值方法</w:t>
      </w:r>
    </w:p>
    <w:p>
      <w:pPr>
        <w:keepNext w:val="0"/>
        <w:keepLines w:val="0"/>
        <w:pageBreakBefore w:val="0"/>
        <w:widowControl w:val="0"/>
        <w:numPr>
          <w:ilvl w:val="0"/>
          <w:numId w:val="1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sz w:val="21"/>
          <w:szCs w:val="21"/>
        </w:rPr>
        <w:t>存款类资产、货币市场工具：以本金列示，逐日计提利息。</w:t>
      </w:r>
    </w:p>
    <w:p>
      <w:pPr>
        <w:keepNext w:val="0"/>
        <w:keepLines w:val="0"/>
        <w:pageBreakBefore w:val="0"/>
        <w:widowControl w:val="0"/>
        <w:numPr>
          <w:ilvl w:val="0"/>
          <w:numId w:val="1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货币市场基金：以估值截止时间点能够取得的最新每万份收益进行估值。</w:t>
      </w:r>
    </w:p>
    <w:p>
      <w:pPr>
        <w:keepNext w:val="0"/>
        <w:keepLines w:val="0"/>
        <w:pageBreakBefore w:val="0"/>
        <w:widowControl w:val="0"/>
        <w:numPr>
          <w:ilvl w:val="0"/>
          <w:numId w:val="1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债券类资产：按公允价值进行估值，采用市价、第三方估值机构提供的估值价格、合理的估值技术或监管机构认可的其他估值方法进行估值。</w:t>
      </w:r>
    </w:p>
    <w:p>
      <w:pPr>
        <w:keepNext w:val="0"/>
        <w:keepLines w:val="0"/>
        <w:pageBreakBefore w:val="0"/>
        <w:widowControl w:val="0"/>
        <w:numPr>
          <w:ilvl w:val="0"/>
          <w:numId w:val="1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债权类资产：按公允价值进行估值，采用合理的估值技术或监管机构认可的估值方法进行估值。</w:t>
      </w:r>
    </w:p>
    <w:p>
      <w:pPr>
        <w:keepNext w:val="0"/>
        <w:keepLines w:val="0"/>
        <w:pageBreakBefore w:val="0"/>
        <w:widowControl w:val="0"/>
        <w:numPr>
          <w:ilvl w:val="0"/>
          <w:numId w:val="1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证券、基金、保险等资产管理计划和信托计划等资产（不含货币市场基金）：按照证券、基金、保险等资产管理计划和信托计划的管理人和托管人共同确认的最新净值或投资收益进行估值。</w:t>
      </w:r>
    </w:p>
    <w:p>
      <w:pPr>
        <w:keepNext w:val="0"/>
        <w:keepLines w:val="0"/>
        <w:pageBreakBefore w:val="0"/>
        <w:widowControl w:val="0"/>
        <w:numPr>
          <w:ilvl w:val="0"/>
          <w:numId w:val="1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sz w:val="21"/>
          <w:szCs w:val="21"/>
        </w:rPr>
      </w:pPr>
      <w:r>
        <w:rPr>
          <w:rFonts w:hint="eastAsia" w:ascii="楷体" w:hAnsi="楷体" w:eastAsia="楷体" w:cs="Calibri"/>
          <w:sz w:val="21"/>
          <w:szCs w:val="21"/>
        </w:rPr>
        <w:t>商品及衍生品类资产：按公允价值进行估值，采用市价、第三方估值机构提供的估值价格、合理的估值技术或监管机构认可的其他估值方法进行估值。</w:t>
      </w:r>
    </w:p>
    <w:p>
      <w:pPr>
        <w:keepNext w:val="0"/>
        <w:keepLines w:val="0"/>
        <w:pageBreakBefore w:val="0"/>
        <w:widowControl w:val="0"/>
        <w:numPr>
          <w:ilvl w:val="0"/>
          <w:numId w:val="1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其他资产：按公允价值进行估值，采用合理的估值技术或监管机构认可的估值方法进行估值。</w:t>
      </w:r>
    </w:p>
    <w:p>
      <w:pPr>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eastAsia" w:ascii="楷体" w:hAnsi="楷体" w:eastAsia="楷体"/>
          <w:sz w:val="21"/>
          <w:szCs w:val="21"/>
        </w:rPr>
      </w:pPr>
      <w:r>
        <w:rPr>
          <w:rFonts w:hint="eastAsia" w:ascii="楷体" w:hAnsi="楷体" w:eastAsia="楷体"/>
          <w:sz w:val="21"/>
          <w:szCs w:val="21"/>
        </w:rPr>
        <w:t>如有新增事项或变更事项，按国家法律法规及监管最新规定执行。</w:t>
      </w:r>
    </w:p>
    <w:p>
      <w:pPr>
        <w:keepNext w:val="0"/>
        <w:keepLines w:val="0"/>
        <w:pageBreakBefore w:val="0"/>
        <w:widowControl w:val="0"/>
        <w:numPr>
          <w:ilvl w:val="0"/>
          <w:numId w:val="13"/>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rPr>
      </w:pPr>
      <w:r>
        <w:rPr>
          <w:rFonts w:hint="eastAsia" w:ascii="楷体" w:hAnsi="楷体" w:eastAsia="楷体" w:cs="Calibri"/>
          <w:b w:val="0"/>
          <w:bCs/>
          <w:sz w:val="21"/>
          <w:szCs w:val="21"/>
        </w:rPr>
        <w:t>估值错误的处理</w:t>
      </w:r>
    </w:p>
    <w:p>
      <w:pPr>
        <w:keepNext w:val="0"/>
        <w:keepLines w:val="0"/>
        <w:pageBreakBefore w:val="0"/>
        <w:widowControl w:val="0"/>
        <w:kinsoku/>
        <w:wordWrap/>
        <w:overflowPunct/>
        <w:topLinePunct w:val="0"/>
        <w:bidi w:val="0"/>
        <w:snapToGrid/>
        <w:ind w:firstLine="420" w:firstLineChars="200"/>
        <w:textAlignment w:val="auto"/>
        <w:rPr>
          <w:rFonts w:ascii="楷体" w:hAnsi="楷体" w:eastAsia="楷体"/>
          <w:sz w:val="21"/>
          <w:szCs w:val="21"/>
        </w:rPr>
      </w:pPr>
      <w:r>
        <w:rPr>
          <w:rFonts w:hint="eastAsia" w:ascii="楷体" w:hAnsi="楷体" w:eastAsia="楷体"/>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3"/>
        </w:numPr>
        <w:tabs>
          <w:tab w:val="left" w:pos="993"/>
        </w:tabs>
        <w:kinsoku/>
        <w:wordWrap/>
        <w:overflowPunct/>
        <w:topLinePunct w:val="0"/>
        <w:bidi w:val="0"/>
        <w:snapToGrid/>
        <w:ind w:left="0" w:firstLine="420" w:firstLineChars="200"/>
        <w:textAlignment w:val="auto"/>
        <w:outlineLvl w:val="2"/>
        <w:rPr>
          <w:rFonts w:ascii="楷体" w:hAnsi="楷体" w:eastAsia="楷体" w:cs="Calibri"/>
          <w:b w:val="0"/>
          <w:bCs/>
          <w:sz w:val="21"/>
          <w:szCs w:val="21"/>
        </w:rPr>
      </w:pPr>
      <w:r>
        <w:rPr>
          <w:rFonts w:hint="eastAsia" w:ascii="楷体" w:hAnsi="楷体" w:eastAsia="楷体" w:cs="Calibri"/>
          <w:b w:val="0"/>
          <w:bCs/>
          <w:sz w:val="21"/>
          <w:szCs w:val="21"/>
        </w:rPr>
        <w:t>暂停估值</w:t>
      </w:r>
    </w:p>
    <w:p>
      <w:pPr>
        <w:keepNext w:val="0"/>
        <w:keepLines w:val="0"/>
        <w:pageBreakBefore w:val="0"/>
        <w:widowControl w:val="0"/>
        <w:kinsoku/>
        <w:wordWrap/>
        <w:overflowPunct/>
        <w:topLinePunct w:val="0"/>
        <w:bidi w:val="0"/>
        <w:snapToGrid/>
        <w:ind w:firstLine="420" w:firstLineChars="200"/>
        <w:textAlignment w:val="auto"/>
        <w:rPr>
          <w:rFonts w:hint="eastAsia" w:ascii="楷体" w:hAnsi="楷体" w:eastAsia="楷体"/>
          <w:sz w:val="21"/>
          <w:szCs w:val="21"/>
        </w:rPr>
      </w:pPr>
      <w:r>
        <w:rPr>
          <w:rFonts w:hint="eastAsia" w:ascii="楷体" w:hAnsi="楷体" w:eastAsia="楷体"/>
          <w:sz w:val="21"/>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2"/>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ascii="楷体" w:hAnsi="楷体" w:eastAsia="楷体"/>
          <w:b/>
          <w:sz w:val="21"/>
          <w:szCs w:val="21"/>
        </w:rPr>
      </w:pPr>
      <w:r>
        <w:rPr>
          <w:rFonts w:hint="eastAsia" w:ascii="楷体" w:hAnsi="楷体" w:eastAsia="楷体"/>
          <w:b/>
          <w:sz w:val="21"/>
          <w:szCs w:val="21"/>
        </w:rPr>
        <w:t>信息披露</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r>
        <w:rPr>
          <w:rFonts w:hint="eastAsia" w:ascii="楷体" w:hAnsi="楷体" w:eastAsia="楷体" w:cs="Calibri"/>
          <w:color w:val="auto"/>
          <w:sz w:val="21"/>
          <w:szCs w:val="21"/>
        </w:rPr>
        <w:t>。</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keepNext w:val="0"/>
        <w:keepLines w:val="0"/>
        <w:pageBreakBefore w:val="0"/>
        <w:widowControl w:val="0"/>
        <w:numPr>
          <w:ilvl w:val="0"/>
          <w:numId w:val="1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keepNext w:val="0"/>
        <w:keepLines w:val="0"/>
        <w:pageBreakBefore w:val="0"/>
        <w:widowControl w:val="0"/>
        <w:numPr>
          <w:ilvl w:val="0"/>
          <w:numId w:val="2"/>
        </w:numPr>
        <w:tabs>
          <w:tab w:val="left" w:pos="1428"/>
          <w:tab w:val="clear" w:pos="0"/>
        </w:tabs>
        <w:kinsoku/>
        <w:wordWrap/>
        <w:overflowPunct/>
        <w:topLinePunct w:val="0"/>
        <w:autoSpaceDE/>
        <w:autoSpaceDN/>
        <w:bidi w:val="0"/>
        <w:adjustRightInd/>
        <w:snapToGrid/>
        <w:ind w:left="0" w:leftChars="0" w:firstLine="422" w:firstLineChars="200"/>
        <w:textAlignment w:val="auto"/>
        <w:outlineLvl w:val="1"/>
        <w:rPr>
          <w:rFonts w:hint="eastAsia" w:ascii="楷体" w:hAnsi="楷体" w:eastAsia="楷体"/>
          <w:b/>
          <w:sz w:val="21"/>
          <w:szCs w:val="21"/>
        </w:rPr>
      </w:pPr>
      <w:r>
        <w:rPr>
          <w:rFonts w:hint="eastAsia" w:ascii="楷体" w:hAnsi="楷体" w:eastAsia="楷体"/>
          <w:b/>
          <w:sz w:val="21"/>
          <w:szCs w:val="21"/>
        </w:rPr>
        <w:t>其他</w:t>
      </w:r>
    </w:p>
    <w:p>
      <w:pPr>
        <w:numPr>
          <w:ilvl w:val="0"/>
          <w:numId w:val="19"/>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9"/>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9"/>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hint="eastAsia"/>
        </w:rPr>
      </w:pPr>
      <w:r>
        <w:rPr>
          <w:rFonts w:hint="eastAsia" w:ascii="楷体" w:hAnsi="楷体" w:eastAsia="楷体"/>
          <w:color w:val="auto"/>
          <w:sz w:val="21"/>
          <w:szCs w:val="21"/>
          <w:lang w:val="en-US" w:eastAsia="zh-CN"/>
        </w:rPr>
        <w:t>本产品说明书</w:t>
      </w:r>
      <w:r>
        <w:rPr>
          <w:rFonts w:hint="eastAsia" w:ascii="楷体" w:hAnsi="楷体" w:eastAsia="楷体"/>
          <w:color w:val="auto"/>
          <w:sz w:val="21"/>
          <w:szCs w:val="21"/>
        </w:rPr>
        <w:t>的订立、生效、履行、解释、修改和终止等事项均适用中华人民共和国（</w:t>
      </w:r>
      <w:r>
        <w:rPr>
          <w:rFonts w:hint="eastAsia" w:ascii="楷体" w:hAnsi="楷体" w:eastAsia="楷体"/>
          <w:color w:val="auto"/>
          <w:sz w:val="21"/>
          <w:szCs w:val="21"/>
          <w:lang w:val="en-US" w:eastAsia="zh-CN"/>
        </w:rPr>
        <w:t>为本合同目的，</w:t>
      </w:r>
      <w:r>
        <w:rPr>
          <w:rFonts w:hint="eastAsia" w:ascii="楷体" w:hAnsi="楷体" w:eastAsia="楷体"/>
          <w:color w:val="auto"/>
          <w:sz w:val="21"/>
          <w:szCs w:val="21"/>
        </w:rPr>
        <w:t>不包括香港特别行政区、澳门特别行政区和台湾地区）法律。</w:t>
      </w:r>
      <w:r>
        <w:rPr>
          <w:rFonts w:hint="eastAsia" w:ascii="楷体" w:hAnsi="楷体" w:eastAsia="楷体"/>
          <w:color w:val="auto"/>
          <w:sz w:val="21"/>
          <w:szCs w:val="21"/>
          <w:lang w:val="en-US" w:eastAsia="zh-CN"/>
        </w:rPr>
        <w:t>因本产品说明书</w:t>
      </w:r>
      <w:r>
        <w:rPr>
          <w:rFonts w:hint="eastAsia" w:ascii="楷体" w:hAnsi="楷体" w:eastAsia="楷体"/>
          <w:color w:val="auto"/>
          <w:sz w:val="21"/>
          <w:szCs w:val="21"/>
        </w:rPr>
        <w:t>引起的或与</w:t>
      </w:r>
      <w:r>
        <w:rPr>
          <w:rFonts w:hint="eastAsia" w:ascii="楷体" w:hAnsi="楷体" w:eastAsia="楷体"/>
          <w:color w:val="auto"/>
          <w:sz w:val="21"/>
          <w:szCs w:val="21"/>
          <w:lang w:val="en-US" w:eastAsia="zh-CN"/>
        </w:rPr>
        <w:t>本产品说明书</w:t>
      </w:r>
      <w:r>
        <w:rPr>
          <w:rFonts w:hint="eastAsia" w:ascii="楷体" w:hAnsi="楷体" w:eastAsia="楷体"/>
          <w:color w:val="auto"/>
          <w:sz w:val="21"/>
          <w:szCs w:val="21"/>
        </w:rPr>
        <w:t>有关的任何争议，应当首先通过双方之间的友好协商解决；协商不成的，双方均有权提交产品管理人</w:t>
      </w:r>
      <w:r>
        <w:rPr>
          <w:rFonts w:hint="eastAsia" w:ascii="楷体" w:hAnsi="楷体" w:eastAsia="楷体"/>
          <w:color w:val="auto"/>
          <w:sz w:val="21"/>
          <w:szCs w:val="21"/>
          <w:lang w:val="en-US" w:eastAsia="zh-CN"/>
        </w:rPr>
        <w:t>住所地</w:t>
      </w:r>
      <w:r>
        <w:rPr>
          <w:rFonts w:hint="eastAsia" w:ascii="楷体" w:hAnsi="楷体" w:eastAsia="楷体"/>
          <w:color w:val="auto"/>
          <w:sz w:val="21"/>
          <w:szCs w:val="21"/>
        </w:rPr>
        <w:t>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4992370</wp:posOffset>
          </wp:positionH>
          <wp:positionV relativeFrom="paragraph">
            <wp:posOffset>-124460</wp:posOffset>
          </wp:positionV>
          <wp:extent cx="1325245" cy="424815"/>
          <wp:effectExtent l="0" t="0" r="8255" b="3810"/>
          <wp:wrapSquare wrapText="bothSides"/>
          <wp:docPr id="1"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A471B109"/>
    <w:multiLevelType w:val="multilevel"/>
    <w:tmpl w:val="A471B109"/>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550252B"/>
    <w:multiLevelType w:val="multilevel"/>
    <w:tmpl w:val="A550252B"/>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11AD990"/>
    <w:multiLevelType w:val="multilevel"/>
    <w:tmpl w:val="E11AD990"/>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13CDDB3D"/>
    <w:multiLevelType w:val="multilevel"/>
    <w:tmpl w:val="13CDDB3D"/>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D5197BC"/>
    <w:multiLevelType w:val="multilevel"/>
    <w:tmpl w:val="2D5197BC"/>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3708999D"/>
    <w:multiLevelType w:val="singleLevel"/>
    <w:tmpl w:val="3708999D"/>
    <w:lvl w:ilvl="0" w:tentative="0">
      <w:start w:val="1"/>
      <w:numFmt w:val="decimalEnclosedCircleChinese"/>
      <w:suff w:val="nothing"/>
      <w:lvlText w:val="%1　"/>
      <w:lvlJc w:val="left"/>
      <w:pPr>
        <w:ind w:left="0" w:firstLine="400"/>
      </w:pPr>
      <w:rPr>
        <w:rFonts w:hint="eastAsia"/>
      </w:rPr>
    </w:lvl>
  </w:abstractNum>
  <w:abstractNum w:abstractNumId="9">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2">
    <w:nsid w:val="542FDF91"/>
    <w:multiLevelType w:val="multilevel"/>
    <w:tmpl w:val="542FDF91"/>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038F410"/>
    <w:multiLevelType w:val="multilevel"/>
    <w:tmpl w:val="7038F410"/>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F17FFC0"/>
    <w:multiLevelType w:val="multilevel"/>
    <w:tmpl w:val="7F17FFC0"/>
    <w:lvl w:ilvl="0" w:tentative="0">
      <w:start w:val="1"/>
      <w:numFmt w:val="decimal"/>
      <w:suff w:val="nothing"/>
      <w:lvlText w:val="%1."/>
      <w:lvlJc w:val="left"/>
      <w:pPr>
        <w:tabs>
          <w:tab w:val="left" w:pos="420"/>
        </w:tabs>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7"/>
  </w:num>
  <w:num w:numId="3">
    <w:abstractNumId w:val="15"/>
  </w:num>
  <w:num w:numId="4">
    <w:abstractNumId w:val="16"/>
  </w:num>
  <w:num w:numId="5">
    <w:abstractNumId w:val="18"/>
  </w:num>
  <w:num w:numId="6">
    <w:abstractNumId w:val="17"/>
  </w:num>
  <w:num w:numId="7">
    <w:abstractNumId w:val="11"/>
  </w:num>
  <w:num w:numId="8">
    <w:abstractNumId w:val="10"/>
  </w:num>
  <w:num w:numId="9">
    <w:abstractNumId w:val="6"/>
  </w:num>
  <w:num w:numId="10">
    <w:abstractNumId w:val="2"/>
  </w:num>
  <w:num w:numId="11">
    <w:abstractNumId w:val="4"/>
  </w:num>
  <w:num w:numId="12">
    <w:abstractNumId w:val="0"/>
  </w:num>
  <w:num w:numId="13">
    <w:abstractNumId w:val="14"/>
  </w:num>
  <w:num w:numId="14">
    <w:abstractNumId w:val="12"/>
  </w:num>
  <w:num w:numId="15">
    <w:abstractNumId w:val="5"/>
  </w:num>
  <w:num w:numId="16">
    <w:abstractNumId w:val="13"/>
  </w:num>
  <w:num w:numId="17">
    <w:abstractNumId w:val="1"/>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1CBB"/>
    <w:rsid w:val="00276FCD"/>
    <w:rsid w:val="002A7F52"/>
    <w:rsid w:val="005610EB"/>
    <w:rsid w:val="00B73039"/>
    <w:rsid w:val="00F02299"/>
    <w:rsid w:val="00FD53CA"/>
    <w:rsid w:val="01916153"/>
    <w:rsid w:val="01C11F94"/>
    <w:rsid w:val="01DA571A"/>
    <w:rsid w:val="01F11ABC"/>
    <w:rsid w:val="02342294"/>
    <w:rsid w:val="02394C4E"/>
    <w:rsid w:val="023B31B5"/>
    <w:rsid w:val="02706D07"/>
    <w:rsid w:val="027B1BEB"/>
    <w:rsid w:val="02B04479"/>
    <w:rsid w:val="02BB217A"/>
    <w:rsid w:val="02EE64DC"/>
    <w:rsid w:val="030516AD"/>
    <w:rsid w:val="03B26B31"/>
    <w:rsid w:val="03E91BF7"/>
    <w:rsid w:val="03FC3F39"/>
    <w:rsid w:val="049E6222"/>
    <w:rsid w:val="04A92EE3"/>
    <w:rsid w:val="05120775"/>
    <w:rsid w:val="0522647B"/>
    <w:rsid w:val="052D480C"/>
    <w:rsid w:val="0537036B"/>
    <w:rsid w:val="05397409"/>
    <w:rsid w:val="05A60B08"/>
    <w:rsid w:val="05AB50DB"/>
    <w:rsid w:val="05C22B02"/>
    <w:rsid w:val="05DF682E"/>
    <w:rsid w:val="06411C20"/>
    <w:rsid w:val="06917613"/>
    <w:rsid w:val="06A93A70"/>
    <w:rsid w:val="06FF25F4"/>
    <w:rsid w:val="07363BBD"/>
    <w:rsid w:val="07770ECE"/>
    <w:rsid w:val="07963995"/>
    <w:rsid w:val="07DC6E8D"/>
    <w:rsid w:val="07DE1B77"/>
    <w:rsid w:val="083C4181"/>
    <w:rsid w:val="08494B4C"/>
    <w:rsid w:val="08545039"/>
    <w:rsid w:val="087E378B"/>
    <w:rsid w:val="08C87576"/>
    <w:rsid w:val="099730C7"/>
    <w:rsid w:val="09BB6FD3"/>
    <w:rsid w:val="09E64105"/>
    <w:rsid w:val="0AA20035"/>
    <w:rsid w:val="0B3550F2"/>
    <w:rsid w:val="0B471607"/>
    <w:rsid w:val="0B493D92"/>
    <w:rsid w:val="0B521344"/>
    <w:rsid w:val="0B7873E7"/>
    <w:rsid w:val="0BE46D3E"/>
    <w:rsid w:val="0C2A04AF"/>
    <w:rsid w:val="0C383A1B"/>
    <w:rsid w:val="0C3C461F"/>
    <w:rsid w:val="0C8B2263"/>
    <w:rsid w:val="0C8C56A3"/>
    <w:rsid w:val="0CB3468E"/>
    <w:rsid w:val="0D460355"/>
    <w:rsid w:val="0D5044E7"/>
    <w:rsid w:val="0D5B3087"/>
    <w:rsid w:val="0DCA2B2C"/>
    <w:rsid w:val="0DDD75CE"/>
    <w:rsid w:val="0DE6245C"/>
    <w:rsid w:val="0E324ADA"/>
    <w:rsid w:val="0E8C12CF"/>
    <w:rsid w:val="0E995783"/>
    <w:rsid w:val="0EA24D8E"/>
    <w:rsid w:val="0EFD7A26"/>
    <w:rsid w:val="0F1B4A58"/>
    <w:rsid w:val="0F1B4AB3"/>
    <w:rsid w:val="0F2D7FC5"/>
    <w:rsid w:val="0FA551A3"/>
    <w:rsid w:val="0FD22F01"/>
    <w:rsid w:val="100459CF"/>
    <w:rsid w:val="106A7BFD"/>
    <w:rsid w:val="109A102D"/>
    <w:rsid w:val="10B72620"/>
    <w:rsid w:val="10D208A6"/>
    <w:rsid w:val="11022343"/>
    <w:rsid w:val="111D76A0"/>
    <w:rsid w:val="1137604C"/>
    <w:rsid w:val="1167461D"/>
    <w:rsid w:val="11C449B6"/>
    <w:rsid w:val="12136ABA"/>
    <w:rsid w:val="121A7943"/>
    <w:rsid w:val="121F3DCB"/>
    <w:rsid w:val="12627D38"/>
    <w:rsid w:val="126807AF"/>
    <w:rsid w:val="126877DE"/>
    <w:rsid w:val="12705D8B"/>
    <w:rsid w:val="12E2190B"/>
    <w:rsid w:val="130762C7"/>
    <w:rsid w:val="130A1945"/>
    <w:rsid w:val="132C05F4"/>
    <w:rsid w:val="133603BC"/>
    <w:rsid w:val="13566046"/>
    <w:rsid w:val="1363315E"/>
    <w:rsid w:val="13813EDF"/>
    <w:rsid w:val="13BA3C51"/>
    <w:rsid w:val="142E3B87"/>
    <w:rsid w:val="14AE7D5C"/>
    <w:rsid w:val="14EA3140"/>
    <w:rsid w:val="151627A4"/>
    <w:rsid w:val="15250560"/>
    <w:rsid w:val="15452BE9"/>
    <w:rsid w:val="15661276"/>
    <w:rsid w:val="15961DF8"/>
    <w:rsid w:val="15C23F41"/>
    <w:rsid w:val="15D95D65"/>
    <w:rsid w:val="16321C77"/>
    <w:rsid w:val="16452649"/>
    <w:rsid w:val="165A010B"/>
    <w:rsid w:val="16DB02E7"/>
    <w:rsid w:val="16E82A20"/>
    <w:rsid w:val="17E11F5A"/>
    <w:rsid w:val="17F83B61"/>
    <w:rsid w:val="18563155"/>
    <w:rsid w:val="18766114"/>
    <w:rsid w:val="18790C37"/>
    <w:rsid w:val="18903A4D"/>
    <w:rsid w:val="18925467"/>
    <w:rsid w:val="18D417E2"/>
    <w:rsid w:val="191E3445"/>
    <w:rsid w:val="19525097"/>
    <w:rsid w:val="19765916"/>
    <w:rsid w:val="19B25954"/>
    <w:rsid w:val="19D011E9"/>
    <w:rsid w:val="19DA1846"/>
    <w:rsid w:val="19DF46F8"/>
    <w:rsid w:val="19E8300C"/>
    <w:rsid w:val="1A1254D5"/>
    <w:rsid w:val="1A2331F2"/>
    <w:rsid w:val="1A74679E"/>
    <w:rsid w:val="1AA527A3"/>
    <w:rsid w:val="1AB40CBF"/>
    <w:rsid w:val="1BB6506B"/>
    <w:rsid w:val="1BC003D1"/>
    <w:rsid w:val="1BC94B68"/>
    <w:rsid w:val="1BF53974"/>
    <w:rsid w:val="1C1B3B29"/>
    <w:rsid w:val="1C4231EC"/>
    <w:rsid w:val="1C512181"/>
    <w:rsid w:val="1D505225"/>
    <w:rsid w:val="1DA43FDF"/>
    <w:rsid w:val="1E0972D4"/>
    <w:rsid w:val="1E315B06"/>
    <w:rsid w:val="1E3C6829"/>
    <w:rsid w:val="1E5B385B"/>
    <w:rsid w:val="1E747638"/>
    <w:rsid w:val="1F111238"/>
    <w:rsid w:val="1F603109"/>
    <w:rsid w:val="1F9E2BED"/>
    <w:rsid w:val="1FBB7F9F"/>
    <w:rsid w:val="1FC73DB2"/>
    <w:rsid w:val="1FC85FB0"/>
    <w:rsid w:val="1FCD5CBB"/>
    <w:rsid w:val="200E39C9"/>
    <w:rsid w:val="20220C48"/>
    <w:rsid w:val="203F2777"/>
    <w:rsid w:val="205E2E63"/>
    <w:rsid w:val="20862AD5"/>
    <w:rsid w:val="208D0A85"/>
    <w:rsid w:val="20A5280C"/>
    <w:rsid w:val="20D359FB"/>
    <w:rsid w:val="20E556F1"/>
    <w:rsid w:val="21361C5E"/>
    <w:rsid w:val="2185500C"/>
    <w:rsid w:val="21893A13"/>
    <w:rsid w:val="219707AA"/>
    <w:rsid w:val="22046BDF"/>
    <w:rsid w:val="22386D07"/>
    <w:rsid w:val="22480419"/>
    <w:rsid w:val="22DC376E"/>
    <w:rsid w:val="22ED32DA"/>
    <w:rsid w:val="22FD3574"/>
    <w:rsid w:val="231C6AB5"/>
    <w:rsid w:val="233F30E4"/>
    <w:rsid w:val="23593C8E"/>
    <w:rsid w:val="23727724"/>
    <w:rsid w:val="239F40F6"/>
    <w:rsid w:val="23AA2793"/>
    <w:rsid w:val="23ED3B3C"/>
    <w:rsid w:val="24CA7BB8"/>
    <w:rsid w:val="24FA6D92"/>
    <w:rsid w:val="250550E5"/>
    <w:rsid w:val="2536069B"/>
    <w:rsid w:val="25374980"/>
    <w:rsid w:val="254734B9"/>
    <w:rsid w:val="2550672C"/>
    <w:rsid w:val="25624188"/>
    <w:rsid w:val="25BD0FD2"/>
    <w:rsid w:val="263B5F44"/>
    <w:rsid w:val="265A1DE6"/>
    <w:rsid w:val="26690F27"/>
    <w:rsid w:val="26694895"/>
    <w:rsid w:val="26A12F28"/>
    <w:rsid w:val="26AC79F8"/>
    <w:rsid w:val="26B91D54"/>
    <w:rsid w:val="26E75D9A"/>
    <w:rsid w:val="26E90667"/>
    <w:rsid w:val="26F43175"/>
    <w:rsid w:val="274A0B5C"/>
    <w:rsid w:val="279142F8"/>
    <w:rsid w:val="27FA7E2E"/>
    <w:rsid w:val="280B1A43"/>
    <w:rsid w:val="287A6F6C"/>
    <w:rsid w:val="288E0F4E"/>
    <w:rsid w:val="28B0474F"/>
    <w:rsid w:val="28EF5796"/>
    <w:rsid w:val="28F60FCD"/>
    <w:rsid w:val="29522941"/>
    <w:rsid w:val="29855A2C"/>
    <w:rsid w:val="29B92A03"/>
    <w:rsid w:val="29CE7219"/>
    <w:rsid w:val="2A5C719F"/>
    <w:rsid w:val="2A832D10"/>
    <w:rsid w:val="2AF12700"/>
    <w:rsid w:val="2B221E6C"/>
    <w:rsid w:val="2B3631F4"/>
    <w:rsid w:val="2B575927"/>
    <w:rsid w:val="2B797161"/>
    <w:rsid w:val="2B9D3E9D"/>
    <w:rsid w:val="2CE341B5"/>
    <w:rsid w:val="2D11017C"/>
    <w:rsid w:val="2D2626A0"/>
    <w:rsid w:val="2DDC0B49"/>
    <w:rsid w:val="2E407A81"/>
    <w:rsid w:val="2E6D5504"/>
    <w:rsid w:val="2E835E5F"/>
    <w:rsid w:val="2E8A38BB"/>
    <w:rsid w:val="2E9559D9"/>
    <w:rsid w:val="2E9F679E"/>
    <w:rsid w:val="2EA56E27"/>
    <w:rsid w:val="2F3015A3"/>
    <w:rsid w:val="2F5219B0"/>
    <w:rsid w:val="2F6A13F9"/>
    <w:rsid w:val="2FC41CB0"/>
    <w:rsid w:val="302144DC"/>
    <w:rsid w:val="30405DB5"/>
    <w:rsid w:val="30426D1D"/>
    <w:rsid w:val="30CF5A24"/>
    <w:rsid w:val="31097378"/>
    <w:rsid w:val="311D7D22"/>
    <w:rsid w:val="31312245"/>
    <w:rsid w:val="31376781"/>
    <w:rsid w:val="31526B96"/>
    <w:rsid w:val="315A6870"/>
    <w:rsid w:val="316E051C"/>
    <w:rsid w:val="31F16321"/>
    <w:rsid w:val="32035262"/>
    <w:rsid w:val="32273428"/>
    <w:rsid w:val="3270263D"/>
    <w:rsid w:val="328344B2"/>
    <w:rsid w:val="3286033C"/>
    <w:rsid w:val="328F0574"/>
    <w:rsid w:val="3296605F"/>
    <w:rsid w:val="331B4ED5"/>
    <w:rsid w:val="334151A1"/>
    <w:rsid w:val="33463EAF"/>
    <w:rsid w:val="33550FE6"/>
    <w:rsid w:val="336C141E"/>
    <w:rsid w:val="339C18CC"/>
    <w:rsid w:val="33A87FED"/>
    <w:rsid w:val="33C259F7"/>
    <w:rsid w:val="34127147"/>
    <w:rsid w:val="34201613"/>
    <w:rsid w:val="34291F23"/>
    <w:rsid w:val="34727D99"/>
    <w:rsid w:val="34750B27"/>
    <w:rsid w:val="347A39E3"/>
    <w:rsid w:val="349E222E"/>
    <w:rsid w:val="34B33411"/>
    <w:rsid w:val="34C51A78"/>
    <w:rsid w:val="34E0563C"/>
    <w:rsid w:val="34EB675E"/>
    <w:rsid w:val="351055D8"/>
    <w:rsid w:val="355F3301"/>
    <w:rsid w:val="35CD3B0F"/>
    <w:rsid w:val="35F40894"/>
    <w:rsid w:val="35F53BC7"/>
    <w:rsid w:val="35FC56A1"/>
    <w:rsid w:val="36771768"/>
    <w:rsid w:val="36D265FE"/>
    <w:rsid w:val="36E01197"/>
    <w:rsid w:val="37195DD0"/>
    <w:rsid w:val="37396667"/>
    <w:rsid w:val="375223CF"/>
    <w:rsid w:val="375F35B5"/>
    <w:rsid w:val="379E3A7A"/>
    <w:rsid w:val="37CA14FC"/>
    <w:rsid w:val="37F6376B"/>
    <w:rsid w:val="38005C99"/>
    <w:rsid w:val="3806789C"/>
    <w:rsid w:val="38324F36"/>
    <w:rsid w:val="396430B4"/>
    <w:rsid w:val="398C207A"/>
    <w:rsid w:val="399651CC"/>
    <w:rsid w:val="39E64E78"/>
    <w:rsid w:val="3A2F3A82"/>
    <w:rsid w:val="3A2F453A"/>
    <w:rsid w:val="3A6A61E5"/>
    <w:rsid w:val="3AC86100"/>
    <w:rsid w:val="3ACC2A06"/>
    <w:rsid w:val="3B20468F"/>
    <w:rsid w:val="3B316DAA"/>
    <w:rsid w:val="3B372FD2"/>
    <w:rsid w:val="3BAF51F7"/>
    <w:rsid w:val="3BC8097B"/>
    <w:rsid w:val="3C565716"/>
    <w:rsid w:val="3CA73211"/>
    <w:rsid w:val="3CC938CE"/>
    <w:rsid w:val="3CD97263"/>
    <w:rsid w:val="3D19224B"/>
    <w:rsid w:val="3DC06319"/>
    <w:rsid w:val="3E390124"/>
    <w:rsid w:val="3E3C7880"/>
    <w:rsid w:val="3E4F4139"/>
    <w:rsid w:val="3ED33ABA"/>
    <w:rsid w:val="3EDC31B1"/>
    <w:rsid w:val="3F366D42"/>
    <w:rsid w:val="3F3B3EDB"/>
    <w:rsid w:val="3F522DEF"/>
    <w:rsid w:val="3F8A45CE"/>
    <w:rsid w:val="3FBD5D22"/>
    <w:rsid w:val="3FD352E5"/>
    <w:rsid w:val="3FFF7279"/>
    <w:rsid w:val="40456F00"/>
    <w:rsid w:val="405B780B"/>
    <w:rsid w:val="407A2131"/>
    <w:rsid w:val="40B93161"/>
    <w:rsid w:val="40BB01C3"/>
    <w:rsid w:val="41670A1F"/>
    <w:rsid w:val="420B0DEA"/>
    <w:rsid w:val="423A0CFF"/>
    <w:rsid w:val="42414BD8"/>
    <w:rsid w:val="427B00CF"/>
    <w:rsid w:val="43016A94"/>
    <w:rsid w:val="430644A8"/>
    <w:rsid w:val="43076EE2"/>
    <w:rsid w:val="432F1E46"/>
    <w:rsid w:val="43484F6E"/>
    <w:rsid w:val="43562586"/>
    <w:rsid w:val="43A60B8B"/>
    <w:rsid w:val="43CA7AC6"/>
    <w:rsid w:val="43DD1CAC"/>
    <w:rsid w:val="43ED3FBD"/>
    <w:rsid w:val="44044239"/>
    <w:rsid w:val="442A5561"/>
    <w:rsid w:val="44524527"/>
    <w:rsid w:val="447F71E8"/>
    <w:rsid w:val="451A06ED"/>
    <w:rsid w:val="45245151"/>
    <w:rsid w:val="456926CF"/>
    <w:rsid w:val="458B1600"/>
    <w:rsid w:val="45A31E9F"/>
    <w:rsid w:val="45E06380"/>
    <w:rsid w:val="46132E83"/>
    <w:rsid w:val="46F648FA"/>
    <w:rsid w:val="47A4705A"/>
    <w:rsid w:val="480D1D44"/>
    <w:rsid w:val="4835453B"/>
    <w:rsid w:val="48652264"/>
    <w:rsid w:val="48683357"/>
    <w:rsid w:val="489F12B3"/>
    <w:rsid w:val="48B60ED8"/>
    <w:rsid w:val="48E038AF"/>
    <w:rsid w:val="49287F12"/>
    <w:rsid w:val="49466806"/>
    <w:rsid w:val="49582C60"/>
    <w:rsid w:val="495D6DB6"/>
    <w:rsid w:val="496E5595"/>
    <w:rsid w:val="497B6BF6"/>
    <w:rsid w:val="499F73AD"/>
    <w:rsid w:val="49B83F7E"/>
    <w:rsid w:val="4A007BF5"/>
    <w:rsid w:val="4A06662F"/>
    <w:rsid w:val="4A0D148A"/>
    <w:rsid w:val="4A4009DF"/>
    <w:rsid w:val="4A6F5CAB"/>
    <w:rsid w:val="4ABD162D"/>
    <w:rsid w:val="4B80633B"/>
    <w:rsid w:val="4BD02064"/>
    <w:rsid w:val="4BF23C29"/>
    <w:rsid w:val="4BF673B5"/>
    <w:rsid w:val="4C0A2CBC"/>
    <w:rsid w:val="4C0B3EB6"/>
    <w:rsid w:val="4C281795"/>
    <w:rsid w:val="4C4F3FC2"/>
    <w:rsid w:val="4CAB3057"/>
    <w:rsid w:val="4CC732A2"/>
    <w:rsid w:val="4D077EEE"/>
    <w:rsid w:val="4D0B68F4"/>
    <w:rsid w:val="4D0E0101"/>
    <w:rsid w:val="4D3C02CC"/>
    <w:rsid w:val="4D7311CC"/>
    <w:rsid w:val="4DB35E08"/>
    <w:rsid w:val="4DBC05B9"/>
    <w:rsid w:val="4DFD4F82"/>
    <w:rsid w:val="4E1131A0"/>
    <w:rsid w:val="4E470622"/>
    <w:rsid w:val="4E66112F"/>
    <w:rsid w:val="4EB57E15"/>
    <w:rsid w:val="4EFB1622"/>
    <w:rsid w:val="4F1D45B9"/>
    <w:rsid w:val="4F3141FC"/>
    <w:rsid w:val="4F3B33EB"/>
    <w:rsid w:val="4F5E5E3A"/>
    <w:rsid w:val="4F833B49"/>
    <w:rsid w:val="504D489E"/>
    <w:rsid w:val="505C2070"/>
    <w:rsid w:val="50AC6DEA"/>
    <w:rsid w:val="50B618F8"/>
    <w:rsid w:val="50B9327D"/>
    <w:rsid w:val="50D13718"/>
    <w:rsid w:val="514805FC"/>
    <w:rsid w:val="517B26E0"/>
    <w:rsid w:val="51950F66"/>
    <w:rsid w:val="5219373E"/>
    <w:rsid w:val="524C0A95"/>
    <w:rsid w:val="52780153"/>
    <w:rsid w:val="52EF7092"/>
    <w:rsid w:val="52F50359"/>
    <w:rsid w:val="53155F5F"/>
    <w:rsid w:val="532064EF"/>
    <w:rsid w:val="539677B2"/>
    <w:rsid w:val="539B5F4C"/>
    <w:rsid w:val="53C2259E"/>
    <w:rsid w:val="53F44044"/>
    <w:rsid w:val="53FB4F58"/>
    <w:rsid w:val="54047DE6"/>
    <w:rsid w:val="55F51240"/>
    <w:rsid w:val="561B6485"/>
    <w:rsid w:val="56376A81"/>
    <w:rsid w:val="566B4A32"/>
    <w:rsid w:val="567D1A39"/>
    <w:rsid w:val="56812378"/>
    <w:rsid w:val="56A64B36"/>
    <w:rsid w:val="56EF4E6F"/>
    <w:rsid w:val="575431DF"/>
    <w:rsid w:val="57597E5D"/>
    <w:rsid w:val="576079D6"/>
    <w:rsid w:val="57C205D4"/>
    <w:rsid w:val="57E25806"/>
    <w:rsid w:val="581A432A"/>
    <w:rsid w:val="58381A4A"/>
    <w:rsid w:val="58DF20B1"/>
    <w:rsid w:val="58EF2ED0"/>
    <w:rsid w:val="5910752F"/>
    <w:rsid w:val="59144A6B"/>
    <w:rsid w:val="59205884"/>
    <w:rsid w:val="597317D1"/>
    <w:rsid w:val="597E4543"/>
    <w:rsid w:val="598A3524"/>
    <w:rsid w:val="59EE2A23"/>
    <w:rsid w:val="59F60EF3"/>
    <w:rsid w:val="5A093EC3"/>
    <w:rsid w:val="5A1070D1"/>
    <w:rsid w:val="5A650D5A"/>
    <w:rsid w:val="5A86434D"/>
    <w:rsid w:val="5A8702A8"/>
    <w:rsid w:val="5ADF54B5"/>
    <w:rsid w:val="5AF50649"/>
    <w:rsid w:val="5B591D6B"/>
    <w:rsid w:val="5B8174BD"/>
    <w:rsid w:val="5B956ECD"/>
    <w:rsid w:val="5C6D5D06"/>
    <w:rsid w:val="5C882FDD"/>
    <w:rsid w:val="5CB22E1D"/>
    <w:rsid w:val="5CBD3C3C"/>
    <w:rsid w:val="5CE337EF"/>
    <w:rsid w:val="5D7A4CE1"/>
    <w:rsid w:val="5DCB48EE"/>
    <w:rsid w:val="5E0B4E24"/>
    <w:rsid w:val="5E0F1B60"/>
    <w:rsid w:val="5E7B340D"/>
    <w:rsid w:val="5EB35D09"/>
    <w:rsid w:val="5EC17405"/>
    <w:rsid w:val="5ECB7D14"/>
    <w:rsid w:val="5ECE5416"/>
    <w:rsid w:val="5EEB7403"/>
    <w:rsid w:val="5F095F47"/>
    <w:rsid w:val="5F0C6580"/>
    <w:rsid w:val="5F20411D"/>
    <w:rsid w:val="5F247745"/>
    <w:rsid w:val="5F43566A"/>
    <w:rsid w:val="5F5271CC"/>
    <w:rsid w:val="5FE307E1"/>
    <w:rsid w:val="5FEF45F4"/>
    <w:rsid w:val="5FFB2605"/>
    <w:rsid w:val="600C6122"/>
    <w:rsid w:val="608C2C29"/>
    <w:rsid w:val="60B91793"/>
    <w:rsid w:val="60CC4D75"/>
    <w:rsid w:val="60E67AA7"/>
    <w:rsid w:val="6124795C"/>
    <w:rsid w:val="61331572"/>
    <w:rsid w:val="613F1997"/>
    <w:rsid w:val="6142619F"/>
    <w:rsid w:val="614D07E8"/>
    <w:rsid w:val="61521F2D"/>
    <w:rsid w:val="61883090"/>
    <w:rsid w:val="618E39BF"/>
    <w:rsid w:val="618F2A1B"/>
    <w:rsid w:val="619E0AB7"/>
    <w:rsid w:val="61B16453"/>
    <w:rsid w:val="61E536FC"/>
    <w:rsid w:val="620C10EB"/>
    <w:rsid w:val="620D0C17"/>
    <w:rsid w:val="624548B3"/>
    <w:rsid w:val="627E6257"/>
    <w:rsid w:val="628D12AE"/>
    <w:rsid w:val="629E645C"/>
    <w:rsid w:val="62C9149E"/>
    <w:rsid w:val="62E5554B"/>
    <w:rsid w:val="631B084A"/>
    <w:rsid w:val="632A023E"/>
    <w:rsid w:val="63894210"/>
    <w:rsid w:val="63CD32CA"/>
    <w:rsid w:val="63DD04FD"/>
    <w:rsid w:val="63F6448F"/>
    <w:rsid w:val="64133A3F"/>
    <w:rsid w:val="643D2685"/>
    <w:rsid w:val="643E4883"/>
    <w:rsid w:val="6495118C"/>
    <w:rsid w:val="64BF1959"/>
    <w:rsid w:val="64C14621"/>
    <w:rsid w:val="64EF46A6"/>
    <w:rsid w:val="65014B04"/>
    <w:rsid w:val="65017F33"/>
    <w:rsid w:val="65143FAD"/>
    <w:rsid w:val="65225514"/>
    <w:rsid w:val="653A47CB"/>
    <w:rsid w:val="655A3D56"/>
    <w:rsid w:val="657938B0"/>
    <w:rsid w:val="65A137B1"/>
    <w:rsid w:val="65CD5630"/>
    <w:rsid w:val="65FC7340"/>
    <w:rsid w:val="662117DA"/>
    <w:rsid w:val="663C214A"/>
    <w:rsid w:val="66682C0E"/>
    <w:rsid w:val="66A32DF3"/>
    <w:rsid w:val="66A717F9"/>
    <w:rsid w:val="66A9578C"/>
    <w:rsid w:val="67057615"/>
    <w:rsid w:val="6734105D"/>
    <w:rsid w:val="67896ED4"/>
    <w:rsid w:val="67AA451F"/>
    <w:rsid w:val="67FA4DDD"/>
    <w:rsid w:val="67FA7C0D"/>
    <w:rsid w:val="68251C6A"/>
    <w:rsid w:val="683C5113"/>
    <w:rsid w:val="685C1DC4"/>
    <w:rsid w:val="688556A7"/>
    <w:rsid w:val="688E2042"/>
    <w:rsid w:val="6895189D"/>
    <w:rsid w:val="68BC0EE4"/>
    <w:rsid w:val="68FC334A"/>
    <w:rsid w:val="69473E9F"/>
    <w:rsid w:val="698718B2"/>
    <w:rsid w:val="69AC4F69"/>
    <w:rsid w:val="69D72936"/>
    <w:rsid w:val="6A4C28F4"/>
    <w:rsid w:val="6A572E84"/>
    <w:rsid w:val="6A5C730C"/>
    <w:rsid w:val="6A8E01AC"/>
    <w:rsid w:val="6ABE3B2D"/>
    <w:rsid w:val="6B2D6E6C"/>
    <w:rsid w:val="6B4F2A74"/>
    <w:rsid w:val="6B7460C1"/>
    <w:rsid w:val="6B7912ED"/>
    <w:rsid w:val="6BA359B8"/>
    <w:rsid w:val="6C035B7A"/>
    <w:rsid w:val="6C303D8F"/>
    <w:rsid w:val="6C6A6233"/>
    <w:rsid w:val="6C6C0792"/>
    <w:rsid w:val="6C9E1E44"/>
    <w:rsid w:val="6CAB2100"/>
    <w:rsid w:val="6CE33832"/>
    <w:rsid w:val="6D1F1846"/>
    <w:rsid w:val="6D8E77D0"/>
    <w:rsid w:val="6D9A555F"/>
    <w:rsid w:val="6DC70BD2"/>
    <w:rsid w:val="6DFD7CD4"/>
    <w:rsid w:val="6E046353"/>
    <w:rsid w:val="6E3034D4"/>
    <w:rsid w:val="6F5161E8"/>
    <w:rsid w:val="6F722BE7"/>
    <w:rsid w:val="6FF51B3B"/>
    <w:rsid w:val="6FFC72C8"/>
    <w:rsid w:val="704A3BFB"/>
    <w:rsid w:val="709561C1"/>
    <w:rsid w:val="709642CC"/>
    <w:rsid w:val="70CF70D5"/>
    <w:rsid w:val="70F85622"/>
    <w:rsid w:val="711F0324"/>
    <w:rsid w:val="7156627F"/>
    <w:rsid w:val="71812947"/>
    <w:rsid w:val="719B567C"/>
    <w:rsid w:val="72210801"/>
    <w:rsid w:val="72827EA0"/>
    <w:rsid w:val="72CE224D"/>
    <w:rsid w:val="72E91E80"/>
    <w:rsid w:val="73022ABD"/>
    <w:rsid w:val="73E55634"/>
    <w:rsid w:val="7408726D"/>
    <w:rsid w:val="747E7F88"/>
    <w:rsid w:val="74905ACD"/>
    <w:rsid w:val="74C3179F"/>
    <w:rsid w:val="74FF3B82"/>
    <w:rsid w:val="755D77B8"/>
    <w:rsid w:val="761D2C35"/>
    <w:rsid w:val="765C023B"/>
    <w:rsid w:val="7684397E"/>
    <w:rsid w:val="76B344CD"/>
    <w:rsid w:val="77150CEF"/>
    <w:rsid w:val="774477A2"/>
    <w:rsid w:val="77492D2D"/>
    <w:rsid w:val="77524F4D"/>
    <w:rsid w:val="775B5A6C"/>
    <w:rsid w:val="777C1998"/>
    <w:rsid w:val="77EF6453"/>
    <w:rsid w:val="78177B29"/>
    <w:rsid w:val="782352CE"/>
    <w:rsid w:val="782A33A6"/>
    <w:rsid w:val="782E17BB"/>
    <w:rsid w:val="783A2119"/>
    <w:rsid w:val="784D09EB"/>
    <w:rsid w:val="78535B94"/>
    <w:rsid w:val="785E0C86"/>
    <w:rsid w:val="786A5D9D"/>
    <w:rsid w:val="787F629A"/>
    <w:rsid w:val="78A83684"/>
    <w:rsid w:val="78AA535B"/>
    <w:rsid w:val="78D9250F"/>
    <w:rsid w:val="78DC2FDD"/>
    <w:rsid w:val="78DC7260"/>
    <w:rsid w:val="7900411B"/>
    <w:rsid w:val="790D0E29"/>
    <w:rsid w:val="79395171"/>
    <w:rsid w:val="79A35C57"/>
    <w:rsid w:val="79B85C40"/>
    <w:rsid w:val="7A385137"/>
    <w:rsid w:val="7A4D5F33"/>
    <w:rsid w:val="7AFC2853"/>
    <w:rsid w:val="7B425546"/>
    <w:rsid w:val="7B4A194A"/>
    <w:rsid w:val="7B5016A8"/>
    <w:rsid w:val="7B647B37"/>
    <w:rsid w:val="7B825B7C"/>
    <w:rsid w:val="7B931FE5"/>
    <w:rsid w:val="7B9F28DD"/>
    <w:rsid w:val="7BBF3DB1"/>
    <w:rsid w:val="7BC24B9B"/>
    <w:rsid w:val="7BE372CE"/>
    <w:rsid w:val="7C440773"/>
    <w:rsid w:val="7C981154"/>
    <w:rsid w:val="7C9B635C"/>
    <w:rsid w:val="7CB55428"/>
    <w:rsid w:val="7CCC5756"/>
    <w:rsid w:val="7D0C38B8"/>
    <w:rsid w:val="7D466F15"/>
    <w:rsid w:val="7D805BC0"/>
    <w:rsid w:val="7D9A0522"/>
    <w:rsid w:val="7DAE7CF4"/>
    <w:rsid w:val="7DC971F1"/>
    <w:rsid w:val="7DD76804"/>
    <w:rsid w:val="7DEB54A4"/>
    <w:rsid w:val="7E125364"/>
    <w:rsid w:val="7E93243A"/>
    <w:rsid w:val="7EB03B57"/>
    <w:rsid w:val="7EBA0FF5"/>
    <w:rsid w:val="7F3412A1"/>
    <w:rsid w:val="7FD32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1"/>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正文文本 字符"/>
    <w:link w:val="2"/>
    <w:qFormat/>
    <w:uiPriority w:val="1"/>
    <w:rPr>
      <w:rFonts w:ascii="宋体" w:hAnsi="Times New Roman" w:eastAsia="宋体" w:cs="Times New Roman"/>
      <w:kern w:val="0"/>
      <w:sz w:val="20"/>
      <w:szCs w:val="21"/>
    </w:rPr>
  </w:style>
  <w:style w:type="character" w:customStyle="1" w:styleId="23">
    <w:name w:val="标题 1 字符"/>
    <w:link w:val="3"/>
    <w:qFormat/>
    <w:uiPriority w:val="1"/>
    <w:rPr>
      <w:rFonts w:ascii="黑体" w:hAnsi="Times New Roman" w:eastAsia="黑体" w:cs="Times New Roman"/>
      <w:b/>
      <w:bCs/>
      <w:kern w:val="0"/>
      <w:sz w:val="36"/>
      <w:szCs w:val="36"/>
    </w:rPr>
  </w:style>
  <w:style w:type="character" w:customStyle="1" w:styleId="24">
    <w:name w:val="标题 2 字符"/>
    <w:link w:val="4"/>
    <w:qFormat/>
    <w:uiPriority w:val="9"/>
    <w:rPr>
      <w:rFonts w:ascii="Cambria" w:hAnsi="Cambria" w:eastAsia="宋体" w:cs="Times New Roman"/>
      <w:b/>
      <w:bCs/>
      <w:kern w:val="0"/>
      <w:sz w:val="32"/>
      <w:szCs w:val="32"/>
    </w:rPr>
  </w:style>
  <w:style w:type="character" w:customStyle="1" w:styleId="25">
    <w:name w:val="标题 3 字符"/>
    <w:link w:val="5"/>
    <w:qFormat/>
    <w:uiPriority w:val="1"/>
    <w:rPr>
      <w:rFonts w:ascii="宋体" w:hAnsi="Times New Roman" w:eastAsia="宋体" w:cs="Times New Roman"/>
      <w:b/>
      <w:bCs/>
      <w:kern w:val="0"/>
      <w:sz w:val="20"/>
      <w:szCs w:val="21"/>
    </w:rPr>
  </w:style>
  <w:style w:type="character" w:customStyle="1" w:styleId="26">
    <w:name w:val="批注文字 字符"/>
    <w:link w:val="6"/>
    <w:qFormat/>
    <w:uiPriority w:val="99"/>
    <w:rPr>
      <w:rFonts w:ascii="Times New Roman" w:hAnsi="Times New Roman" w:eastAsia="宋体" w:cs="Times New Roman"/>
    </w:rPr>
  </w:style>
  <w:style w:type="character" w:customStyle="1" w:styleId="27">
    <w:name w:val="日期 字符"/>
    <w:basedOn w:val="17"/>
    <w:link w:val="7"/>
    <w:semiHidden/>
    <w:qFormat/>
    <w:uiPriority w:val="99"/>
    <w:rPr>
      <w:rFonts w:ascii="Times New Roman" w:hAnsi="Times New Roman" w:eastAsia="宋体" w:cs="Times New Roman"/>
    </w:rPr>
  </w:style>
  <w:style w:type="character" w:customStyle="1" w:styleId="28">
    <w:name w:val="批注框文本 字符"/>
    <w:link w:val="8"/>
    <w:semiHidden/>
    <w:qFormat/>
    <w:uiPriority w:val="99"/>
    <w:rPr>
      <w:rFonts w:ascii="Times New Roman" w:hAnsi="Times New Roman" w:eastAsia="宋体" w:cs="Times New Roman"/>
      <w:kern w:val="0"/>
      <w:sz w:val="18"/>
      <w:szCs w:val="18"/>
    </w:rPr>
  </w:style>
  <w:style w:type="character" w:customStyle="1" w:styleId="29">
    <w:name w:val="页脚 字符"/>
    <w:link w:val="9"/>
    <w:qFormat/>
    <w:uiPriority w:val="99"/>
    <w:rPr>
      <w:rFonts w:ascii="Times New Roman" w:hAnsi="Times New Roman" w:eastAsia="宋体" w:cs="Times New Roman"/>
      <w:kern w:val="0"/>
      <w:sz w:val="18"/>
      <w:szCs w:val="18"/>
    </w:rPr>
  </w:style>
  <w:style w:type="character" w:customStyle="1" w:styleId="30">
    <w:name w:val="页眉 字符"/>
    <w:link w:val="10"/>
    <w:qFormat/>
    <w:uiPriority w:val="99"/>
    <w:rPr>
      <w:rFonts w:ascii="Times New Roman" w:hAnsi="Times New Roman" w:eastAsia="宋体" w:cs="Times New Roman"/>
      <w:kern w:val="0"/>
      <w:sz w:val="18"/>
      <w:szCs w:val="18"/>
    </w:rPr>
  </w:style>
  <w:style w:type="character" w:customStyle="1" w:styleId="31">
    <w:name w:val="脚注文本 字符1"/>
    <w:link w:val="11"/>
    <w:qFormat/>
    <w:uiPriority w:val="99"/>
    <w:rPr>
      <w:rFonts w:ascii="Times New Roman" w:hAnsi="Times New Roman" w:eastAsia="宋体" w:cs="Times New Roman"/>
      <w:sz w:val="18"/>
      <w:szCs w:val="18"/>
    </w:rPr>
  </w:style>
  <w:style w:type="character" w:customStyle="1" w:styleId="32">
    <w:name w:val="批注主题 字符"/>
    <w:link w:val="14"/>
    <w:semiHidden/>
    <w:qFormat/>
    <w:uiPriority w:val="99"/>
    <w:rPr>
      <w:rFonts w:ascii="Times New Roman" w:hAnsi="Times New Roman" w:eastAsia="宋体" w:cs="Times New Roman"/>
      <w:b/>
      <w:bCs/>
    </w:rPr>
  </w:style>
  <w:style w:type="character" w:customStyle="1" w:styleId="33">
    <w:name w:val="脚注文本 字符"/>
    <w:semiHidden/>
    <w:qFormat/>
    <w:uiPriority w:val="99"/>
    <w:rPr>
      <w:rFonts w:ascii="Times New Roman" w:hAnsi="Times New Roman" w:eastAsia="宋体" w:cs="Times New Roman"/>
      <w:kern w:val="2"/>
      <w:sz w:val="18"/>
      <w:szCs w:val="18"/>
    </w:rPr>
  </w:style>
  <w:style w:type="paragraph" w:customStyle="1" w:styleId="34">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5">
    <w:name w:val="List Paragraph"/>
    <w:basedOn w:val="1"/>
    <w:qFormat/>
    <w:uiPriority w:val="72"/>
    <w:pPr>
      <w:ind w:firstLine="420" w:firstLineChars="200"/>
    </w:p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7">
    <w:name w:val="_Style 35"/>
    <w:semiHidden/>
    <w:qFormat/>
    <w:uiPriority w:val="99"/>
    <w:rPr>
      <w:rFonts w:ascii="Times New Roman" w:hAnsi="Times New Roman" w:eastAsia="宋体" w:cs="Times New Roman"/>
      <w:kern w:val="2"/>
      <w:sz w:val="21"/>
      <w:szCs w:val="22"/>
      <w:lang w:val="en-US" w:eastAsia="zh-CN" w:bidi="ar-SA"/>
    </w:rPr>
  </w:style>
  <w:style w:type="paragraph" w:customStyle="1" w:styleId="38">
    <w:name w:val="_Style 33"/>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Char"/>
    <w:link w:val="3"/>
    <w:qFormat/>
    <w:uiPriority w:val="1"/>
    <w:rPr>
      <w:rFonts w:ascii="黑体" w:hAnsi="Times New Roman" w:eastAsia="黑体" w:cs="黑体"/>
      <w:b/>
      <w:bCs/>
      <w:kern w:val="0"/>
      <w:sz w:val="36"/>
      <w:szCs w:val="36"/>
    </w:rPr>
  </w:style>
  <w:style w:type="character" w:customStyle="1" w:styleId="40">
    <w:name w:val="标题 2 Char"/>
    <w:link w:val="4"/>
    <w:qFormat/>
    <w:uiPriority w:val="9"/>
    <w:rPr>
      <w:rFonts w:ascii="Cambria" w:hAnsi="Cambria" w:eastAsia="宋体" w:cs="Times New Roman"/>
      <w:b/>
      <w:bCs/>
      <w:sz w:val="32"/>
      <w:szCs w:val="32"/>
    </w:rPr>
  </w:style>
  <w:style w:type="character" w:customStyle="1" w:styleId="41">
    <w:name w:val="标题 3 Char"/>
    <w:link w:val="5"/>
    <w:qFormat/>
    <w:uiPriority w:val="1"/>
    <w:rPr>
      <w:rFonts w:ascii="宋体" w:hAnsi="Times New Roman" w:eastAsia="宋体" w:cs="宋体"/>
      <w:b/>
      <w:bCs/>
      <w:kern w:val="0"/>
      <w:szCs w:val="21"/>
    </w:rPr>
  </w:style>
  <w:style w:type="character" w:customStyle="1" w:styleId="42">
    <w:name w:val="批注文字 Char"/>
    <w:link w:val="6"/>
    <w:qFormat/>
    <w:uiPriority w:val="99"/>
    <w:rPr>
      <w:rFonts w:ascii="Times New Roman" w:hAnsi="Times New Roman" w:eastAsia="宋体" w:cs="Times New Roman"/>
      <w:kern w:val="2"/>
      <w:sz w:val="21"/>
      <w:szCs w:val="22"/>
    </w:rPr>
  </w:style>
  <w:style w:type="character" w:customStyle="1" w:styleId="43">
    <w:name w:val="正文文本 Char"/>
    <w:link w:val="2"/>
    <w:qFormat/>
    <w:uiPriority w:val="1"/>
    <w:rPr>
      <w:rFonts w:ascii="宋体" w:hAnsi="Times New Roman" w:eastAsia="宋体" w:cs="宋体"/>
      <w:kern w:val="0"/>
      <w:szCs w:val="21"/>
    </w:rPr>
  </w:style>
  <w:style w:type="character" w:customStyle="1" w:styleId="44">
    <w:name w:val="日期 Char"/>
    <w:basedOn w:val="17"/>
    <w:link w:val="7"/>
    <w:semiHidden/>
    <w:qFormat/>
    <w:uiPriority w:val="99"/>
    <w:rPr>
      <w:rFonts w:ascii="Times New Roman" w:hAnsi="Times New Roman" w:eastAsia="宋体" w:cs="Times New Roman"/>
    </w:rPr>
  </w:style>
  <w:style w:type="character" w:customStyle="1" w:styleId="45">
    <w:name w:val="批注框文本 Char"/>
    <w:link w:val="8"/>
    <w:semiHidden/>
    <w:qFormat/>
    <w:uiPriority w:val="99"/>
    <w:rPr>
      <w:rFonts w:ascii="Times New Roman" w:hAnsi="Times New Roman" w:eastAsia="宋体" w:cs="Times New Roman"/>
      <w:sz w:val="18"/>
      <w:szCs w:val="18"/>
    </w:rPr>
  </w:style>
  <w:style w:type="character" w:customStyle="1" w:styleId="46">
    <w:name w:val="页脚 Char"/>
    <w:link w:val="9"/>
    <w:qFormat/>
    <w:uiPriority w:val="99"/>
    <w:rPr>
      <w:rFonts w:ascii="Times New Roman" w:hAnsi="Times New Roman" w:eastAsia="宋体" w:cs="Times New Roman"/>
      <w:sz w:val="18"/>
      <w:szCs w:val="18"/>
    </w:rPr>
  </w:style>
  <w:style w:type="character" w:customStyle="1" w:styleId="47">
    <w:name w:val="页眉 Char"/>
    <w:link w:val="10"/>
    <w:qFormat/>
    <w:uiPriority w:val="99"/>
    <w:rPr>
      <w:rFonts w:ascii="Times New Roman" w:hAnsi="Times New Roman" w:eastAsia="宋体" w:cs="Times New Roman"/>
      <w:sz w:val="18"/>
      <w:szCs w:val="18"/>
    </w:rPr>
  </w:style>
  <w:style w:type="character" w:customStyle="1" w:styleId="48">
    <w:name w:val="批注主题 Char"/>
    <w:link w:val="14"/>
    <w:semiHidden/>
    <w:qFormat/>
    <w:uiPriority w:val="99"/>
    <w:rPr>
      <w:rFonts w:ascii="Times New Roman" w:hAnsi="Times New Roman" w:eastAsia="宋体" w:cs="Times New Roman"/>
      <w:b/>
      <w:bCs/>
      <w:kern w:val="2"/>
      <w:sz w:val="21"/>
      <w:szCs w:val="22"/>
    </w:rPr>
  </w:style>
  <w:style w:type="paragraph" w:customStyle="1" w:styleId="49">
    <w:name w:val="_Style 27"/>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21563</Words>
  <Characters>22897</Characters>
  <Lines>37</Lines>
  <Paragraphs>10</Paragraphs>
  <TotalTime>1</TotalTime>
  <ScaleCrop>false</ScaleCrop>
  <LinksUpToDate>false</LinksUpToDate>
  <CharactersWithSpaces>22916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2022-06-24T09:49:00Z</dcterms:created>
  <dc:creator>JSYH</dc:creator>
  <cp:lastModifiedBy>sylc</cp:lastModifiedBy>
  <cp:lastPrinted>2026-01-27T02:32:00Z</cp:lastPrinted>
  <dcterms:modified xsi:type="dcterms:W3CDTF">2026-01-27T05:19:29Z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57DE483545F742868D80F7217A5BA398</vt:lpwstr>
  </property>
</Properties>
</file>