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苏银理财恒源1年定开38期</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A份额：苏银理财恒源1年定开38期A/J02200</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B份额：苏银理财恒源1年定开38期B/J02201</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C份额：苏银理财恒源1年定开38期C/J13215</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D份额：苏银理财恒源1年定开38期D/J03021</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F份额：苏银理财恒源1年定开38期F/J03022</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J份额：苏银理财恒源1年定开38期J/J03023</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ZA鑫福款（自动赎回）份额：苏银理财恒源1年定开38期ZA鑫福款（自动赎回）/J03024</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ZC鑫福优享（自动赎回）份额：苏银理财恒源1年定开38期ZC鑫福优享（自动赎回）/J13315</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ZF份额：苏银理财恒源1年定开38期ZF/J03025</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ZK鑫福尊享（自动赎回）份额：苏银理财恒源1年定开38期ZK鑫福尊享（自动赎回）/J13316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Z7003122000164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2026年2月4日至2026年2月12日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2026年2月13日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2033年1月27日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eastAsia"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hint="default" w:ascii="仿宋_GB2312" w:hAnsi="仿宋" w:eastAsia="仿宋_GB2312" w:cs="Times New Roman"/>
                <w:kern w:val="0"/>
                <w:sz w:val="20"/>
                <w:szCs w:val="21"/>
                <w:lang w:val="en-US" w:eastAsia="zh-CN" w:bidi="ar-SA"/>
              </w:rPr>
            </w:pPr>
            <w:r>
              <w:rPr>
                <w:rFonts w:hint="eastAsia" w:ascii="楷体" w:hAnsi="楷体" w:eastAsia="楷体" w:cs="宋体"/>
                <w:spacing w:val="-2"/>
                <w:sz w:val="20"/>
                <w:szCs w:val="20"/>
                <w:lang w:val="en-US" w:eastAsia="zh-CN"/>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keepNext w:val="0"/>
              <w:keepLines w:val="0"/>
              <w:pageBreakBefore w:val="0"/>
              <w:widowControl/>
              <w:kinsoku/>
              <w:wordWrap/>
              <w:overflowPunct/>
              <w:topLinePunct w:val="0"/>
              <w:bidi w:val="0"/>
              <w:snapToGrid/>
              <w:spacing w:line="320" w:lineRule="exact"/>
              <w:jc w:val="both"/>
              <w:textAlignment w:val="auto"/>
              <w:rPr>
                <w:rFonts w:hint="eastAsia" w:ascii="楷体" w:hAnsi="楷体" w:eastAsia="楷体" w:cs="宋体"/>
                <w:spacing w:val="-2"/>
                <w:kern w:val="2"/>
                <w:sz w:val="20"/>
                <w:szCs w:val="20"/>
                <w:lang w:val="en-US" w:eastAsia="zh-CN" w:bidi="ar-SA"/>
              </w:rPr>
            </w:pPr>
            <w:r>
              <w:rPr>
                <w:rFonts w:hint="eastAsia" w:ascii="仿宋_GB2312" w:hAnsi="仿宋" w:eastAsia="仿宋_GB2312"/>
                <w:b/>
                <w:kern w:val="0"/>
                <w:sz w:val="20"/>
                <w:szCs w:val="21"/>
                <w:lang w:val="en-US" w:eastAsia="zh-CN"/>
              </w:rPr>
              <w:t>投资起点</w:t>
            </w:r>
          </w:p>
        </w:tc>
        <w:tc>
          <w:tcPr>
            <w:tcW w:w="6095" w:type="dxa"/>
            <w:vAlign w:val="center"/>
          </w:tcPr>
          <w:p>
            <w:pPr>
              <w:keepNext w:val="0"/>
              <w:keepLines w:val="0"/>
              <w:pageBreakBefore w:val="0"/>
              <w:widowControl/>
              <w:kinsoku/>
              <w:wordWrap/>
              <w:overflowPunct/>
              <w:topLinePunct w:val="0"/>
              <w:bidi w:val="0"/>
              <w:snapToGrid/>
              <w:spacing w:line="320" w:lineRule="exact"/>
              <w:jc w:val="both"/>
              <w:textAlignment w:val="auto"/>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A/F/ZA/ZF份额认购起点100元，追加金额为100元的整数倍。</w:t>
            </w:r>
          </w:p>
          <w:p>
            <w:pPr>
              <w:keepNext w:val="0"/>
              <w:keepLines w:val="0"/>
              <w:pageBreakBefore w:val="0"/>
              <w:widowControl/>
              <w:kinsoku/>
              <w:wordWrap/>
              <w:overflowPunct/>
              <w:topLinePunct w:val="0"/>
              <w:bidi w:val="0"/>
              <w:snapToGrid/>
              <w:spacing w:line="320" w:lineRule="exact"/>
              <w:jc w:val="both"/>
              <w:textAlignment w:val="auto"/>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B份额认购起点200000元，追加金额为10000元的整数倍。</w:t>
            </w:r>
          </w:p>
          <w:p>
            <w:pPr>
              <w:keepNext w:val="0"/>
              <w:keepLines w:val="0"/>
              <w:pageBreakBefore w:val="0"/>
              <w:widowControl/>
              <w:kinsoku/>
              <w:wordWrap/>
              <w:overflowPunct/>
              <w:topLinePunct w:val="0"/>
              <w:bidi w:val="0"/>
              <w:snapToGrid/>
              <w:spacing w:line="320" w:lineRule="exact"/>
              <w:jc w:val="both"/>
              <w:textAlignment w:val="auto"/>
              <w:rPr>
                <w:rFonts w:hint="default"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C/ZC份额认购起点10000元，追加金额为1元的整数倍。(C份额面向新客户新资金客户销售，ZC份额面向江苏农商特定客群销售。）</w:t>
            </w:r>
          </w:p>
          <w:p>
            <w:pPr>
              <w:keepNext w:val="0"/>
              <w:keepLines w:val="0"/>
              <w:pageBreakBefore w:val="0"/>
              <w:widowControl/>
              <w:kinsoku/>
              <w:wordWrap/>
              <w:overflowPunct/>
              <w:topLinePunct w:val="0"/>
              <w:bidi w:val="0"/>
              <w:snapToGrid/>
              <w:spacing w:line="320" w:lineRule="exact"/>
              <w:jc w:val="both"/>
              <w:textAlignment w:val="auto"/>
              <w:rPr>
                <w:rFonts w:hint="eastAsia" w:ascii="楷体" w:hAnsi="楷体" w:eastAsia="楷体" w:cs="宋体"/>
                <w:spacing w:val="-2"/>
                <w:kern w:val="2"/>
                <w:sz w:val="20"/>
                <w:szCs w:val="20"/>
                <w:lang w:val="en-US" w:eastAsia="zh-CN" w:bidi="ar-SA"/>
              </w:rPr>
            </w:pPr>
            <w:r>
              <w:rPr>
                <w:rFonts w:hint="eastAsia" w:ascii="楷体" w:hAnsi="楷体" w:eastAsia="楷体" w:cs="宋体"/>
                <w:spacing w:val="-2"/>
                <w:sz w:val="20"/>
                <w:szCs w:val="20"/>
                <w:lang w:val="en-US" w:eastAsia="zh-CN"/>
              </w:rPr>
              <w:t>D/J/ZK份额认购起点500000元，追加金额为10000元的整数倍。其中D份额面向高净值客户和白名单客户销售。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eastAsia"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hint="eastAsia" w:ascii="楷体" w:hAnsi="楷体" w:eastAsia="楷体" w:cs="宋体"/>
                <w:spacing w:val="-2"/>
                <w:kern w:val="2"/>
                <w:sz w:val="20"/>
                <w:szCs w:val="20"/>
                <w:lang w:val="en-US" w:eastAsia="zh-CN" w:bidi="ar-SA"/>
              </w:rPr>
            </w:pPr>
            <w:r>
              <w:rPr>
                <w:rFonts w:hint="eastAsia" w:ascii="楷体" w:hAnsi="楷体" w:eastAsia="楷体" w:cs="宋体"/>
                <w:spacing w:val="-2"/>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eastAsia"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hint="eastAsia" w:ascii="楷体" w:hAnsi="楷体" w:eastAsia="楷体" w:cs="宋体"/>
                <w:spacing w:val="-2"/>
                <w:kern w:val="2"/>
                <w:sz w:val="20"/>
                <w:szCs w:val="20"/>
                <w:lang w:val="en-US" w:eastAsia="zh-CN" w:bidi="ar-SA"/>
              </w:rPr>
            </w:pPr>
            <w:r>
              <w:rPr>
                <w:rFonts w:hint="eastAsia" w:ascii="楷体" w:hAnsi="楷体" w:eastAsia="楷体" w:cs="宋体"/>
                <w:spacing w:val="-2"/>
                <w:sz w:val="20"/>
                <w:szCs w:val="20"/>
                <w:lang w:val="en-US" w:eastAsia="zh-CN"/>
              </w:rPr>
              <w:t>本理财产品直接或间接投资于固定收益类资产，包括货币市场工具类资产、标准化债权类资产、非标准化债权类资产和监管机构允许投资的其他资产。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eastAsia"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楷体" w:hAnsi="楷体" w:eastAsia="楷体" w:cs="宋体"/>
                <w:spacing w:val="-2"/>
                <w:kern w:val="2"/>
                <w:sz w:val="20"/>
                <w:szCs w:val="20"/>
                <w:lang w:val="en-US" w:eastAsia="zh-CN" w:bidi="ar-SA"/>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highlight w:val="none"/>
              </w:rPr>
              <w:t>代销服务费率</w:t>
            </w:r>
          </w:p>
        </w:tc>
        <w:tc>
          <w:tcPr>
            <w:tcW w:w="6095" w:type="dxa"/>
            <w:vAlign w:val="center"/>
          </w:tcPr>
          <w:p>
            <w:pPr>
              <w:spacing w:line="320" w:lineRule="exact"/>
              <w:jc w:val="both"/>
              <w:rPr>
                <w:rFonts w:hint="default"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A/F/ZA/ZF份额：0.30%/年；B/ZC份额：0.25%/年；D/J份额：0.20%/年；C/ZK：0.15%/年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【销售服务费和投资管理费分成（差额补足）】</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楷体" w:hAnsi="楷体" w:eastAsia="楷体" w:cs="宋体"/>
                <w:spacing w:val="-2"/>
                <w:kern w:val="2"/>
                <w:sz w:val="20"/>
                <w:szCs w:val="20"/>
                <w:lang w:val="en-US" w:eastAsia="zh-CN" w:bidi="ar-SA"/>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A份额：2.45%-3.05%，2026年2月13日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B份额：2.48%-3.08%，2026年2月13日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C份额：2.50%-3.10%，2026年2月13日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D份额：2.60%-3.20%，2026年2月13日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F份额：2.45%-3.05%，2026年2月13日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J份额：2.55%-3.15%，2026年2月13日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ZA鑫福款（自动赎回）份额：2.45%-3.05%，2026年2月13日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ZC鑫福优享（自动赎回）份额：2.50%-3.10%，2026年2月13日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w:t>
            </w:r>
            <w:bookmarkStart w:id="0" w:name="_GoBack"/>
            <w:bookmarkEnd w:id="0"/>
            <w:r>
              <w:rPr>
                <w:rFonts w:hint="eastAsia" w:ascii="楷体" w:hAnsi="楷体" w:eastAsia="楷体" w:cs="宋体"/>
                <w:spacing w:val="-2"/>
                <w:sz w:val="20"/>
                <w:szCs w:val="20"/>
                <w:lang w:val="en-US" w:eastAsia="zh-CN"/>
              </w:rPr>
              <w:t>F份额：2.45%-3.05%，2026年2月13日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ZK鑫福尊享（自动赎回）份额：2.60%-3.20%，2026年2月13日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D4A6FB7"/>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2026-01-30T08:09:46Z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