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ad322d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ad322d3"/>
        <w:spacing w:line="200" w:lineRule="exact"/>
        <w:ind w:firstLineChars="200" w:firstLine="260"/>
        <w:rPr>
          <w:rFonts w:ascii="方正黑体_GBK" w:hint="eastAsia" w:hAnsi="方正黑体_GBK" w:eastAsia="方正黑体_GBK"/>
          <w:b/>
          <w:bCs/>
          <w:color w:val="3D3D3D"/>
          <w:kern w:val="0"/>
          <w:sz w:val="13"/>
          <w:szCs w:val="13"/>
        </w:rPr>
      </w:pPr>
      <w:bookmarkStart w:id="0" w:name="_GoBack"/>
      <w:bookmarkEnd w:id="0"/>
      <w:r>
        <w:rPr>
          <w:rFonts w:ascii="方正黑体_GBK" w:hint="eastAsia" w:hAnsi="方正黑体_GBK" w:eastAsia="方正黑体_GBK"/>
          <w:b/>
          <w:bCs/>
          <w:color w:val="3D3D3D"/>
          <w:kern w:val="0"/>
          <w:sz w:val="13"/>
          <w:szCs w:val="13"/>
        </w:rPr>
        <w:t>4.非标准化债权类资产无法投资的风险</w:t>
      </w:r>
    </w:p>
    <w:p>
      <w:pPr>
        <w:pStyle w:val="cad322d3"/>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cad322d3"/>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pPr>
        <w:pStyle w:val="cad322d3"/>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（2）若本理财产品已成立，则管理人有权提前终止本理财产品，自产品成立至提前终止日期间不计任何收益。</w:t>
      </w:r>
    </w:p>
    <w:p>
      <w:pPr>
        <w:pStyle w:val="cad322d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ad322d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1108天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ad322d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ad322d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ad322d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ad322d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ad322d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ad322d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ad322d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ad322d3"/>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195b562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195b562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6b94b91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南银理财鼎瑞安心三年24期封闭式公募人民币理财产品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ZZ700322600032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Z7003226000071(投资者可依据该编码在中国理财网www.chinawealth.com.cn查询理财产品相关信息）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A份额：AX30024</w:t>
            </w:r>
          </w:p>
          <w:p>
            <w:pPr>
              <w:pStyle w:val="null10"/>
              <w:spacing w:lineRule="exact" w:line="200"/>
            </w:pPr>
            <w:r>
              <w:rPr>
                <w:rFonts w:ascii="方正黑体_GBK" w:hAnsi="方正黑体_GBK" w:cs="宋体" w:eastAsia="方正黑体_GBK"/>
                <w:sz w:val="18"/>
                <w:szCs w:val="18"/>
              </w:rPr>
              <w:t>B份额：AX31024</w:t>
            </w:r>
          </w:p>
          <w:p>
            <w:pPr>
              <w:pStyle w:val="null10"/>
              <w:spacing w:lineRule="exact" w:line="200"/>
            </w:pPr>
            <w:r>
              <w:rPr>
                <w:rFonts w:ascii="方正黑体_GBK" w:hAnsi="方正黑体_GBK" w:cs="宋体" w:eastAsia="方正黑体_GBK"/>
                <w:sz w:val="18"/>
                <w:szCs w:val="18"/>
              </w:rPr>
              <w:t>C份额：AX32024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规模下限为0.1亿元，上限为200亿元。本理财产品最终规模以实际募集规模为准。如产品募集规模低于0.1亿元，则理财产品管理人有权宣布本产品不成立并在原定募集期结束后3个工作日内就产品不成立进行信息披露。理财产品管理人有权对上述规模上限和下限根据实际业务需求进行调整。若本理财产品不成立，销售机构或产品管理人将解除对投资者授权指定账户认购资金的冻结或返还认购资金，自投资者认购至解除冻结资金或返还认购资金期间产品不计任何收益。</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江苏建湖农村商业银行股份有限公司、江苏南通农村商业银行股份有限公司(特邀客户10万元起)、江苏扬州农村商业银行股份有限公司、江苏江都农村商业银行股份有限公司、江苏射阳农村商业银行股份有限公司、江苏仪征农村商业银行股份有限公司( 指定客户)。</w:t>
            </w:r>
          </w:p>
          <w:p>
            <w:pPr>
              <w:pStyle w:val="null10"/>
              <w:spacing w:lineRule="exact" w:line="200"/>
            </w:pPr>
            <w:r>
              <w:rPr>
                <w:rFonts w:ascii="方正黑体_GBK" w:hAnsi="方正黑体_GBK" w:cs="宋体" w:eastAsia="方正黑体_GBK"/>
                <w:sz w:val="18"/>
                <w:szCs w:val="18"/>
              </w:rPr>
              <w:t>B份额：江苏常熟农村商业银行股份有限公司、江苏南通农村商业银行股份有限公司( 普通客户)、江苏仪征农村商业银行股份有限公司。</w:t>
            </w:r>
          </w:p>
          <w:p>
            <w:pPr>
              <w:pStyle w:val="null10"/>
              <w:spacing w:lineRule="exact" w:line="200"/>
            </w:pPr>
            <w:r>
              <w:rPr>
                <w:rFonts w:ascii="方正黑体_GBK" w:hAnsi="方正黑体_GBK" w:cs="宋体" w:eastAsia="方正黑体_GBK"/>
                <w:sz w:val="18"/>
                <w:szCs w:val="18"/>
              </w:rPr>
              <w:t>C份额：江苏宜兴农村商业银行股份有限公司、江苏阜宁农村商业银行股份有限公司、江苏大丰农村商业银行股份有限公司。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2026年02月04日 09:00—2026年02月10日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2026年02月11日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2026年02月11日—实际到期日（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1108天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2029年02月23日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szCs w:val="18"/>
              </w:rPr>
              <w:t>18.券商收益凭证：资产类型为证券公司发行的收益凭证，资产到期日不超过理财产品到期日，融资人为华宝证券股份有限公司，融资人评级为AA+（评级机构为联合资信评估股份有限公司）。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19.券商收益凭证：资产类型为证券公司发行的收益凭证，资产到期日不超过理财产品到期日，融资人为上海证券有限责任公司，融资人评级为AAA（评级机构为上海新世纪资信评估投资服务有限公司）。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20.券商收益凭证：资产类型为证券公司发行的收益凭证，资产到期日不超过理财产品到期日，融资人为山西证券股份有限公司，融资人评级为AAA（评级机构为中诚信国际信用评级有限责任公司）。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22.券商收益凭证：资产类型为证券公司发行的收益凭证，资产到期日不超过理财产品到期日，融资人为首创证券股份有限公司，融资人评级为AAA（评级机构为中诚信国际信用评级有限责任公司）。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23.同业借款：资产类型为南银理财有限责任公司向持牌金融机构发放的同业借款，资产到期日不超过理财产品到期日，融资人为中国中信金融资产管理股份有限公司。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24.同业借款：资产类型为南银理财有限责任公司向持牌金融机构发放的同业借款，资产到期日不超过理财产品到期日，融资人为中国东方资产管理股份有限公司。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25.同业借款：资产类型为南银理财有限责任公司向持牌金融机构发放的同业借款，资产到期日不超过理财产品到期日，融资人为中国信达资产管理股份有限公司。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26.同业借款：资产类型为南银理财有限责任公司向持牌金融机构发放的同业借款，资产到期日不超过理财产品到期日，融资人为中国长城资产管理股份有限公司。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C份额：销售费年化0.2%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本理财产品按前一日理财产品资产净值收取年化0.05%的固定管理费，按日计提。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常熟农村商业银行股份有限公司、江苏宜兴农村商业银行股份有限公司、江苏建湖农村商业银行股份有限公司、江苏阜宁农村商业银行股份有限公司、江苏南通农村商业银行股份有限公司、江苏扬州农村商业银行股份有限公司、江苏江都农村商业银行股份有限公司、江苏大丰农村商业银行股份有限公司、江苏射阳农村商业银行股份有限公司、江苏仪征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195b5622"/>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db8bc8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db8bc8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db8bc85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db8bc85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db8bc85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db8bc85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db8bc85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db8bc855"/>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南银理财鼎瑞安心三年24期封闭式公募人民币理财产品</w:t>
      </w:r>
      <w:r>
        <w:rPr>
          <w:rFonts w:ascii="方正黑体_GBK" w:eastAsia="方正黑体_GBK" w:hint="eastAsia" w:hAnsi="方正黑体_GBK"/>
          <w:vanish w:val="0"/>
          <w:color w:val="3D3D3D"/>
          <w:kern w:val="0"/>
          <w:sz w:val="15"/>
          <w:szCs w:val="15"/>
        </w:rPr>
        <w:t>。</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db8bc855"/>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db8bc85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db8bc85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db8bc85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098353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098353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098353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098353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098353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098353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db8bc85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db8bc85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db8bc85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098353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195b5622"/>
        <w:keepNext w:val="0"/>
        <w:keepLines w:val="0"/>
        <w:pageBreakBefore w:val="0"/>
        <w:widowControl/>
        <w:suppressLineNumbers w:val="0"/>
        <w:suppressAutoHyphens w:val="0"/>
        <w:spacing w:line="200" w:lineRule="exact"/>
        <w:ind w:firstLineChars="200" w:firstLine="300"/>
        <w:rPr>
          <w:rStyle w:val="5098353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195b562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195b562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195b562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195b562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195b562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195b562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195b562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195b562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195b562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195b562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195b562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195b562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195b562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195b562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195b56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195b5622"/>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ad322d3">
    <w:name w:val="Normalcad322d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3850c5b">
    <w:name w:val="heading 1c3850c5b"/>
    <w:basedOn w:val="cad322d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8dc5f7f">
    <w:name w:val="heading 238dc5f7f"/>
    <w:basedOn w:val="cad322d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a0736e6">
    <w:name w:val="heading 33a0736e6"/>
    <w:basedOn w:val="cad322d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988f53e">
    <w:name w:val="Default Paragraph Font9988f53e"/>
  </w:style>
  <w:style xmlns:r="http://schemas.openxmlformats.org/officeDocument/2006/relationships" w:type="paragraph" w:styleId="83056f2f">
    <w:name w:val="toc 183056f2f"/>
    <w:basedOn w:val="cad322d3"/>
    <w:autoRedefine/>
    <w:next w:val="0"/>
  </w:style>
  <w:style xmlns:r="http://schemas.openxmlformats.org/officeDocument/2006/relationships" w:type="paragraph" w:styleId="3ceae797">
    <w:name w:val="toc 23ceae797"/>
    <w:basedOn w:val="cad322d3"/>
    <w:autoRedefine/>
    <w:next w:val="0"/>
    <w:pPr>
      <w:ind w:left="420"/>
    </w:pPr>
  </w:style>
  <w:style xmlns:r="http://schemas.openxmlformats.org/officeDocument/2006/relationships" w:type="paragraph" w:styleId="db3c8c59">
    <w:name w:val="toc 3db3c8c59"/>
    <w:basedOn w:val="cad322d3"/>
    <w:autoRedefine/>
    <w:next w:val="0"/>
    <w:pPr>
      <w:ind w:left="840"/>
    </w:pPr>
  </w:style>
  <w:style xmlns:r="http://schemas.openxmlformats.org/officeDocument/2006/relationships" w:type="paragraph" w:styleId="d383da5b">
    <w:name w:val="toc 4d383da5b"/>
    <w:basedOn w:val="cad322d3"/>
    <w:autoRedefine/>
    <w:next w:val="0"/>
    <w:pPr>
      <w:ind w:left="1260"/>
    </w:pPr>
  </w:style>
  <w:style xmlns:r="http://schemas.openxmlformats.org/officeDocument/2006/relationships" w:type="paragraph" w:styleId="20a571ab">
    <w:name w:val="toc 520a571ab"/>
    <w:basedOn w:val="cad322d3"/>
    <w:autoRedefine/>
    <w:next w:val="0"/>
    <w:pPr>
      <w:ind w:left="1680"/>
    </w:pPr>
  </w:style>
  <w:style xmlns:r="http://schemas.openxmlformats.org/officeDocument/2006/relationships" w:type="paragraph" w:styleId="05c00947">
    <w:name w:val="header05c00947"/>
    <w:basedOn w:val="cad322d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59d2552">
    <w:name w:val="footerd59d2552"/>
    <w:basedOn w:val="cad322d3"/>
    <w:pPr>
      <w:tabs>
        <w:tab w:val="center" w:pos="4153"/>
        <w:tab w:val="right" w:pos="8307"/>
      </w:tabs>
      <w:adjustRightInd/>
      <w:snapToGrid w:val="0"/>
      <w:contextualSpacing w:val="0"/>
      <w:jc w:val="left"/>
    </w:pPr>
    <w:rPr>
      <w:sz w:val="18"/>
    </w:rPr>
  </w:style>
  <w:style xmlns:r="http://schemas.openxmlformats.org/officeDocument/2006/relationships" w:type="character" w:styleId="62a740a3">
    <w:name w:val="Strong62a740a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95b5622">
    <w:name w:val="Normal195b562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504bf46">
    <w:name w:val="heading 12504bf46"/>
    <w:basedOn w:val="195b562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ebcf584">
    <w:name w:val="heading 24ebcf584"/>
    <w:basedOn w:val="195b562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0a186b1">
    <w:name w:val="heading 3c0a186b1"/>
    <w:basedOn w:val="195b562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439c9fc">
    <w:name w:val="Default Paragraph Font1439c9fc"/>
  </w:style>
  <w:style xmlns:r="http://schemas.openxmlformats.org/officeDocument/2006/relationships" w:type="paragraph" w:styleId="914a1484">
    <w:name w:val="Normal Indent914a1484"/>
    <w:basedOn w:val="195b5622"/>
    <w:pPr>
      <w:ind w:firstLineChars="200" w:firstLine="200"/>
    </w:pPr>
  </w:style>
  <w:style xmlns:r="http://schemas.openxmlformats.org/officeDocument/2006/relationships" w:type="paragraph" w:styleId="b045206b">
    <w:name w:val="toc 5b045206b"/>
    <w:basedOn w:val="195b5622"/>
    <w:next w:val="0"/>
    <w:pPr>
      <w:ind w:left="1680"/>
    </w:pPr>
  </w:style>
  <w:style xmlns:r="http://schemas.openxmlformats.org/officeDocument/2006/relationships" w:type="paragraph" w:styleId="e7f49fff">
    <w:name w:val="toc 3e7f49fff"/>
    <w:basedOn w:val="195b5622"/>
    <w:next w:val="0"/>
    <w:pPr>
      <w:ind w:left="840"/>
    </w:pPr>
  </w:style>
  <w:style xmlns:r="http://schemas.openxmlformats.org/officeDocument/2006/relationships" w:type="paragraph" w:styleId="741d2e26">
    <w:name w:val="footer741d2e26"/>
    <w:basedOn w:val="195b5622"/>
    <w:pPr>
      <w:tabs>
        <w:tab w:val="center" w:pos="4153"/>
        <w:tab w:val="right" w:pos="8307"/>
      </w:tabs>
      <w:adjustRightInd/>
      <w:snapToGrid w:val="0"/>
      <w:contextualSpacing w:val="0"/>
      <w:jc w:val="left"/>
    </w:pPr>
    <w:rPr>
      <w:sz w:val="18"/>
    </w:rPr>
  </w:style>
  <w:style xmlns:r="http://schemas.openxmlformats.org/officeDocument/2006/relationships" w:type="paragraph" w:styleId="1d4bfa4e">
    <w:name w:val="header1d4bfa4e"/>
    <w:basedOn w:val="195b562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b1f6b06">
    <w:name w:val="toc 18b1f6b06"/>
    <w:basedOn w:val="195b5622"/>
    <w:next w:val="0"/>
  </w:style>
  <w:style xmlns:r="http://schemas.openxmlformats.org/officeDocument/2006/relationships" w:type="paragraph" w:styleId="95dbb4e9">
    <w:name w:val="toc 495dbb4e9"/>
    <w:basedOn w:val="195b5622"/>
    <w:next w:val="0"/>
    <w:pPr>
      <w:ind w:left="1260"/>
    </w:pPr>
  </w:style>
  <w:style xmlns:r="http://schemas.openxmlformats.org/officeDocument/2006/relationships" w:type="paragraph" w:styleId="b9479cd1">
    <w:name w:val="toc 2b9479cd1"/>
    <w:basedOn w:val="195b5622"/>
    <w:next w:val="0"/>
    <w:pPr>
      <w:ind w:left="420"/>
    </w:pPr>
  </w:style>
  <w:style xmlns:r="http://schemas.openxmlformats.org/officeDocument/2006/relationships" w:type="paragraph" w:styleId="6b94b919">
    <w:name w:val="Normal (Web)6b94b91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b8bc855">
    <w:name w:val="Normaldb8bc855db8bc85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4127959">
    <w:name w:val="heading 11412795914127959"/>
    <w:basedOn w:val="db8bc85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0bcff58">
    <w:name w:val="heading 260bcff5860bcff58"/>
    <w:basedOn w:val="db8bc85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59815e2">
    <w:name w:val="heading 3e59815e2e59815e2"/>
    <w:basedOn w:val="db8bc85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f88fcad">
    <w:name w:val="Default Paragraph Fontef88fcadef88fcad"/>
  </w:style>
  <w:style xmlns:r="http://schemas.openxmlformats.org/officeDocument/2006/relationships" w:type="paragraph" w:customStyle="1" w:styleId="31717598">
    <w:name w:val="引文目录13171759831717598"/>
    <w:basedOn w:val="db8bc855"/>
    <w:next w:val="0"/>
    <w:pPr>
      <w:ind w:leftChars="200" w:left="200"/>
    </w:pPr>
  </w:style>
  <w:style xmlns:r="http://schemas.openxmlformats.org/officeDocument/2006/relationships" w:type="paragraph" w:styleId="25041bee">
    <w:name w:val="toc 525041bee25041bee"/>
    <w:basedOn w:val="db8bc855"/>
    <w:next w:val="0"/>
    <w:pPr>
      <w:ind w:left="1680"/>
    </w:pPr>
  </w:style>
  <w:style xmlns:r="http://schemas.openxmlformats.org/officeDocument/2006/relationships" w:type="paragraph" w:styleId="b7d3783a">
    <w:name w:val="toc 3b7d3783ab7d3783a"/>
    <w:basedOn w:val="db8bc855"/>
    <w:next w:val="0"/>
    <w:pPr>
      <w:ind w:left="840"/>
    </w:pPr>
  </w:style>
  <w:style xmlns:r="http://schemas.openxmlformats.org/officeDocument/2006/relationships" w:type="paragraph" w:styleId="58a9e966">
    <w:name w:val="footer58a9e96658a9e966"/>
    <w:basedOn w:val="db8bc855"/>
    <w:pPr>
      <w:tabs>
        <w:tab w:val="center" w:pos="4153"/>
        <w:tab w:val="right" w:pos="8307"/>
      </w:tabs>
      <w:adjustRightInd/>
      <w:snapToGrid w:val="0"/>
      <w:contextualSpacing w:val="0"/>
      <w:jc w:val="left"/>
    </w:pPr>
    <w:rPr>
      <w:sz w:val="18"/>
    </w:rPr>
  </w:style>
  <w:style xmlns:r="http://schemas.openxmlformats.org/officeDocument/2006/relationships" w:type="paragraph" w:styleId="99db162d">
    <w:name w:val="header99db162d99db162d"/>
    <w:basedOn w:val="db8bc85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10ca9b2">
    <w:name w:val="toc 1910ca9b2910ca9b2"/>
    <w:basedOn w:val="db8bc855"/>
    <w:next w:val="0"/>
  </w:style>
  <w:style xmlns:r="http://schemas.openxmlformats.org/officeDocument/2006/relationships" w:type="paragraph" w:styleId="f578cab9">
    <w:name w:val="toc 4f578cab9f578cab9"/>
    <w:basedOn w:val="db8bc855"/>
    <w:next w:val="0"/>
    <w:pPr>
      <w:ind w:left="1260"/>
    </w:pPr>
  </w:style>
  <w:style xmlns:r="http://schemas.openxmlformats.org/officeDocument/2006/relationships" w:type="paragraph" w:styleId="8c6c5ea4">
    <w:name w:val="toc 28c6c5ea48c6c5ea4"/>
    <w:basedOn w:val="db8bc855"/>
    <w:next w:val="0"/>
    <w:pPr>
      <w:ind w:left="420"/>
    </w:pPr>
  </w:style>
  <w:style xmlns:r="http://schemas.openxmlformats.org/officeDocument/2006/relationships" w:type="paragraph" w:customStyle="1" w:styleId="5098353b">
    <w:name w:val="列出段落15098353b5098353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