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南银理财珠联璧合安稳1902一年定开公募人民币理财产品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南银理财珠联璧合安稳1902一年定开公募人民币理财产品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2019年02月20日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4,868,398,721.46份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上海国际信托有限公司,中信信托有限责任公司,中诚信托有限责任公司,兴业国际信托有限公司,天弘基金管理有限公司,广东粤财信托有限公司,招商基金管理有限公司,易方达基金管理有限公司,陆家嘴国际信托有限公司,兴宝国际信托有限责任公司,景顺长城基金管理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2,450,560,357.14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502,213,226.80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Z12022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815,415,135.52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Z13022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584,348,615.57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ZB10022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11,989,640.43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ZB11022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20,823,959.79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ZB12022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42,745,869.23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ZB13022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100,300,953.53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ZC10022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25,690,914.81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ZC11022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150,959,465.72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ZC12022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90,876,098.57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ZC13022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123,189,657.17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ZD12022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45,111,389.45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ZD13022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15,397,424.54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以中性策略应对，持续审慎精选固定收益资产，平衡好资产的长期安全性、收益性与流动性。</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10022份额净值为1.0237元，Z11022份额净值为1.0226元，Z12022份额净值为1.0219元，Z13022份额净值为1.0208元，ZB10022份额净值为1.0237元，ZB11022份额净值为1.0226元，ZB12022份额净值为1.0219元，ZB13022份额净值为1.0208元，ZC10022份额净值为1.0245元，ZC11022份额净值为1.0233元，ZC12022份额净值为1.0226元，ZC13022份额净值为1.0215元，ZD12022份额净值为1.0230元，ZD13022份额净值为1.0218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87.41%</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12.59%</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TYJKX202507030021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同业借款（中信资产）20250003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400,043,765.16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重庆信托·常州发展3号集合资金信托计划（第2期）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300,574,611.00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中诚信托睿信17号集合资金信托计划（第3期）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200,455,424.00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200,382,484.00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中信信托·兴邦101号固定收益类信托计划（第1期）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170,291,791.40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150,309,738.00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2128016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21民生银行永续债01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120,916,560.00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240111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23建投Y2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101,378,500.00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252217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23龙川03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101,229,800.00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XTDKX202504280025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中诚信托睿信19号集合资金信托计划（第2期）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100,216,017.00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湖州经开投资发展集团有限公司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中信信托·兴邦97号固定收益类信托计划（第1期）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重庆信托·常州发展3号集合资金信托计划（第2期）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中信信托·兴邦101号固定收益类信托计划（第1期）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张家港市高铁投资发展(集团)有限公司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重庆信托·苏州发展1号集合资金信托计划（第1期）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江苏新睿城市发展集团有限公司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重庆信托·淮安发展5号集合资金信托计划（第2期）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江苏新海诚发展集团有限公司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重庆信托·连云港发展3号集合资金信托计划（第3期）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江苏新海诚发展集团有限公司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重庆信托·连云港发展3号集合资金信托计划（第2期）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泰州城发资本投资有限公司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中诚信托睿信19号集合资金信托计划（第2期）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江苏润鑫城市投资集团有限公司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盱眙国有联合资产经营集团有限公司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靖江市华宇投资建设有限公司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绍兴袍江经济技术开发区投资发展集团有限公司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粤财信托·瑞兴220号集合资金信托计划（第2期）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杭州之江城市建设投资集团有限公司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泰兴市襟江投资有限公司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上海信托·襟江投资信托贷款集合资金信托计划（第2期）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泗阳县民康农村经济发展有限公司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兴宝信托-欣晟共赢1号新农村发展资产管理信托（第1-A期）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无锡市太湖新城资产经营管理有限公司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泰州新区新农村建设投资发展有限公司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中诚信托睿信17号集合资金信托计划（第3期）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中国中信金融资产管理股份有限公司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同业借款（中信资产）20250003</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0120010000000257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南京银行安稳1902一年定开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产品投资于关联方承销的证券交易金额141,552,365.75元。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产品支付关联方托管费246,753.93元，支付关联方代销费2,092,019.02元。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