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Z7003225000090（投资者可依据该编码在中国理财网www.chinawealth.com.cn查询理财产品相关信息）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1,249,199,514.00份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华鑫国际信托有限公司,天津信托有限责任公司,紫金信托有限责任公司,江苏省国际信托有限责任公司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614,747,146.11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389,385,578.23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215,080,625.45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28,808,283.99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4,752,464.23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19,610,647.23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截至报告期末，本产品Y30215份额净值为1.0180元，Y31215份额净值为1.0187元，Y32215份额净值为1.0194元，Y35215份额净值为1.0183元，Y36215份额净值为1.0187元，YB30215份额净值为1.0197元。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天津信托-向实31号集合资金信托计划（第5期）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407,762,064.00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405,151,124.03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377,656,115.83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81,545,356.80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天津信托-向实31号集合资金信托计划（第5期）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0101060000001449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产品支付关联方托管费0.00元，支付关联方代销费247,610.09元。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