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61700c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61700c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61700c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61700c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61700c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61700c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61700c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61700c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61700c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61700c7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61700c72"/>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842d4d5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842d4d5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7b3c807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南银理财珠联璧合鑫逸稳一年259期封闭式公募人民币理财产品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ZZ700322500747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Z7003226000052(投资者可依据该编码在中国理财网www.chinawealth.com.cn查询理财产品相关信息）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A份额：Y30259</w:t>
            </w:r>
          </w:p>
          <w:p>
            <w:pPr>
              <w:pStyle w:val="null10"/>
              <w:spacing w:lineRule="exact" w:line="200"/>
            </w:pPr>
            <w:r>
              <w:rPr>
                <w:rFonts w:ascii="方正黑体_GBK" w:hAnsi="方正黑体_GBK" w:cs="宋体" w:eastAsia="方正黑体_GBK"/>
                <w:sz w:val="18"/>
                <w:szCs w:val="18"/>
              </w:rPr>
              <w:t>B份额：Y31259</w:t>
            </w:r>
          </w:p>
          <w:p>
            <w:pPr>
              <w:pStyle w:val="null10"/>
              <w:spacing w:lineRule="exact" w:line="200"/>
            </w:pPr>
            <w:r>
              <w:rPr>
                <w:rFonts w:ascii="方正黑体_GBK" w:hAnsi="方正黑体_GBK" w:cs="宋体" w:eastAsia="方正黑体_GBK"/>
                <w:sz w:val="18"/>
                <w:szCs w:val="18"/>
              </w:rPr>
              <w:t>C份额：Y32259</w:t>
            </w:r>
          </w:p>
          <w:p>
            <w:pPr>
              <w:pStyle w:val="null10"/>
              <w:spacing w:lineRule="exact" w:line="200"/>
            </w:pPr>
            <w:r>
              <w:rPr>
                <w:rFonts w:ascii="方正黑体_GBK" w:hAnsi="方正黑体_GBK" w:cs="宋体" w:eastAsia="方正黑体_GBK"/>
                <w:sz w:val="18"/>
                <w:szCs w:val="18"/>
              </w:rPr>
              <w:t>L份额：YB30259</w:t>
            </w:r>
          </w:p>
          <w:p>
            <w:pPr>
              <w:pStyle w:val="null10"/>
              <w:spacing w:lineRule="exact" w:line="200"/>
            </w:pPr>
            <w:r>
              <w:rPr>
                <w:rFonts w:ascii="方正黑体_GBK" w:hAnsi="方正黑体_GBK" w:cs="宋体" w:eastAsia="方正黑体_GBK"/>
                <w:sz w:val="18"/>
                <w:szCs w:val="18"/>
              </w:rPr>
              <w:t>N份额：YD30259</w:t>
            </w:r>
          </w:p>
          <w:p>
            <w:pPr>
              <w:pStyle w:val="null10"/>
              <w:spacing w:lineRule="exact" w:line="200"/>
            </w:pPr>
            <w:r>
              <w:rPr>
                <w:rFonts w:ascii="方正黑体_GBK" w:hAnsi="方正黑体_GBK" w:cs="宋体" w:eastAsia="方正黑体_GBK"/>
                <w:sz w:val="18"/>
                <w:szCs w:val="18"/>
              </w:rPr>
              <w:t>Q份额：YG30259</w:t>
            </w:r>
          </w:p>
          <w:p>
            <w:pPr>
              <w:pStyle w:val="null10"/>
              <w:spacing w:lineRule="exact" w:line="200"/>
            </w:pPr>
            <w:r>
              <w:rPr>
                <w:rFonts w:ascii="方正黑体_GBK" w:hAnsi="方正黑体_GBK" w:cs="宋体" w:eastAsia="方正黑体_GBK"/>
                <w:sz w:val="18"/>
                <w:szCs w:val="18"/>
              </w:rPr>
              <w:t>R份额：YH30259</w:t>
            </w:r>
          </w:p>
          <w:p>
            <w:pPr>
              <w:pStyle w:val="null10"/>
              <w:spacing w:lineRule="exact" w:line="200"/>
            </w:pPr>
            <w:r>
              <w:rPr>
                <w:rFonts w:ascii="方正黑体_GBK" w:hAnsi="方正黑体_GBK" w:cs="宋体" w:eastAsia="方正黑体_GBK"/>
                <w:sz w:val="18"/>
                <w:szCs w:val="18"/>
              </w:rPr>
              <w:t>Q1份额：YI30259</w:t>
            </w:r>
          </w:p>
          <w:p>
            <w:pPr>
              <w:pStyle w:val="null10"/>
              <w:spacing w:lineRule="exact" w:line="200"/>
            </w:pPr>
            <w:r>
              <w:rPr>
                <w:rFonts w:ascii="方正黑体_GBK" w:hAnsi="方正黑体_GBK" w:cs="宋体" w:eastAsia="方正黑体_GBK"/>
                <w:sz w:val="18"/>
                <w:szCs w:val="18"/>
              </w:rPr>
              <w:t>R1份额：YJ30259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A份额：除B、C、L、N、Q、R、Q1份额以外的所有客户（详见“销售机构”条款）。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 私行客户)、徽商银行股份有限公司( 常规客群)、杭州银行股份有限公司( 大众客户)、温州银行股份有限公司、烟台银行股份有限公司( 社保卡客户)、广州银行股份有限公司、江苏常熟农村商业银行股份有限公司( 专属客户)、苏州银行股份有限公司( 大众客户)、潍坊银行股份有限公司( 财富客户)、齐鲁银行股份有限公司( 政务服务中心支行开业专享)、天津农村商业银行股份有限公司( 滨海分行专属)、兰州银行股份有限公司、东营银行股份有限公司、江苏南通农村商业银行股份有限公司( 代发客户)、江苏淮安农村商业银行股份有限公司(财富客户)、江苏镇江农村商业银行股份有限公司( 20万元起购)、江苏如皋农村商业银行股份有限公司( 代发客户)、徐州农村商业银行股份有限公司( 财富客群)、江苏紫金农村商业银行股份有限公司、江苏仪征农村商业银行股份有限公司( 20万元起购)、江苏泰州农村商业银行股份有限公司、枣庄银行股份有限公司。</w:t>
            </w:r>
          </w:p>
          <w:p>
            <w:pPr>
              <w:pStyle w:val="null10"/>
              <w:spacing w:lineRule="exact" w:line="200"/>
            </w:pPr>
            <w:r>
              <w:rPr>
                <w:rFonts w:ascii="方正黑体_GBK" w:hAnsi="方正黑体_GBK" w:cs="宋体" w:eastAsia="方正黑体_GBK"/>
                <w:sz w:val="18"/>
                <w:szCs w:val="18"/>
              </w:rPr>
              <w:t>C份额：徽商银行股份有限公司(合肥分行专属)、杭州银行股份有限公司( 私行客户)、烟台银行股份有限公司(特邀客户)、嘉兴银行股份有限公司( 私行客户)、苏州银行股份有限公司( 公司客户)、日照银行股份有限公司(特邀客群)、泰安银行股份有限公司、齐鲁银行股份有限公司(特邀客群)、天津农村商业银行股份有限公司(军人客户)、宁波通商银行股份有限公司(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江都农村商业银行股份有限公司、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江苏姜堰农村商业银行股份有限公司(10万元起)、江苏沛县农村商业银行股份有限公司。</w:t>
            </w:r>
          </w:p>
          <w:p>
            <w:pPr>
              <w:pStyle w:val="null10"/>
              <w:spacing w:lineRule="exact" w:line="200"/>
            </w:pPr>
            <w:r>
              <w:rPr>
                <w:rFonts w:ascii="方正黑体_GBK" w:hAnsi="方正黑体_GBK" w:cs="宋体" w:eastAsia="方正黑体_GBK"/>
                <w:sz w:val="18"/>
                <w:szCs w:val="18"/>
              </w:rPr>
              <w:t>L份额：江苏张家港农村商业银行股份有限公司( 特定客户)、江苏常熟农村商业银行股份有限公司( 专属特定客群)、苏州银行股份有限公司( 特邀客群)、天津农村商业银行股份有限公司( 私行客群)、江苏兴化农村商业银行股份有限公司。</w:t>
            </w:r>
          </w:p>
          <w:p>
            <w:pPr>
              <w:pStyle w:val="null10"/>
              <w:spacing w:lineRule="exact" w:line="200"/>
            </w:pPr>
            <w:r>
              <w:rPr>
                <w:rFonts w:ascii="方正黑体_GBK" w:hAnsi="方正黑体_GBK" w:cs="宋体" w:eastAsia="方正黑体_GBK"/>
                <w:sz w:val="18"/>
                <w:szCs w:val="18"/>
              </w:rPr>
              <w:t>N份额：吉林银行股份有限公司。</w:t>
            </w:r>
          </w:p>
          <w:p>
            <w:pPr>
              <w:pStyle w:val="null10"/>
              <w:spacing w:lineRule="exact" w:line="200"/>
            </w:pPr>
            <w:r>
              <w:rPr>
                <w:rFonts w:ascii="方正黑体_GBK" w:hAnsi="方正黑体_GBK" w:cs="宋体" w:eastAsia="方正黑体_GBK"/>
                <w:sz w:val="18"/>
                <w:szCs w:val="18"/>
              </w:rPr>
              <w:t>Q份额：郑州银行股份有限公司、天津农村商业银行股份有限公司( 财富客户及特邀客户)。</w:t>
            </w:r>
          </w:p>
          <w:p>
            <w:pPr>
              <w:pStyle w:val="null10"/>
              <w:spacing w:lineRule="exact" w:line="200"/>
            </w:pPr>
            <w:r>
              <w:rPr>
                <w:rFonts w:ascii="方正黑体_GBK" w:hAnsi="方正黑体_GBK" w:cs="宋体" w:eastAsia="方正黑体_GBK"/>
                <w:sz w:val="18"/>
                <w:szCs w:val="18"/>
              </w:rPr>
              <w:t>R份额：金华银行股份有限公司专属、</w:t>
            </w:r>
          </w:p>
          <w:p>
            <w:pPr>
              <w:pStyle w:val="null10"/>
              <w:spacing w:lineRule="exact" w:line="200"/>
            </w:pPr>
            <w:r>
              <w:rPr>
                <w:rFonts w:ascii="方正黑体_GBK" w:hAnsi="方正黑体_GBK" w:cs="宋体" w:eastAsia="方正黑体_GBK"/>
                <w:sz w:val="18"/>
                <w:szCs w:val="18"/>
              </w:rPr>
              <w:t>Q1份额：南京银行股份有限公司徐州分行客户（徐州分行行庆专属）。</w:t>
            </w:r>
          </w:p>
          <w:p>
            <w:pPr>
              <w:pStyle w:val="null10"/>
              <w:spacing w:lineRule="exact" w:line="200"/>
            </w:pPr>
            <w:r>
              <w:rPr>
                <w:rFonts w:ascii="方正黑体_GBK" w:hAnsi="方正黑体_GBK" w:cs="宋体" w:eastAsia="方正黑体_GBK"/>
                <w:sz w:val="18"/>
                <w:szCs w:val="18"/>
              </w:rPr>
              <w:t>R1份额：徽商银行股份有限公司（合肥分行特邀客户）。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A份额/B份额/C份额/L份额/N份额/Q份额/R份额/Q1份额/R1份额：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A份额/B份额/C份额/L份额/N份额/Q份额/R份额/Q1份额/R1份额：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2026年01月28日 09:00—2026年02月03日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2026年02月04日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2026年02月04日—实际到期日（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2027年03月10日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A份额：业绩比较基准为年化2.35%-2.6% 。</w:t>
            </w:r>
          </w:p>
          <w:p>
            <w:pPr>
              <w:pStyle w:val="null10"/>
              <w:spacing w:lineRule="exact" w:line="200"/>
            </w:pPr>
            <w:r>
              <w:rPr>
                <w:rFonts w:ascii="方正黑体_GBK" w:hAnsi="方正黑体_GBK" w:cs="宋体" w:eastAsia="方正黑体_GBK"/>
                <w:sz w:val="18"/>
                <w:szCs w:val="18"/>
              </w:rPr>
              <w:t>B份额：业绩比较基准为年化2.45%-2.7% 。</w:t>
            </w:r>
          </w:p>
          <w:p>
            <w:pPr>
              <w:pStyle w:val="null10"/>
              <w:spacing w:lineRule="exact" w:line="200"/>
            </w:pPr>
            <w:r>
              <w:rPr>
                <w:rFonts w:ascii="方正黑体_GBK" w:hAnsi="方正黑体_GBK" w:cs="宋体" w:eastAsia="方正黑体_GBK"/>
                <w:sz w:val="18"/>
                <w:szCs w:val="18"/>
              </w:rPr>
              <w:t>C份额：业绩比较基准为年化2.55%-2.8% 。</w:t>
            </w:r>
          </w:p>
          <w:p>
            <w:pPr>
              <w:pStyle w:val="null10"/>
              <w:spacing w:lineRule="exact" w:line="200"/>
            </w:pPr>
            <w:r>
              <w:rPr>
                <w:rFonts w:ascii="方正黑体_GBK" w:hAnsi="方正黑体_GBK" w:cs="宋体" w:eastAsia="方正黑体_GBK"/>
                <w:sz w:val="18"/>
                <w:szCs w:val="18"/>
              </w:rPr>
              <w:t>L份额：业绩比较基准为年化2.6%-2.85% 。</w:t>
            </w:r>
          </w:p>
          <w:p>
            <w:pPr>
              <w:pStyle w:val="null10"/>
              <w:spacing w:lineRule="exact" w:line="200"/>
            </w:pPr>
            <w:r>
              <w:rPr>
                <w:rFonts w:ascii="方正黑体_GBK" w:hAnsi="方正黑体_GBK" w:cs="宋体" w:eastAsia="方正黑体_GBK"/>
                <w:sz w:val="18"/>
                <w:szCs w:val="18"/>
              </w:rPr>
              <w:t>N份额：业绩比较基准为年化2.35%-2.6% 。</w:t>
            </w:r>
          </w:p>
          <w:p>
            <w:pPr>
              <w:pStyle w:val="null10"/>
              <w:spacing w:lineRule="exact" w:line="200"/>
            </w:pPr>
            <w:r>
              <w:rPr>
                <w:rFonts w:ascii="方正黑体_GBK" w:hAnsi="方正黑体_GBK" w:cs="宋体" w:eastAsia="方正黑体_GBK"/>
                <w:sz w:val="18"/>
                <w:szCs w:val="18"/>
              </w:rPr>
              <w:t>Q份额：业绩比较基准为年化2.5%-2.75% 。</w:t>
            </w:r>
          </w:p>
          <w:p>
            <w:pPr>
              <w:pStyle w:val="null10"/>
              <w:spacing w:lineRule="exact" w:line="200"/>
            </w:pPr>
            <w:r>
              <w:rPr>
                <w:rFonts w:ascii="方正黑体_GBK" w:hAnsi="方正黑体_GBK" w:cs="宋体" w:eastAsia="方正黑体_GBK"/>
                <w:sz w:val="18"/>
                <w:szCs w:val="18"/>
              </w:rPr>
              <w:t>R份额：业绩比较基准为年化2.55%-2.8% 。</w:t>
            </w:r>
          </w:p>
          <w:p>
            <w:pPr>
              <w:pStyle w:val="null10"/>
              <w:spacing w:lineRule="exact" w:line="200"/>
            </w:pPr>
            <w:r>
              <w:rPr>
                <w:rFonts w:ascii="方正黑体_GBK" w:hAnsi="方正黑体_GBK" w:cs="宋体" w:eastAsia="方正黑体_GBK"/>
                <w:sz w:val="18"/>
                <w:szCs w:val="18"/>
              </w:rPr>
              <w:t>Q1份额：业绩比较基准为年化2.55%-2.8% 。</w:t>
            </w:r>
          </w:p>
          <w:p>
            <w:pPr>
              <w:pStyle w:val="null10"/>
              <w:spacing w:lineRule="exact" w:line="200"/>
            </w:pPr>
            <w:r>
              <w:rPr>
                <w:rFonts w:ascii="方正黑体_GBK" w:hAnsi="方正黑体_GBK" w:cs="宋体" w:eastAsia="方正黑体_GBK"/>
                <w:sz w:val="18"/>
                <w:szCs w:val="18"/>
              </w:rPr>
              <w:t>R1份额：业绩比较基准为年化2.5%-2.75%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B份额，R1份额：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C份额，L份额，R份额：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N份额：</w:t>
            </w:r>
          </w:p>
          <w:p>
            <w:pPr>
              <w:pStyle w:val="null10"/>
              <w:spacing w:lineRule="exact" w:line="200"/>
            </w:pPr>
            <w:r>
              <w:rPr>
                <w:rFonts w:ascii="方正黑体_GBK" w:hAnsi="方正黑体_GBK" w:cs="宋体" w:eastAsia="方正黑体_GBK"/>
                <w:sz w:val="18"/>
                <w:b/>
                <w:szCs w:val="18"/>
              </w:rPr>
              <w:t>本理财产品一次性收取年化0.2%的销售费，按日摊销。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Q份额，Q1份额：</w:t>
            </w:r>
          </w:p>
          <w:p>
            <w:pPr>
              <w:pStyle w:val="null10"/>
              <w:spacing w:lineRule="exact" w:line="200"/>
            </w:pPr>
            <w:r>
              <w:rPr>
                <w:rFonts w:ascii="方正黑体_GBK" w:hAnsi="方正黑体_GBK" w:cs="宋体" w:eastAsia="方正黑体_GBK"/>
                <w:sz w:val="18"/>
                <w:b/>
                <w:szCs w:val="18"/>
              </w:rPr>
              <w:t>本理财产品按前一日理财产品资产净值收取年化0.1%的销售费，按日计提。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N份额：固定管理费年化0.2%</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R份额：固定管理费年化0.15%</w:t>
            </w:r>
          </w:p>
          <w:p>
            <w:pPr>
              <w:pStyle w:val="null10"/>
              <w:spacing w:lineRule="exact" w:line="200"/>
            </w:pPr>
            <w:r>
              <w:rPr>
                <w:rFonts w:ascii="方正黑体_GBK" w:hAnsi="方正黑体_GBK" w:cs="宋体" w:eastAsia="方正黑体_GBK"/>
                <w:sz w:val="18"/>
                <w:b/>
                <w:szCs w:val="18"/>
              </w:rPr>
              <w:t>Q1份额：固定管理费年化0.1%</w:t>
            </w:r>
          </w:p>
          <w:p>
            <w:pPr>
              <w:pStyle w:val="null10"/>
              <w:spacing w:lineRule="exact" w:line="200"/>
            </w:pPr>
            <w:r>
              <w:rPr>
                <w:rFonts w:ascii="方正黑体_GBK" w:hAnsi="方正黑体_GBK" w:cs="宋体" w:eastAsia="方正黑体_GBK"/>
                <w:sz w:val="18"/>
                <w:b/>
                <w:szCs w:val="18"/>
              </w:rPr>
              <w:t>R1份额：固定管理费年化0.1%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N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R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Q1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R1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842d4d50"/>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f80027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f80027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f800272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f8002723"/>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f800272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f800272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f800272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f8002723"/>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南银理财珠联璧合鑫逸稳一年259期封闭式公募人民币理财产品</w:t>
      </w:r>
      <w:r>
        <w:rPr>
          <w:rFonts w:ascii="方正黑体_GBK" w:eastAsia="方正黑体_GBK" w:hint="eastAsia" w:hAnsi="方正黑体_GBK"/>
          <w:vanish w:val="0"/>
          <w:color w:val="3D3D3D"/>
          <w:kern w:val="0"/>
          <w:sz w:val="15"/>
          <w:szCs w:val="15"/>
        </w:rPr>
        <w:t>。</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f8002723"/>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f800272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f800272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f800272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b6cf68b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b6cf68b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b6cf68b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b6cf68b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b6cf68b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b6cf68b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f800272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f800272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f8002723"/>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b6cf68b0"/>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842d4d50"/>
        <w:keepNext w:val="0"/>
        <w:keepLines w:val="0"/>
        <w:pageBreakBefore w:val="0"/>
        <w:widowControl/>
        <w:suppressLineNumbers w:val="0"/>
        <w:suppressAutoHyphens w:val="0"/>
        <w:spacing w:line="200" w:lineRule="exact"/>
        <w:ind w:firstLineChars="200" w:firstLine="300"/>
        <w:rPr>
          <w:rStyle w:val="b6cf68b0"/>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842d4d5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842d4d5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842d4d5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842d4d5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842d4d5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842d4d5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842d4d5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842d4d5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842d4d5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842d4d5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842d4d5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842d4d5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842d4d5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842d4d5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842d4d5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842d4d50"/>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2"/>
  </w:num>
  <w:num w:numId="3">
    <w:abstractNumId w:val="4"/>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61700c72">
    <w:name w:val="Normal61700c7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c60b865">
    <w:name w:val="heading 16c60b865"/>
    <w:basedOn w:val="61700c7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7a25346">
    <w:name w:val="heading 207a25346"/>
    <w:basedOn w:val="61700c7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41008f5">
    <w:name w:val="heading 3441008f5"/>
    <w:basedOn w:val="61700c7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640336f">
    <w:name w:val="Default Paragraph Font2640336f"/>
  </w:style>
  <w:style xmlns:r="http://schemas.openxmlformats.org/officeDocument/2006/relationships" w:type="paragraph" w:styleId="26764291">
    <w:name w:val="toc 126764291"/>
    <w:basedOn w:val="61700c72"/>
    <w:autoRedefine/>
    <w:next w:val="0"/>
  </w:style>
  <w:style xmlns:r="http://schemas.openxmlformats.org/officeDocument/2006/relationships" w:type="paragraph" w:styleId="8639f70f">
    <w:name w:val="toc 28639f70f"/>
    <w:basedOn w:val="61700c72"/>
    <w:autoRedefine/>
    <w:next w:val="0"/>
    <w:pPr>
      <w:ind w:left="420"/>
    </w:pPr>
  </w:style>
  <w:style xmlns:r="http://schemas.openxmlformats.org/officeDocument/2006/relationships" w:type="paragraph" w:styleId="60755397">
    <w:name w:val="toc 360755397"/>
    <w:basedOn w:val="61700c72"/>
    <w:autoRedefine/>
    <w:next w:val="0"/>
    <w:pPr>
      <w:ind w:left="840"/>
    </w:pPr>
  </w:style>
  <w:style xmlns:r="http://schemas.openxmlformats.org/officeDocument/2006/relationships" w:type="paragraph" w:styleId="4f030b15">
    <w:name w:val="toc 44f030b15"/>
    <w:basedOn w:val="61700c72"/>
    <w:autoRedefine/>
    <w:next w:val="0"/>
    <w:pPr>
      <w:ind w:left="1260"/>
    </w:pPr>
  </w:style>
  <w:style xmlns:r="http://schemas.openxmlformats.org/officeDocument/2006/relationships" w:type="paragraph" w:styleId="7b7154d9">
    <w:name w:val="toc 57b7154d9"/>
    <w:basedOn w:val="61700c72"/>
    <w:autoRedefine/>
    <w:next w:val="0"/>
    <w:pPr>
      <w:ind w:left="1680"/>
    </w:pPr>
  </w:style>
  <w:style xmlns:r="http://schemas.openxmlformats.org/officeDocument/2006/relationships" w:type="paragraph" w:styleId="95385df9">
    <w:name w:val="header95385df9"/>
    <w:basedOn w:val="61700c7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40c650f">
    <w:name w:val="footerc40c650f"/>
    <w:basedOn w:val="61700c72"/>
    <w:pPr>
      <w:tabs>
        <w:tab w:val="center" w:pos="4153"/>
        <w:tab w:val="right" w:pos="8307"/>
      </w:tabs>
      <w:adjustRightInd/>
      <w:snapToGrid w:val="0"/>
      <w:contextualSpacing w:val="0"/>
      <w:jc w:val="left"/>
    </w:pPr>
    <w:rPr>
      <w:sz w:val="18"/>
    </w:rPr>
  </w:style>
  <w:style xmlns:r="http://schemas.openxmlformats.org/officeDocument/2006/relationships" w:type="character" w:styleId="71049073">
    <w:name w:val="Strong71049073"/>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42d4d50">
    <w:name w:val="Normal842d4d5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0c17a4f2">
    <w:name w:val="heading 10c17a4f2"/>
    <w:basedOn w:val="842d4d5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112b288">
    <w:name w:val="heading 28112b288"/>
    <w:basedOn w:val="842d4d5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d4b9397">
    <w:name w:val="heading 33d4b9397"/>
    <w:basedOn w:val="842d4d5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16d7700">
    <w:name w:val="Default Paragraph Fonte16d7700"/>
  </w:style>
  <w:style xmlns:r="http://schemas.openxmlformats.org/officeDocument/2006/relationships" w:type="paragraph" w:styleId="6ece827f">
    <w:name w:val="Normal Indent6ece827f"/>
    <w:basedOn w:val="842d4d50"/>
    <w:pPr>
      <w:ind w:firstLineChars="200" w:firstLine="200"/>
    </w:pPr>
  </w:style>
  <w:style xmlns:r="http://schemas.openxmlformats.org/officeDocument/2006/relationships" w:type="paragraph" w:styleId="632cdcb7">
    <w:name w:val="toc 5632cdcb7"/>
    <w:basedOn w:val="842d4d50"/>
    <w:next w:val="0"/>
    <w:pPr>
      <w:ind w:left="1680"/>
    </w:pPr>
  </w:style>
  <w:style xmlns:r="http://schemas.openxmlformats.org/officeDocument/2006/relationships" w:type="paragraph" w:styleId="85ab6bda">
    <w:name w:val="toc 385ab6bda"/>
    <w:basedOn w:val="842d4d50"/>
    <w:next w:val="0"/>
    <w:pPr>
      <w:ind w:left="840"/>
    </w:pPr>
  </w:style>
  <w:style xmlns:r="http://schemas.openxmlformats.org/officeDocument/2006/relationships" w:type="paragraph" w:styleId="4b0de488">
    <w:name w:val="footer4b0de488"/>
    <w:basedOn w:val="842d4d50"/>
    <w:pPr>
      <w:tabs>
        <w:tab w:val="center" w:pos="4153"/>
        <w:tab w:val="right" w:pos="8307"/>
      </w:tabs>
      <w:adjustRightInd/>
      <w:snapToGrid w:val="0"/>
      <w:contextualSpacing w:val="0"/>
      <w:jc w:val="left"/>
    </w:pPr>
    <w:rPr>
      <w:sz w:val="18"/>
    </w:rPr>
  </w:style>
  <w:style xmlns:r="http://schemas.openxmlformats.org/officeDocument/2006/relationships" w:type="paragraph" w:styleId="20476ae6">
    <w:name w:val="header20476ae6"/>
    <w:basedOn w:val="842d4d5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fd69de7">
    <w:name w:val="toc 14fd69de7"/>
    <w:basedOn w:val="842d4d50"/>
    <w:next w:val="0"/>
  </w:style>
  <w:style xmlns:r="http://schemas.openxmlformats.org/officeDocument/2006/relationships" w:type="paragraph" w:styleId="27bb20d5">
    <w:name w:val="toc 427bb20d5"/>
    <w:basedOn w:val="842d4d50"/>
    <w:next w:val="0"/>
    <w:pPr>
      <w:ind w:left="1260"/>
    </w:pPr>
  </w:style>
  <w:style xmlns:r="http://schemas.openxmlformats.org/officeDocument/2006/relationships" w:type="paragraph" w:styleId="0ef7c7c7">
    <w:name w:val="toc 20ef7c7c7"/>
    <w:basedOn w:val="842d4d50"/>
    <w:next w:val="0"/>
    <w:pPr>
      <w:ind w:left="420"/>
    </w:pPr>
  </w:style>
  <w:style xmlns:r="http://schemas.openxmlformats.org/officeDocument/2006/relationships" w:type="paragraph" w:styleId="7b3c8079">
    <w:name w:val="Normal (Web)7b3c807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8002723">
    <w:name w:val="Normalf8002723f80027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6093edc">
    <w:name w:val="heading 136093edc36093edc"/>
    <w:basedOn w:val="f800272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b915bca">
    <w:name w:val="heading 24b915bca4b915bca"/>
    <w:basedOn w:val="f800272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4298f54">
    <w:name w:val="heading 384298f5484298f54"/>
    <w:basedOn w:val="f800272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f4e5a75">
    <w:name w:val="Default Paragraph Font5f4e5a755f4e5a75"/>
  </w:style>
  <w:style xmlns:r="http://schemas.openxmlformats.org/officeDocument/2006/relationships" w:type="paragraph" w:customStyle="1" w:styleId="60fb9e1a">
    <w:name w:val="引文目录160fb9e1a60fb9e1a"/>
    <w:basedOn w:val="f8002723"/>
    <w:next w:val="0"/>
    <w:pPr>
      <w:ind w:leftChars="200" w:left="200"/>
    </w:pPr>
  </w:style>
  <w:style xmlns:r="http://schemas.openxmlformats.org/officeDocument/2006/relationships" w:type="paragraph" w:styleId="dbdca439">
    <w:name w:val="toc 5dbdca439dbdca439"/>
    <w:basedOn w:val="f8002723"/>
    <w:next w:val="0"/>
    <w:pPr>
      <w:ind w:left="1680"/>
    </w:pPr>
  </w:style>
  <w:style xmlns:r="http://schemas.openxmlformats.org/officeDocument/2006/relationships" w:type="paragraph" w:styleId="911cd945">
    <w:name w:val="toc 3911cd945911cd945"/>
    <w:basedOn w:val="f8002723"/>
    <w:next w:val="0"/>
    <w:pPr>
      <w:ind w:left="840"/>
    </w:pPr>
  </w:style>
  <w:style xmlns:r="http://schemas.openxmlformats.org/officeDocument/2006/relationships" w:type="paragraph" w:styleId="17d15e05">
    <w:name w:val="footer17d15e0517d15e05"/>
    <w:basedOn w:val="f8002723"/>
    <w:pPr>
      <w:tabs>
        <w:tab w:val="center" w:pos="4153"/>
        <w:tab w:val="right" w:pos="8307"/>
      </w:tabs>
      <w:adjustRightInd/>
      <w:snapToGrid w:val="0"/>
      <w:contextualSpacing w:val="0"/>
      <w:jc w:val="left"/>
    </w:pPr>
    <w:rPr>
      <w:sz w:val="18"/>
    </w:rPr>
  </w:style>
  <w:style xmlns:r="http://schemas.openxmlformats.org/officeDocument/2006/relationships" w:type="paragraph" w:styleId="0ff6d8a6">
    <w:name w:val="header0ff6d8a60ff6d8a6"/>
    <w:basedOn w:val="f800272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a0b9ed0">
    <w:name w:val="toc 11a0b9ed01a0b9ed0"/>
    <w:basedOn w:val="f8002723"/>
    <w:next w:val="0"/>
  </w:style>
  <w:style xmlns:r="http://schemas.openxmlformats.org/officeDocument/2006/relationships" w:type="paragraph" w:styleId="4b96c3f8">
    <w:name w:val="toc 44b96c3f84b96c3f8"/>
    <w:basedOn w:val="f8002723"/>
    <w:next w:val="0"/>
    <w:pPr>
      <w:ind w:left="1260"/>
    </w:pPr>
  </w:style>
  <w:style xmlns:r="http://schemas.openxmlformats.org/officeDocument/2006/relationships" w:type="paragraph" w:styleId="5e5218f1">
    <w:name w:val="toc 25e5218f15e5218f1"/>
    <w:basedOn w:val="f8002723"/>
    <w:next w:val="0"/>
    <w:pPr>
      <w:ind w:left="420"/>
    </w:pPr>
  </w:style>
  <w:style xmlns:r="http://schemas.openxmlformats.org/officeDocument/2006/relationships" w:type="paragraph" w:customStyle="1" w:styleId="b6cf68b0">
    <w:name w:val="列出段落1b6cf68b0b6cf68b0"/>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