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苏银理财恒源1年定开36期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A份额：苏银理财恒源1年定开36期A/J02176</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B份额：苏银理财恒源1年定开36期B/J02177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C份额：苏银理财恒源1年定开36期C/J12711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D份额：苏银理财恒源1年定开36期D/J02987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F份额：苏银理财恒源1年定开36期F/J02988</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J份额：苏银理财恒</w:t>
            </w:r>
            <w:bookmarkStart w:id="0" w:name="_GoBack"/>
            <w:bookmarkEnd w:id="0"/>
            <w:r>
              <w:rPr>
                <w:rFonts w:hint="eastAsia" w:ascii="楷体" w:hAnsi="楷体" w:eastAsia="楷体" w:cs="宋体"/>
                <w:spacing w:val="-2"/>
                <w:sz w:val="20"/>
                <w:szCs w:val="20"/>
                <w:lang w:val="en-US" w:eastAsia="zh-CN"/>
              </w:rPr>
              <w:t>源1年定开36期J/J02989</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T份额：苏银理财恒源1年定开36期T/J12713</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ZA鑫福款（自动赎回）份额：苏银理财恒源1年定开36期ZA鑫福款（自动赎回）/J02990</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ZF份额：苏银理财恒源1年定开36期ZF/J02991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Z7003122000156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2026年1月21日至2026年1月29日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2026年1月30日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2032年12月29日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hint="default" w:ascii="仿宋_GB2312" w:hAnsi="仿宋" w:eastAsia="仿宋_GB2312" w:cs="Times New Roman"/>
                <w:kern w:val="0"/>
                <w:sz w:val="20"/>
                <w:szCs w:val="21"/>
                <w:lang w:val="en-US" w:eastAsia="zh-CN" w:bidi="ar-SA"/>
              </w:rPr>
            </w:pPr>
            <w:r>
              <w:rPr>
                <w:rFonts w:hint="eastAsia" w:ascii="楷体" w:hAnsi="楷体" w:eastAsia="楷体" w:cs="宋体"/>
                <w:spacing w:val="-2"/>
                <w:sz w:val="20"/>
                <w:szCs w:val="20"/>
                <w:lang w:val="en-US" w:eastAsia="zh-CN"/>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仿宋_GB2312" w:hAnsi="仿宋" w:eastAsia="仿宋_GB2312"/>
                <w:b/>
                <w:kern w:val="0"/>
                <w:sz w:val="20"/>
                <w:szCs w:val="21"/>
                <w:lang w:val="en-US" w:eastAsia="zh-CN"/>
              </w:rPr>
              <w:t>投资起点</w:t>
            </w:r>
          </w:p>
        </w:tc>
        <w:tc>
          <w:tcPr>
            <w:tcW w:w="6095"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A/F份额认购起点100元，追加金额为100元的整数倍。</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B份额认购起点200000元，追加金额为10000元的整数倍。</w:t>
            </w:r>
          </w:p>
          <w:p>
            <w:pPr>
              <w:keepNext w:val="0"/>
              <w:keepLines w:val="0"/>
              <w:pageBreakBefore w:val="0"/>
              <w:widowControl/>
              <w:kinsoku/>
              <w:wordWrap/>
              <w:overflowPunct/>
              <w:topLinePunct w:val="0"/>
              <w:bidi w:val="0"/>
              <w:snapToGrid/>
              <w:spacing w:line="320" w:lineRule="exact"/>
              <w:jc w:val="both"/>
              <w:textAlignment w:val="auto"/>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C份额认购起点10000元，追加金额为1元的整数倍。(面向新客户新资金客户销售）</w:t>
            </w:r>
          </w:p>
          <w:p>
            <w:pPr>
              <w:keepNext w:val="0"/>
              <w:keepLines w:val="0"/>
              <w:pageBreakBefore w:val="0"/>
              <w:widowControl/>
              <w:kinsoku/>
              <w:wordWrap/>
              <w:overflowPunct/>
              <w:topLinePunct w:val="0"/>
              <w:bidi w:val="0"/>
              <w:snapToGrid/>
              <w:spacing w:line="320" w:lineRule="exact"/>
              <w:jc w:val="both"/>
              <w:textAlignment w:val="auto"/>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D/J/T份额认购起点500000元，追加金额为10000元的整数倍。其中D份额面向高净值客户和白名单客户销售。</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ZA/ZF/ZQ份额认购起点100元，追加金额为100元的整数倍。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本理财产品直接或间接投资于固定收益类资产，包括货币市场工具类资产、标准化债权类资产、非标准化债权类资产和监管机构允许投资的其他资产。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highlight w:val="none"/>
              </w:rPr>
              <w:t>代销服务费率</w:t>
            </w:r>
          </w:p>
        </w:tc>
        <w:tc>
          <w:tcPr>
            <w:tcW w:w="6095" w:type="dxa"/>
            <w:vAlign w:val="center"/>
          </w:tcPr>
          <w:p>
            <w:pPr>
              <w:spacing w:line="320" w:lineRule="exact"/>
              <w:jc w:val="both"/>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A/F份额：0.30%/年；B份额：0.25%/年；D/J份额：0.20%/年；T份额：0.10%/年；ZA/ZF/ZQ份额：0.30%/年；C：0.15%/年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【销售服务费和投资管理费分成（差额补足）】</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A份额：2.45%-3.05%，2026年1月30日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B份额：2.48%-3.08%，2026年1月30日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C份额：2.50%-3.10%，2026年1月30日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D份额：2.60%-3.20%，2026年1月30日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F份额：2.45%-3.05%，2026年1月30日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J份额：2.55%-3.15%，2026年1月30日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T份额：2.60%-3.20%，2026年1月30日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ZA鑫福款（自动赎回）份额：2.45%-3.05%，2026年1月30日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ZF份额：2.45%-3.05%，2026年1月30日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B64F71"/>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2026-01-16T06:24:13Z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