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兴银理财【添利】理财产品</w:t>
      </w:r>
    </w:p>
    <w:p>
      <w:pPr>
        <w:widowControl/>
        <w:spacing w:line="360" w:lineRule="auto"/>
        <w:jc w:val="center"/>
        <w:rPr>
          <w:b/>
          <w:szCs w:val="21"/>
        </w:rPr>
      </w:pPr>
      <w:r>
        <w:rPr>
          <w:rFonts w:hint="eastAsia" w:ascii="黑体" w:hAnsi="黑体" w:eastAsia="黑体"/>
          <w:b/>
          <w:sz w:val="44"/>
          <w:szCs w:val="44"/>
        </w:rPr>
        <w:t>销售文件</w:t>
      </w:r>
    </w:p>
    <w:tbl>
      <w:tblPr>
        <w:tblStyle w:val="9"/>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兴银理财【添利】理财产品产品说明书</w:t>
            </w:r>
          </w:p>
        </w:tc>
        <w:tc>
          <w:tcPr>
            <w:tcW w:w="2107" w:type="dxa"/>
          </w:tcPr>
          <w:p>
            <w:pPr>
              <w:pStyle w:val="13"/>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兴银理财【添利】理财产品（代理）销售协议书</w:t>
            </w:r>
          </w:p>
        </w:tc>
        <w:tc>
          <w:tcPr>
            <w:tcW w:w="2107" w:type="dxa"/>
          </w:tcPr>
          <w:p>
            <w:pPr>
              <w:pStyle w:val="13"/>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3"/>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1"/>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宋体"/>
          <w:sz w:val="44"/>
          <w:szCs w:val="44"/>
        </w:rPr>
        <w:t>兴银理财【添利】理财产品</w:t>
      </w: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1"/>
          <w:rFonts w:ascii="宋体" w:hAnsi="宋体"/>
          <w:sz w:val="28"/>
          <w:szCs w:val="28"/>
        </w:rPr>
      </w:pPr>
      <w:bookmarkStart w:id="0" w:name="_Toc123112263"/>
      <w:bookmarkStart w:id="1" w:name="_Toc123701383"/>
      <w:bookmarkStart w:id="2" w:name="_Toc139991726"/>
      <w:bookmarkStart w:id="3" w:name="_Toc139992301"/>
      <w:bookmarkStart w:id="4" w:name="_Toc123112224"/>
      <w:r>
        <w:rPr>
          <w:rStyle w:val="11"/>
          <w:rFonts w:hint="eastAsia" w:ascii="宋体" w:hAnsi="宋体"/>
          <w:sz w:val="28"/>
          <w:szCs w:val="28"/>
        </w:rPr>
        <w:t>理财产品管理人：</w:t>
      </w:r>
      <w:bookmarkEnd w:id="0"/>
      <w:bookmarkEnd w:id="1"/>
      <w:bookmarkEnd w:id="2"/>
      <w:bookmarkEnd w:id="3"/>
      <w:bookmarkEnd w:id="4"/>
      <w:r>
        <w:rPr>
          <w:rStyle w:val="11"/>
          <w:rFonts w:hint="eastAsia" w:ascii="宋体" w:hAnsi="宋体"/>
          <w:sz w:val="28"/>
          <w:szCs w:val="28"/>
        </w:rPr>
        <w:t>兴银理财有限责任公司</w:t>
      </w:r>
    </w:p>
    <w:p>
      <w:pPr>
        <w:adjustRightInd w:val="0"/>
        <w:spacing w:line="360" w:lineRule="auto"/>
        <w:jc w:val="center"/>
        <w:rPr>
          <w:rStyle w:val="11"/>
          <w:rFonts w:ascii="黑体" w:hAnsi="黑体" w:eastAsia="黑体" w:cs="宋体"/>
          <w:sz w:val="28"/>
          <w:szCs w:val="28"/>
        </w:rPr>
      </w:pPr>
      <w:bookmarkStart w:id="5" w:name="_Toc123701384"/>
      <w:bookmarkStart w:id="6" w:name="_Toc123112225"/>
      <w:bookmarkStart w:id="7" w:name="_Toc123112264"/>
      <w:bookmarkStart w:id="8" w:name="_Toc139992302"/>
      <w:bookmarkStart w:id="9" w:name="_Toc139991727"/>
    </w:p>
    <w:bookmarkEnd w:id="5"/>
    <w:bookmarkEnd w:id="6"/>
    <w:bookmarkEnd w:id="7"/>
    <w:bookmarkEnd w:id="8"/>
    <w:bookmarkEnd w:id="9"/>
    <w:p>
      <w:pPr>
        <w:adjustRightInd w:val="0"/>
        <w:spacing w:line="360" w:lineRule="auto"/>
        <w:jc w:val="center"/>
        <w:rPr>
          <w:rStyle w:val="11"/>
          <w:rFonts w:ascii="黑体" w:hAnsi="黑体" w:eastAsia="黑体" w:cs="宋体"/>
          <w:sz w:val="28"/>
          <w:szCs w:val="28"/>
        </w:rPr>
      </w:pPr>
    </w:p>
    <w:p>
      <w:pPr>
        <w:adjustRightInd w:val="0"/>
        <w:spacing w:line="360" w:lineRule="auto"/>
        <w:jc w:val="center"/>
        <w:rPr>
          <w:rStyle w:val="11"/>
          <w:rFonts w:ascii="宋体" w:hAnsi="宋体"/>
          <w:sz w:val="28"/>
          <w:szCs w:val="28"/>
        </w:rPr>
      </w:pPr>
      <w:r>
        <w:rPr>
          <w:rStyle w:val="11"/>
          <w:rFonts w:hint="eastAsia" w:ascii="宋体" w:hAnsi="宋体"/>
          <w:sz w:val="28"/>
          <w:szCs w:val="28"/>
        </w:rPr>
        <w:t>日期</w:t>
      </w:r>
      <w:r>
        <w:rPr>
          <w:rStyle w:val="11"/>
          <w:rFonts w:ascii="宋体" w:hAnsi="宋体"/>
          <w:sz w:val="28"/>
          <w:szCs w:val="28"/>
        </w:rPr>
        <w:t>：</w:t>
      </w:r>
      <w:r>
        <w:rPr>
          <w:rStyle w:val="11"/>
          <w:rFonts w:hint="eastAsia" w:ascii="宋体" w:hAnsi="宋体"/>
          <w:sz w:val="28"/>
          <w:szCs w:val="28"/>
        </w:rPr>
        <w:t>【</w:t>
      </w:r>
      <w:r>
        <w:rPr>
          <w:rStyle w:val="11"/>
          <w:rFonts w:hint="eastAsia" w:ascii="宋体" w:hAnsi="宋体"/>
          <w:sz w:val="28"/>
          <w:szCs w:val="28"/>
          <w:lang w:val="en-US" w:eastAsia="zh-CN"/>
        </w:rPr>
        <w:t>2025</w:t>
      </w:r>
      <w:r>
        <w:rPr>
          <w:rStyle w:val="11"/>
          <w:rFonts w:hint="eastAsia" w:ascii="宋体" w:hAnsi="宋体"/>
          <w:sz w:val="28"/>
          <w:szCs w:val="28"/>
        </w:rPr>
        <w:t>】年【</w:t>
      </w:r>
      <w:r>
        <w:rPr>
          <w:rStyle w:val="11"/>
          <w:rFonts w:hint="eastAsia" w:ascii="宋体" w:hAnsi="宋体"/>
          <w:sz w:val="28"/>
          <w:szCs w:val="28"/>
          <w:lang w:val="en-US" w:eastAsia="zh-CN"/>
        </w:rPr>
        <w:t>12</w:t>
      </w:r>
      <w:r>
        <w:rPr>
          <w:rStyle w:val="11"/>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7"/>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8"/>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兴银添利天天利53号J（鑫福款）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w:t>
            </w:r>
            <w:r>
              <w:rPr>
                <w:rFonts w:hint="eastAsia" w:ascii="宋体" w:hAnsi="宋体"/>
                <w:bCs/>
                <w:color w:val="000000" w:themeColor="text1"/>
                <w:sz w:val="18"/>
                <w:szCs w:val="18"/>
                <w:lang w:val="en-US" w:eastAsia="zh-CN"/>
                <w14:textFill>
                  <w14:solidFill>
                    <w14:schemeClr w14:val="tx1"/>
                  </w14:solidFill>
                </w14:textFill>
              </w:rPr>
              <w:t>53</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9TTL953J</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4"/>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2639"/>
      <w:bookmarkStart w:id="15" w:name="_Toc123112229"/>
      <w:bookmarkStart w:id="16" w:name="_Toc30935"/>
      <w:bookmarkStart w:id="17" w:name="_Toc6306"/>
      <w:bookmarkStart w:id="18" w:name="_Toc8727"/>
      <w:bookmarkStart w:id="19" w:name="_Toc23386"/>
      <w:bookmarkStart w:id="20" w:name="_Toc26897"/>
      <w:bookmarkStart w:id="21" w:name="_Toc4966"/>
      <w:bookmarkStart w:id="22" w:name="_Toc123112268"/>
      <w:bookmarkStart w:id="23" w:name="_Toc29629"/>
      <w:bookmarkStart w:id="24" w:name="_Toc4867"/>
      <w:bookmarkStart w:id="25" w:name="_Toc123701389"/>
      <w:bookmarkStart w:id="26" w:name="_Toc15517"/>
      <w:bookmarkStart w:id="27" w:name="_Toc141703880"/>
      <w:bookmarkStart w:id="28" w:name="_Toc13999173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860"/>
      <w:bookmarkStart w:id="33" w:name="_Toc13020"/>
      <w:bookmarkStart w:id="34" w:name="_Toc15067"/>
      <w:bookmarkStart w:id="35" w:name="_Toc258829399"/>
      <w:bookmarkStart w:id="36" w:name="_Toc21301"/>
      <w:bookmarkStart w:id="37" w:name="_Toc819"/>
      <w:bookmarkStart w:id="38" w:name="_Toc6617"/>
      <w:bookmarkStart w:id="39" w:name="_Toc19592"/>
      <w:bookmarkStart w:id="40" w:name="_Toc22864"/>
      <w:bookmarkStart w:id="41" w:name="_Toc2465"/>
      <w:bookmarkStart w:id="42" w:name="_Toc3224"/>
      <w:r>
        <w:rPr>
          <w:rFonts w:hint="eastAsia" w:ascii="Times New Roman"/>
          <w:color w:val="auto"/>
          <w:sz w:val="30"/>
        </w:rPr>
        <w:t>前言</w:t>
      </w:r>
      <w:bookmarkEnd w:id="29"/>
    </w:p>
    <w:p>
      <w:pPr>
        <w:pStyle w:val="15"/>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20627"/>
      <w:bookmarkStart w:id="49" w:name="_Toc6149"/>
      <w:bookmarkStart w:id="50" w:name="_Toc545"/>
      <w:bookmarkStart w:id="51" w:name="_Toc22708"/>
      <w:bookmarkStart w:id="52" w:name="_Toc20318"/>
      <w:bookmarkStart w:id="53" w:name="_Toc13288"/>
      <w:bookmarkStart w:id="54" w:name="_Toc24571"/>
      <w:bookmarkStart w:id="55" w:name="_Toc6683"/>
      <w:bookmarkStart w:id="56" w:name="_Toc18631"/>
      <w:bookmarkStart w:id="57" w:name="_Toc733"/>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5"/>
        <w:spacing w:line="360" w:lineRule="auto"/>
        <w:rPr>
          <w:rFonts w:hAnsi="宋体"/>
          <w:sz w:val="18"/>
          <w:szCs w:val="18"/>
        </w:rPr>
      </w:pPr>
    </w:p>
    <w:p>
      <w:pPr>
        <w:widowControl/>
        <w:spacing w:line="360" w:lineRule="auto"/>
        <w:jc w:val="center"/>
        <w:rPr>
          <w:rStyle w:val="11"/>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theme="minorBidi"/>
          <w:sz w:val="44"/>
          <w:szCs w:val="44"/>
        </w:rPr>
        <w:t>兴银理财【添利】理财产品</w:t>
      </w: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theme="minorBidi"/>
          <w:sz w:val="44"/>
          <w:szCs w:val="44"/>
        </w:rPr>
        <w:t>产品说明书</w:t>
      </w: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黑体" w:hAnsi="黑体" w:eastAsia="黑体" w:cs="宋体"/>
          <w:bCs w:val="0"/>
          <w:sz w:val="28"/>
          <w:szCs w:val="28"/>
        </w:rPr>
      </w:pPr>
    </w:p>
    <w:p>
      <w:pPr>
        <w:adjustRightInd w:val="0"/>
        <w:spacing w:line="360" w:lineRule="auto"/>
        <w:jc w:val="center"/>
        <w:rPr>
          <w:rStyle w:val="11"/>
          <w:rFonts w:ascii="宋体" w:hAnsi="宋体" w:cs="Times New Roman"/>
          <w:sz w:val="32"/>
          <w:szCs w:val="32"/>
        </w:rPr>
      </w:pPr>
      <w:r>
        <w:rPr>
          <w:rStyle w:val="11"/>
          <w:rFonts w:hint="eastAsia" w:ascii="宋体" w:hAnsi="宋体" w:cs="Times New Roman" w:eastAsiaTheme="minorEastAsia"/>
          <w:sz w:val="32"/>
          <w:szCs w:val="32"/>
        </w:rPr>
        <w:t>理财产品管理人：兴银理财有限责任公司</w:t>
      </w: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宋体" w:hAnsi="宋体" w:cs="宋体"/>
          <w:sz w:val="32"/>
          <w:szCs w:val="32"/>
        </w:rPr>
      </w:pPr>
    </w:p>
    <w:p>
      <w:pPr>
        <w:adjustRightInd w:val="0"/>
        <w:spacing w:line="360" w:lineRule="auto"/>
        <w:jc w:val="center"/>
        <w:rPr>
          <w:rStyle w:val="11"/>
          <w:rFonts w:ascii="宋体" w:hAnsi="宋体" w:cs="Times New Roman"/>
          <w:sz w:val="32"/>
          <w:szCs w:val="32"/>
        </w:rPr>
      </w:pPr>
      <w:r>
        <w:rPr>
          <w:rStyle w:val="11"/>
          <w:rFonts w:hint="eastAsia" w:ascii="宋体" w:hAnsi="宋体" w:cs="Times New Roman" w:eastAsiaTheme="minorEastAsia"/>
          <w:sz w:val="32"/>
          <w:szCs w:val="32"/>
        </w:rPr>
        <w:t>日期</w:t>
      </w:r>
      <w:r>
        <w:rPr>
          <w:rStyle w:val="11"/>
          <w:rFonts w:ascii="宋体" w:hAnsi="宋体" w:cs="Times New Roman" w:eastAsiaTheme="minorEastAsia"/>
          <w:sz w:val="32"/>
          <w:szCs w:val="32"/>
        </w:rPr>
        <w:t>：</w:t>
      </w:r>
      <w:r>
        <w:rPr>
          <w:rStyle w:val="11"/>
          <w:rFonts w:hint="eastAsia" w:ascii="宋体" w:hAnsi="宋体" w:cs="Times New Roman" w:eastAsiaTheme="minorEastAsia"/>
          <w:sz w:val="32"/>
          <w:szCs w:val="32"/>
        </w:rPr>
        <w:t>【</w:t>
      </w:r>
      <w:r>
        <w:rPr>
          <w:rStyle w:val="11"/>
          <w:rFonts w:hint="eastAsia" w:ascii="宋体" w:hAnsi="宋体" w:cs="Times New Roman" w:eastAsiaTheme="minorEastAsia"/>
          <w:sz w:val="32"/>
          <w:szCs w:val="32"/>
          <w:lang w:val="en-US" w:eastAsia="zh-CN"/>
        </w:rPr>
        <w:t>2025</w:t>
      </w:r>
      <w:r>
        <w:rPr>
          <w:rStyle w:val="11"/>
          <w:rFonts w:hint="eastAsia" w:ascii="宋体" w:hAnsi="宋体" w:cs="Times New Roman" w:eastAsiaTheme="minorEastAsia"/>
          <w:sz w:val="32"/>
          <w:szCs w:val="32"/>
        </w:rPr>
        <w:t>】年【</w:t>
      </w:r>
      <w:r>
        <w:rPr>
          <w:rStyle w:val="11"/>
          <w:rFonts w:hint="eastAsia" w:ascii="宋体" w:hAnsi="宋体" w:cs="Times New Roman" w:eastAsiaTheme="minorEastAsia"/>
          <w:sz w:val="32"/>
          <w:szCs w:val="32"/>
          <w:lang w:val="en-US" w:eastAsia="zh-CN"/>
        </w:rPr>
        <w:t>12</w:t>
      </w:r>
      <w:r>
        <w:rPr>
          <w:rStyle w:val="11"/>
          <w:rFonts w:hint="eastAsia" w:ascii="宋体" w:hAnsi="宋体" w:cs="Times New Roman" w:eastAsiaTheme="minorEastAsia"/>
          <w:sz w:val="32"/>
          <w:szCs w:val="32"/>
        </w:rPr>
        <w:t>】月</w:t>
      </w:r>
    </w:p>
    <w:p>
      <w:pPr>
        <w:adjustRightInd w:val="0"/>
        <w:spacing w:line="360" w:lineRule="auto"/>
        <w:jc w:val="center"/>
        <w:rPr>
          <w:rStyle w:val="11"/>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Theme="majorHAnsi" w:hAnsiTheme="majorHAnsi" w:eastAsiaTheme="majorEastAsia" w:cstheme="majorBidi"/>
              <w:b/>
              <w:bCs/>
              <w:color w:val="2E75B6" w:themeColor="accent1" w:themeShade="BF"/>
              <w:kern w:val="0"/>
              <w:sz w:val="28"/>
              <w:szCs w:val="28"/>
              <w:lang w:val="en-US" w:eastAsia="zh-CN" w:bidi="ar-SA"/>
            </w:rPr>
          </w:pPr>
          <w:bookmarkStart w:id="66" w:name="_Toc78276587"/>
          <w:r>
            <w:rPr>
              <w:rFonts w:asciiTheme="majorHAnsi" w:hAnsiTheme="majorHAnsi" w:eastAsiaTheme="majorEastAsia" w:cstheme="majorBidi"/>
              <w:b/>
              <w:bCs/>
              <w:color w:val="2E75B6" w:themeColor="accent1" w:themeShade="BF"/>
              <w:kern w:val="0"/>
              <w:sz w:val="28"/>
              <w:szCs w:val="28"/>
              <w:lang w:val="zh-CN" w:eastAsia="zh-CN" w:bidi="ar-SA"/>
            </w:rPr>
            <w:t>目录</w:t>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"_Toc176189278"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第一条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_Toc176189278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"_Toc176189279" </w:instrText>
          </w:r>
          <w:r>
            <w:rPr>
              <w:rFonts w:ascii="Calibri" w:hAnsi="Calibri" w:eastAsia="宋体" w:cs="宋体"/>
              <w:kern w:val="0"/>
              <w:sz w:val="22"/>
              <w:szCs w:val="22"/>
              <w:lang w:val="en-US" w:eastAsia="zh-CN" w:bidi="ar-SA"/>
            </w:rPr>
            <w:fldChar w:fldCharType="separate"/>
          </w:r>
          <w:r>
            <w:rPr>
              <w:rStyle w:val="12"/>
              <w:rFonts w:hint="eastAsia" w:hAnsi="宋体" w:asciiTheme="minorHAnsi" w:eastAsiaTheme="minorEastAsia" w:cstheme="minorBidi"/>
              <w:kern w:val="0"/>
              <w:sz w:val="22"/>
              <w:szCs w:val="22"/>
              <w:lang w:val="en-US" w:eastAsia="zh-CN" w:bidi="ar-SA"/>
            </w:rPr>
            <w:t>第二条</w:t>
          </w:r>
          <w:r>
            <w:rPr>
              <w:rStyle w:val="12"/>
              <w:rFonts w:hAnsi="宋体" w:asciiTheme="minorHAnsi" w:eastAsiaTheme="minorEastAsia" w:cstheme="minorBidi"/>
              <w:kern w:val="0"/>
              <w:sz w:val="22"/>
              <w:szCs w:val="22"/>
              <w:lang w:val="en-US" w:eastAsia="zh-CN" w:bidi="ar-SA"/>
            </w:rPr>
            <w:t xml:space="preserve">  </w:t>
          </w:r>
          <w:r>
            <w:rPr>
              <w:rStyle w:val="12"/>
              <w:rFonts w:hint="eastAsia" w:hAnsi="宋体" w:asciiTheme="minorHAnsi" w:eastAsiaTheme="minorEastAsia" w:cstheme="minorBidi"/>
              <w:kern w:val="0"/>
              <w:sz w:val="22"/>
              <w:szCs w:val="22"/>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_Toc176189279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"_Toc176189280"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第三条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"_Toc176189281"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第四条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"_Toc176189282"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第五条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"_Toc176189283"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第六条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"_Toc176189284"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第七条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"_Toc176189285"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第八条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"_Toc176189286"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第九条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"_Toc176189287" </w:instrText>
          </w:r>
          <w:r>
            <w:rPr>
              <w:rFonts w:ascii="Calibri" w:hAnsi="Calibri" w:eastAsia="宋体" w:cs="宋体"/>
              <w:kern w:val="0"/>
              <w:sz w:val="22"/>
              <w:szCs w:val="22"/>
              <w:lang w:val="en-US" w:eastAsia="zh-CN" w:bidi="ar-SA"/>
            </w:rPr>
            <w:fldChar w:fldCharType="separate"/>
          </w:r>
          <w:r>
            <w:rPr>
              <w:rStyle w:val="12"/>
              <w:rFonts w:hint="eastAsia" w:asciiTheme="minorHAnsi" w:hAnsiTheme="minorHAnsi" w:eastAsiaTheme="minorEastAsia" w:cstheme="minorBidi"/>
              <w:kern w:val="0"/>
              <w:sz w:val="22"/>
              <w:szCs w:val="22"/>
              <w:lang w:val="en-US" w:eastAsia="zh-CN" w:bidi="ar-SA"/>
            </w:rPr>
            <w:t>第十条</w:t>
          </w:r>
          <w:r>
            <w:rPr>
              <w:rStyle w:val="12"/>
              <w:rFonts w:asciiTheme="minorHAnsi" w:hAnsiTheme="minorHAnsi" w:eastAsiaTheme="minorEastAsia" w:cstheme="minorBidi"/>
              <w:kern w:val="0"/>
              <w:sz w:val="22"/>
              <w:szCs w:val="22"/>
              <w:lang w:val="en-US" w:eastAsia="zh-CN" w:bidi="ar-SA"/>
            </w:rPr>
            <w:t xml:space="preserve">  </w:t>
          </w:r>
          <w:r>
            <w:rPr>
              <w:rStyle w:val="12"/>
              <w:rFonts w:hint="eastAsia" w:asciiTheme="minorHAnsi" w:hAnsiTheme="minorHAnsi" w:eastAsiaTheme="minorEastAsia" w:cstheme="minorBidi"/>
              <w:kern w:val="0"/>
              <w:sz w:val="22"/>
              <w:szCs w:val="22"/>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"_Toc176189288"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第十一条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Theme="minorHAnsi" w:hAnsiTheme="minorHAnsi" w:eastAsiaTheme="minorEastAsia" w:cstheme="minorBidi"/>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"_Toc176189289" </w:instrText>
          </w:r>
          <w:r>
            <w:rPr>
              <w:rFonts w:ascii="Calibri" w:hAnsi="Calibri" w:eastAsia="宋体" w:cs="宋体"/>
              <w:kern w:val="0"/>
              <w:sz w:val="22"/>
              <w:szCs w:val="22"/>
              <w:lang w:val="en-US" w:eastAsia="zh-CN" w:bidi="ar-SA"/>
            </w:rPr>
            <w:fldChar w:fldCharType="separate"/>
          </w:r>
          <w:r>
            <w:rPr>
              <w:rStyle w:val="12"/>
              <w:rFonts w:hint="eastAsia" w:ascii="Times New Roman" w:hAnsiTheme="minorHAnsi" w:eastAsiaTheme="minorEastAsia" w:cstheme="minorBidi"/>
              <w:kern w:val="0"/>
              <w:sz w:val="22"/>
              <w:szCs w:val="22"/>
              <w:lang w:val="en-US" w:eastAsia="zh-CN" w:bidi="ar-SA"/>
            </w:rPr>
            <w:t>第十二条</w:t>
          </w:r>
          <w:r>
            <w:rPr>
              <w:rStyle w:val="12"/>
              <w:rFonts w:ascii="Times New Roman" w:hAnsiTheme="minorHAnsi" w:eastAsiaTheme="minorEastAsia" w:cstheme="minorBidi"/>
              <w:kern w:val="0"/>
              <w:sz w:val="22"/>
              <w:szCs w:val="22"/>
              <w:lang w:val="en-US" w:eastAsia="zh-CN" w:bidi="ar-SA"/>
            </w:rPr>
            <w:t xml:space="preserve">  </w:t>
          </w:r>
          <w:r>
            <w:rPr>
              <w:rStyle w:val="12"/>
              <w:rFonts w:hint="eastAsia" w:ascii="Times New Roman" w:hAnsiTheme="minorHAnsi" w:eastAsiaTheme="minorEastAsia" w:cstheme="minorBidi"/>
              <w:kern w:val="0"/>
              <w:sz w:val="22"/>
              <w:szCs w:val="22"/>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_Toc176189289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6906"/>
      <w:bookmarkStart w:id="68" w:name="_Toc176189278"/>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bookmarkEnd w:id="68"/>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（一）在本产品说明书中，除非上下文另有明确约定，下列用词</w:t>
      </w:r>
      <w:r>
        <w:rPr>
          <w:rFonts w:cs="宋体" w:asciiTheme="majorEastAsia" w:hAnsiTheme="majorEastAsia" w:eastAsiaTheme="majorEastAsia"/>
          <w:bCs/>
          <w:color w:val="auto"/>
          <w:sz w:val="18"/>
          <w:szCs w:val="18"/>
          <w:lang w:val="en-US" w:eastAsia="zh-CN" w:bidi="ar-SA"/>
        </w:rPr>
        <w:t>或简称</w:t>
      </w:r>
      <w:r>
        <w:rPr>
          <w:rFonts w:hint="eastAsia" w:cs="宋体" w:asciiTheme="majorEastAsia" w:hAnsiTheme="majorEastAsia" w:eastAsiaTheme="majorEastAsia"/>
          <w:bCs/>
          <w:color w:val="auto"/>
          <w:sz w:val="18"/>
          <w:szCs w:val="18"/>
          <w:lang w:val="en-US" w:eastAsia="zh-CN" w:bidi="ar-SA"/>
        </w:rPr>
        <w:t>具有如下含义：</w:t>
      </w:r>
      <w:r>
        <w:rPr>
          <w:rFonts w:cs="宋体" w:asciiTheme="majorEastAsia" w:hAnsiTheme="majorEastAsia" w:eastAsiaTheme="majorEastAsia"/>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cs="宋体" w:asciiTheme="majorEastAsia" w:hAnsiTheme="majorEastAsia" w:eastAsiaTheme="majorEastAsia"/>
          <w:b/>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1.</w:t>
      </w:r>
      <w:r>
        <w:rPr>
          <w:rFonts w:hint="eastAsia" w:cs="宋体" w:asciiTheme="majorEastAsia" w:hAnsiTheme="majorEastAsia" w:eastAsiaTheme="majorEastAsia"/>
          <w:b/>
          <w:bCs/>
          <w:color w:val="auto"/>
          <w:sz w:val="18"/>
          <w:szCs w:val="18"/>
          <w:lang w:val="en-US" w:eastAsia="zh-CN" w:bidi="ar-SA"/>
        </w:rPr>
        <w:t>参与主体用语</w:t>
      </w:r>
      <w:r>
        <w:rPr>
          <w:rFonts w:cs="宋体" w:asciiTheme="majorEastAsia" w:hAnsiTheme="majorEastAsia" w:eastAsiaTheme="majorEastAsia"/>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2）</w:t>
      </w:r>
      <w:r>
        <w:rPr>
          <w:rFonts w:hint="eastAsia" w:cs="宋体" w:asciiTheme="majorEastAsia" w:hAnsiTheme="majorEastAsia" w:eastAsiaTheme="majorEastAsia"/>
          <w:bCs/>
          <w:color w:val="auto"/>
          <w:sz w:val="18"/>
          <w:szCs w:val="18"/>
          <w:lang w:val="en-US" w:eastAsia="zh-CN" w:bidi="ar-SA"/>
        </w:rPr>
        <w:t>托管人</w:t>
      </w:r>
      <w:r>
        <w:rPr>
          <w:rFonts w:cs="宋体" w:asciiTheme="majorEastAsia" w:hAnsiTheme="majorEastAsia" w:eastAsiaTheme="majorEastAsia"/>
          <w:bCs/>
          <w:color w:val="auto"/>
          <w:sz w:val="18"/>
          <w:szCs w:val="18"/>
          <w:lang w:val="en-US" w:eastAsia="zh-CN" w:bidi="ar-SA"/>
        </w:rPr>
        <w:t>/产品</w:t>
      </w:r>
      <w:r>
        <w:rPr>
          <w:rFonts w:hint="eastAsia" w:cs="宋体" w:asciiTheme="majorEastAsia" w:hAnsiTheme="majorEastAsia" w:eastAsiaTheme="majorEastAsia"/>
          <w:bCs/>
          <w:color w:val="auto"/>
          <w:sz w:val="18"/>
          <w:szCs w:val="18"/>
          <w:lang w:val="en-US" w:eastAsia="zh-CN" w:bidi="ar-SA"/>
        </w:rPr>
        <w:t>托管人/理财产品</w:t>
      </w:r>
      <w:r>
        <w:rPr>
          <w:rFonts w:cs="宋体" w:asciiTheme="majorEastAsia" w:hAnsiTheme="majorEastAsia" w:eastAsiaTheme="majorEastAsia"/>
          <w:bCs/>
          <w:color w:val="auto"/>
          <w:sz w:val="18"/>
          <w:szCs w:val="18"/>
          <w:lang w:val="en-US" w:eastAsia="zh-CN" w:bidi="ar-SA"/>
        </w:rPr>
        <w:t>托管人</w:t>
      </w:r>
      <w:r>
        <w:rPr>
          <w:rFonts w:hint="eastAsia" w:cs="宋体" w:asciiTheme="majorEastAsia" w:hAnsiTheme="majorEastAsia" w:eastAsiaTheme="majorEastAsia"/>
          <w:bCs/>
          <w:color w:val="auto"/>
          <w:sz w:val="18"/>
          <w:szCs w:val="18"/>
          <w:lang w:val="en-US" w:eastAsia="zh-CN" w:bidi="ar-SA"/>
        </w:rPr>
        <w:t>：指兴业银行股份有限公司（以下简称</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兴业银行</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）。兴业银行成立于</w:t>
      </w:r>
      <w:r>
        <w:rPr>
          <w:rFonts w:cs="宋体" w:asciiTheme="majorEastAsia" w:hAnsiTheme="majorEastAsia" w:eastAsiaTheme="majorEastAsia"/>
          <w:bCs/>
          <w:color w:val="auto"/>
          <w:sz w:val="18"/>
          <w:szCs w:val="18"/>
          <w:lang w:val="en-US" w:eastAsia="zh-CN" w:bidi="ar-SA"/>
        </w:rPr>
        <w:t>1988年，于2005年开展资产托管业务，具备理财产品托管资格。</w:t>
      </w:r>
      <w:r>
        <w:rPr>
          <w:rFonts w:hint="eastAsia" w:cs="宋体" w:asciiTheme="majorEastAsia" w:hAnsiTheme="majorEastAsia" w:eastAsiaTheme="majorEastAsia"/>
          <w:bCs/>
          <w:color w:val="auto"/>
          <w:sz w:val="18"/>
          <w:szCs w:val="18"/>
          <w:lang w:val="en-US" w:eastAsia="zh-CN" w:bidi="ar-SA"/>
        </w:rPr>
        <w:t>托管人负责履行安全保管理财产品资金及其所投资的资产，办理清算、交割事宜，与管理人对账，监督理财产品投资运作等职责。</w:t>
      </w:r>
      <w:r>
        <w:rPr>
          <w:rFonts w:cs="宋体" w:asciiTheme="majorEastAsia" w:hAnsiTheme="majorEastAsia" w:eastAsiaTheme="majorEastAsia"/>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cs="宋体" w:asciiTheme="majorEastAsia" w:hAnsiTheme="majorEastAsia" w:eastAsiaTheme="majorEastAsia"/>
          <w:bCs/>
          <w:color w:val="000000"/>
          <w:sz w:val="18"/>
          <w:szCs w:val="18"/>
          <w:lang w:val="en-US" w:eastAsia="zh-CN" w:bidi="ar-SA"/>
        </w:rPr>
        <w:t>指具备理财产品</w:t>
      </w:r>
      <w:r>
        <w:rPr>
          <w:rFonts w:cs="宋体" w:asciiTheme="majorEastAsia" w:hAnsiTheme="majorEastAsia" w:eastAsiaTheme="majorEastAsia"/>
          <w:bCs/>
          <w:color w:val="000000"/>
          <w:sz w:val="18"/>
          <w:szCs w:val="18"/>
          <w:lang w:val="en-US" w:eastAsia="zh-CN" w:bidi="ar-SA"/>
        </w:rPr>
        <w:t>销售</w:t>
      </w:r>
      <w:r>
        <w:rPr>
          <w:rFonts w:hint="eastAsia" w:cs="宋体" w:asciiTheme="majorEastAsia" w:hAnsiTheme="majorEastAsia" w:eastAsiaTheme="majorEastAsia"/>
          <w:bCs/>
          <w:color w:val="000000"/>
          <w:sz w:val="18"/>
          <w:szCs w:val="18"/>
          <w:lang w:val="en-US" w:eastAsia="zh-CN" w:bidi="ar-SA"/>
        </w:rPr>
        <w:t>资格</w:t>
      </w:r>
      <w:r>
        <w:rPr>
          <w:rFonts w:cs="宋体" w:asciiTheme="majorEastAsia" w:hAnsiTheme="majorEastAsia" w:eastAsiaTheme="majorEastAsia"/>
          <w:bCs/>
          <w:color w:val="000000"/>
          <w:sz w:val="18"/>
          <w:szCs w:val="18"/>
          <w:lang w:val="en-US" w:eastAsia="zh-CN" w:bidi="ar-SA"/>
        </w:rPr>
        <w:t>的</w:t>
      </w:r>
      <w:r>
        <w:rPr>
          <w:rFonts w:hint="eastAsia" w:cs="宋体" w:asciiTheme="majorEastAsia" w:hAnsiTheme="majorEastAsia" w:eastAsiaTheme="majorEastAsia"/>
          <w:bCs/>
          <w:color w:val="000000"/>
          <w:sz w:val="18"/>
          <w:szCs w:val="18"/>
          <w:lang w:val="en-US" w:eastAsia="zh-CN" w:bidi="ar-SA"/>
        </w:rPr>
        <w:t>机构。按是否销售本公司发行的理财产品，销售机构可分为</w:t>
      </w:r>
      <w:r>
        <w:rPr>
          <w:rFonts w:hint="eastAsia" w:cs="宋体" w:asciiTheme="majorEastAsia" w:hAnsiTheme="majorEastAsia" w:eastAsiaTheme="majorEastAsia"/>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“销售”是指面向投资者开展的以下部分或全部业务活动：</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）以展示、介绍、比较单只或多只理财产品部分或全部特征信息并直接或间接提供认购、申购、赎回服务等方式宣传推介理财产品；</w:t>
      </w:r>
      <w:r>
        <w:rPr>
          <w:rFonts w:cs="宋体" w:asciiTheme="majorEastAsia" w:hAnsiTheme="majorEastAsia" w:eastAsiaTheme="majorEastAsia"/>
          <w:bCs/>
          <w:color w:val="auto"/>
          <w:sz w:val="18"/>
          <w:szCs w:val="18"/>
          <w:lang w:val="en-US" w:eastAsia="zh-CN" w:bidi="ar-SA"/>
        </w:rPr>
        <w:t>2）提供单只或多只理财产品投资建议；3）为投资者办理理财产品认购、申购和赎回；4）</w:t>
      </w:r>
      <w:r>
        <w:rPr>
          <w:rFonts w:hint="eastAsia" w:cs="宋体" w:asciiTheme="majorEastAsia" w:hAnsiTheme="majorEastAsia" w:eastAsiaTheme="majorEastAsia"/>
          <w:bCs/>
          <w:color w:val="auto"/>
          <w:sz w:val="18"/>
          <w:szCs w:val="18"/>
          <w:lang w:val="en-US" w:eastAsia="zh-CN" w:bidi="ar-SA"/>
        </w:rPr>
        <w:t>监管部门</w:t>
      </w:r>
      <w:r>
        <w:rPr>
          <w:rFonts w:cs="宋体" w:asciiTheme="majorEastAsia" w:hAnsiTheme="majorEastAsia" w:eastAsiaTheme="majorEastAsia"/>
          <w:bCs/>
          <w:color w:val="auto"/>
          <w:sz w:val="18"/>
          <w:szCs w:val="18"/>
          <w:lang w:val="en-US" w:eastAsia="zh-CN" w:bidi="ar-SA"/>
        </w:rPr>
        <w:t>认定的其他业务活动。各</w:t>
      </w:r>
      <w:r>
        <w:rPr>
          <w:rFonts w:hint="eastAsia" w:cs="宋体" w:asciiTheme="majorEastAsia" w:hAnsiTheme="majorEastAsia" w:eastAsiaTheme="majorEastAsia"/>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4）</w:t>
      </w:r>
      <w:r>
        <w:rPr>
          <w:rFonts w:hint="eastAsia" w:cs="宋体" w:asciiTheme="majorEastAsia" w:hAnsiTheme="majorEastAsia" w:eastAsiaTheme="majorEastAsia"/>
          <w:bCs/>
          <w:color w:val="000000"/>
          <w:sz w:val="18"/>
          <w:szCs w:val="18"/>
          <w:lang w:val="en-US" w:eastAsia="zh-CN" w:bidi="ar-SA"/>
        </w:rPr>
        <w:t>投资者：指符合相关法律法规、监管规定要求的，可以购买理财产品份额的自然人、法人或者依法成立的其他组织。</w:t>
      </w:r>
      <w:r>
        <w:rPr>
          <w:rFonts w:cs="宋体" w:asciiTheme="majorEastAsia" w:hAnsiTheme="majorEastAsia" w:eastAsiaTheme="majorEastAsia"/>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cs="宋体" w:asciiTheme="majorEastAsia" w:hAnsiTheme="majorEastAsia" w:eastAsiaTheme="majorEastAsia"/>
          <w:bCs/>
          <w:color w:val="000000"/>
          <w:sz w:val="18"/>
          <w:szCs w:val="18"/>
          <w:lang w:val="en-US" w:eastAsia="zh-CN" w:bidi="ar-SA"/>
        </w:rPr>
        <w:t>1</w:t>
      </w: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 xml:space="preserve"> </w:t>
      </w:r>
      <w:r>
        <w:rPr>
          <w:rFonts w:hint="eastAsia" w:cs="宋体" w:asciiTheme="majorEastAsia" w:hAnsiTheme="majorEastAsia" w:eastAsiaTheme="majorEastAsia"/>
          <w:bCs/>
          <w:color w:val="000000"/>
          <w:sz w:val="18"/>
          <w:szCs w:val="18"/>
          <w:lang w:val="en-US" w:eastAsia="zh-CN" w:bidi="ar-SA"/>
        </w:rPr>
        <w:t>具有</w:t>
      </w:r>
      <w:r>
        <w:rPr>
          <w:rFonts w:cs="宋体" w:asciiTheme="majorEastAsia" w:hAnsiTheme="majorEastAsia" w:eastAsiaTheme="majorEastAsia"/>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2）最近</w:t>
      </w:r>
      <w:r>
        <w:rPr>
          <w:rFonts w:cs="宋体" w:asciiTheme="majorEastAsia" w:hAnsiTheme="majorEastAsia" w:eastAsiaTheme="majorEastAsia"/>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（6）全国银行业理财信息登记系统：指供商业银行及商业银行理财公司进行理财产品电子化报告和信息登记的电子信息系统。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cs="宋体" w:asciiTheme="majorEastAsia" w:hAnsiTheme="majorEastAsia" w:eastAsiaTheme="majorEastAsia"/>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 xml:space="preserve">2. </w:t>
      </w:r>
      <w:r>
        <w:rPr>
          <w:rFonts w:hint="eastAsia" w:cs="宋体" w:asciiTheme="majorEastAsia" w:hAnsiTheme="majorEastAsia" w:eastAsiaTheme="majorEastAsia"/>
          <w:b/>
          <w:bCs/>
          <w:color w:val="auto"/>
          <w:sz w:val="18"/>
          <w:szCs w:val="18"/>
          <w:lang w:val="en-US" w:eastAsia="zh-CN" w:bidi="ar-SA"/>
        </w:rPr>
        <w:t>法律文件用语</w:t>
      </w:r>
      <w:r>
        <w:rPr>
          <w:rFonts w:cs="宋体" w:asciiTheme="majorEastAsia" w:hAnsiTheme="majorEastAsia" w:eastAsiaTheme="majorEastAsia"/>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1）</w:t>
      </w:r>
      <w:r>
        <w:rPr>
          <w:rFonts w:hint="eastAsia" w:cs="宋体" w:asciiTheme="majorEastAsia" w:hAnsiTheme="majorEastAsia" w:eastAsiaTheme="majorEastAsia"/>
          <w:bCs/>
          <w:color w:val="000000"/>
          <w:sz w:val="18"/>
          <w:szCs w:val="18"/>
          <w:lang w:val="en-US" w:eastAsia="zh-CN" w:bidi="ar-SA"/>
        </w:rPr>
        <w:t>理财产品销售文件</w:t>
      </w:r>
      <w:r>
        <w:rPr>
          <w:rFonts w:cs="宋体" w:asciiTheme="majorEastAsia" w:hAnsiTheme="majorEastAsia" w:eastAsiaTheme="majorEastAsia"/>
          <w:bCs/>
          <w:color w:val="000000"/>
          <w:sz w:val="18"/>
          <w:szCs w:val="18"/>
          <w:lang w:val="en-US" w:eastAsia="zh-CN" w:bidi="ar-SA"/>
        </w:rPr>
        <w:t xml:space="preserve"> </w:t>
      </w:r>
      <w:r>
        <w:rPr>
          <w:rFonts w:hint="eastAsia" w:cs="宋体" w:asciiTheme="majorEastAsia" w:hAnsiTheme="majorEastAsia" w:eastAsiaTheme="majorEastAsia"/>
          <w:bCs/>
          <w:color w:val="000000"/>
          <w:sz w:val="18"/>
          <w:szCs w:val="18"/>
          <w:lang w:val="en-US" w:eastAsia="zh-CN" w:bidi="ar-SA"/>
        </w:rPr>
        <w:t>：指产品管理人向投资者提供的，用于描述产品特征，约定权利义务的文件。具体指《兴银理财【添利】理财产品销售文件》，包括《投资协议书》《产品说明书》《（代理）销售</w:t>
      </w:r>
      <w:r>
        <w:rPr>
          <w:rFonts w:cs="宋体" w:asciiTheme="majorEastAsia" w:hAnsiTheme="majorEastAsia" w:eastAsiaTheme="majorEastAsia"/>
          <w:bCs/>
          <w:color w:val="000000"/>
          <w:sz w:val="18"/>
          <w:szCs w:val="18"/>
          <w:lang w:val="en-US" w:eastAsia="zh-CN" w:bidi="ar-SA"/>
        </w:rPr>
        <w:t>协议书</w:t>
      </w:r>
      <w:r>
        <w:rPr>
          <w:rFonts w:hint="eastAsia" w:cs="宋体" w:asciiTheme="majorEastAsia" w:hAnsiTheme="majorEastAsia" w:eastAsiaTheme="majorEastAsia"/>
          <w:bCs/>
          <w:color w:val="000000"/>
          <w:sz w:val="18"/>
          <w:szCs w:val="18"/>
          <w:lang w:val="en-US" w:eastAsia="zh-CN" w:bidi="ar-SA"/>
        </w:rPr>
        <w:t>》《风险揭示书》《投资者权益须知》以及对该文件的有效修改或补充。上述文件共同构成一份完整且不可分割的理财产品销售文件。经</w:t>
      </w:r>
      <w:r>
        <w:rPr>
          <w:rFonts w:cs="宋体" w:asciiTheme="majorEastAsia" w:hAnsiTheme="majorEastAsia" w:eastAsiaTheme="majorEastAsia"/>
          <w:bCs/>
          <w:color w:val="000000"/>
          <w:sz w:val="18"/>
          <w:szCs w:val="18"/>
          <w:lang w:val="en-US" w:eastAsia="zh-CN" w:bidi="ar-SA"/>
        </w:rPr>
        <w:t>产品</w:t>
      </w:r>
      <w:r>
        <w:rPr>
          <w:rFonts w:hint="eastAsia" w:cs="宋体" w:asciiTheme="majorEastAsia" w:hAnsiTheme="majorEastAsia" w:eastAsiaTheme="majorEastAsia"/>
          <w:bCs/>
          <w:color w:val="000000"/>
          <w:sz w:val="18"/>
          <w:szCs w:val="18"/>
          <w:lang w:val="en-US" w:eastAsia="zh-CN" w:bidi="ar-SA"/>
        </w:rPr>
        <w:t>管理人</w:t>
      </w:r>
      <w:r>
        <w:rPr>
          <w:rFonts w:cs="宋体" w:asciiTheme="majorEastAsia" w:hAnsiTheme="majorEastAsia" w:eastAsiaTheme="majorEastAsia"/>
          <w:bCs/>
          <w:color w:val="000000"/>
          <w:sz w:val="18"/>
          <w:szCs w:val="18"/>
          <w:lang w:val="en-US" w:eastAsia="zh-CN" w:bidi="ar-SA"/>
        </w:rPr>
        <w:t>委托，代理销售机构可以编制</w:t>
      </w:r>
      <w:r>
        <w:rPr>
          <w:rFonts w:hint="eastAsia" w:cs="宋体" w:asciiTheme="majorEastAsia" w:hAnsiTheme="majorEastAsia" w:eastAsiaTheme="majorEastAsia"/>
          <w:bCs/>
          <w:color w:val="000000"/>
          <w:sz w:val="18"/>
          <w:szCs w:val="18"/>
          <w:lang w:val="en-US" w:eastAsia="zh-CN" w:bidi="ar-SA"/>
        </w:rPr>
        <w:t>《（代理）销售</w:t>
      </w:r>
      <w:r>
        <w:rPr>
          <w:rFonts w:cs="宋体" w:asciiTheme="majorEastAsia" w:hAnsiTheme="majorEastAsia" w:eastAsiaTheme="majorEastAsia"/>
          <w:bCs/>
          <w:color w:val="000000"/>
          <w:sz w:val="18"/>
          <w:szCs w:val="18"/>
          <w:lang w:val="en-US" w:eastAsia="zh-CN" w:bidi="ar-SA"/>
        </w:rPr>
        <w:t>协议书</w:t>
      </w:r>
      <w:r>
        <w:rPr>
          <w:rFonts w:hint="eastAsia" w:cs="宋体" w:asciiTheme="majorEastAsia" w:hAnsiTheme="majorEastAsia" w:eastAsiaTheme="majorEastAsia"/>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2）</w:t>
      </w:r>
      <w:r>
        <w:rPr>
          <w:rFonts w:hint="eastAsia" w:cs="宋体" w:asciiTheme="majorEastAsia" w:hAnsiTheme="majorEastAsia" w:eastAsiaTheme="majorEastAsia"/>
          <w:bCs/>
          <w:color w:val="000000"/>
          <w:sz w:val="18"/>
          <w:szCs w:val="18"/>
          <w:lang w:val="en-US" w:eastAsia="zh-CN" w:bidi="ar-SA"/>
        </w:rPr>
        <w:t>《投资协议书》：指管理人统一编制的《兴银理财【添利】理财产品投资协议书》，以及对该文件的有效修改或补充。</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3</w:t>
      </w:r>
      <w:r>
        <w:rPr>
          <w:rFonts w:hint="eastAsia" w:cs="宋体" w:asciiTheme="majorEastAsia" w:hAnsiTheme="majorEastAsia" w:eastAsiaTheme="majorEastAsia"/>
          <w:bCs/>
          <w:color w:val="000000"/>
          <w:sz w:val="18"/>
          <w:szCs w:val="18"/>
          <w:lang w:val="en-US" w:eastAsia="zh-CN" w:bidi="ar-SA"/>
        </w:rPr>
        <w:t>）《产品说明书》：指管理人统一编制的《兴银理财【添利】理财产品产品说明书》，以及对该文件的有效修改或补充。</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（4）《（代理）销售协议书》：指管理人统一编制的《兴银理财【添利】理财产品（代理）销售协议书》或</w:t>
      </w:r>
      <w:r>
        <w:rPr>
          <w:rFonts w:cs="宋体" w:asciiTheme="majorEastAsia" w:hAnsiTheme="majorEastAsia" w:eastAsiaTheme="majorEastAsia"/>
          <w:bCs/>
          <w:color w:val="000000"/>
          <w:sz w:val="18"/>
          <w:szCs w:val="18"/>
          <w:lang w:val="en-US" w:eastAsia="zh-CN" w:bidi="ar-SA"/>
        </w:rPr>
        <w:t>代理销售机构接受产品管理人委托</w:t>
      </w:r>
      <w:r>
        <w:rPr>
          <w:rFonts w:hint="eastAsia" w:cs="宋体" w:asciiTheme="majorEastAsia" w:hAnsiTheme="majorEastAsia" w:eastAsiaTheme="majorEastAsia"/>
          <w:bCs/>
          <w:color w:val="000000"/>
          <w:sz w:val="18"/>
          <w:szCs w:val="18"/>
          <w:lang w:val="en-US" w:eastAsia="zh-CN" w:bidi="ar-SA"/>
        </w:rPr>
        <w:t>自行</w:t>
      </w:r>
      <w:r>
        <w:rPr>
          <w:rFonts w:cs="宋体" w:asciiTheme="majorEastAsia" w:hAnsiTheme="majorEastAsia" w:eastAsiaTheme="majorEastAsia"/>
          <w:bCs/>
          <w:color w:val="000000"/>
          <w:sz w:val="18"/>
          <w:szCs w:val="18"/>
          <w:lang w:val="en-US" w:eastAsia="zh-CN" w:bidi="ar-SA"/>
        </w:rPr>
        <w:t>编制</w:t>
      </w:r>
      <w:r>
        <w:rPr>
          <w:rFonts w:hint="eastAsia" w:cs="宋体" w:asciiTheme="majorEastAsia" w:hAnsiTheme="majorEastAsia" w:eastAsiaTheme="majorEastAsia"/>
          <w:bCs/>
          <w:color w:val="000000"/>
          <w:sz w:val="18"/>
          <w:szCs w:val="18"/>
          <w:lang w:val="en-US" w:eastAsia="zh-CN" w:bidi="ar-SA"/>
        </w:rPr>
        <w:t>的《兴银理财【添利】理财产品（代理）销售协议书》（文件名称以代理销售机构实际编制为准），以及对该文件的有效修改或补充。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5</w:t>
      </w:r>
      <w:r>
        <w:rPr>
          <w:rFonts w:hint="eastAsia" w:cs="宋体" w:asciiTheme="majorEastAsia" w:hAnsiTheme="majorEastAsia" w:eastAsiaTheme="majorEastAsia"/>
          <w:bCs/>
          <w:color w:val="000000"/>
          <w:sz w:val="18"/>
          <w:szCs w:val="18"/>
          <w:lang w:val="en-US" w:eastAsia="zh-CN" w:bidi="ar-SA"/>
        </w:rPr>
        <w:t>）《风险揭示书》：指管理人统一编制的《兴银理财【添利】理财产品风险揭示书》或</w:t>
      </w:r>
      <w:r>
        <w:rPr>
          <w:rFonts w:cs="宋体" w:asciiTheme="majorEastAsia" w:hAnsiTheme="majorEastAsia" w:eastAsiaTheme="majorEastAsia"/>
          <w:bCs/>
          <w:color w:val="000000"/>
          <w:sz w:val="18"/>
          <w:szCs w:val="18"/>
          <w:lang w:val="en-US" w:eastAsia="zh-CN" w:bidi="ar-SA"/>
        </w:rPr>
        <w:t>代理销售机构接受产品管理人委托</w:t>
      </w:r>
      <w:r>
        <w:rPr>
          <w:rFonts w:hint="eastAsia" w:cs="宋体" w:asciiTheme="majorEastAsia" w:hAnsiTheme="majorEastAsia" w:eastAsiaTheme="majorEastAsia"/>
          <w:bCs/>
          <w:color w:val="000000"/>
          <w:sz w:val="18"/>
          <w:szCs w:val="18"/>
          <w:lang w:val="en-US" w:eastAsia="zh-CN" w:bidi="ar-SA"/>
        </w:rPr>
        <w:t>自行</w:t>
      </w:r>
      <w:r>
        <w:rPr>
          <w:rFonts w:cs="宋体" w:asciiTheme="majorEastAsia" w:hAnsiTheme="majorEastAsia" w:eastAsiaTheme="majorEastAsia"/>
          <w:bCs/>
          <w:color w:val="000000"/>
          <w:sz w:val="18"/>
          <w:szCs w:val="18"/>
          <w:lang w:val="en-US" w:eastAsia="zh-CN" w:bidi="ar-SA"/>
        </w:rPr>
        <w:t>编制</w:t>
      </w:r>
      <w:r>
        <w:rPr>
          <w:rFonts w:hint="eastAsia" w:cs="宋体" w:asciiTheme="majorEastAsia" w:hAnsiTheme="majorEastAsia" w:eastAsiaTheme="majorEastAsia"/>
          <w:bCs/>
          <w:color w:val="000000"/>
          <w:sz w:val="18"/>
          <w:szCs w:val="18"/>
          <w:lang w:val="en-US" w:eastAsia="zh-CN" w:bidi="ar-SA"/>
        </w:rPr>
        <w:t>的《兴银理财【添利】理财产品风险揭示书》（文件名称以代理销售机构实际编制为准），以及对该文件的有效修改或补充。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000000"/>
          <w:sz w:val="18"/>
          <w:szCs w:val="18"/>
          <w:lang w:val="en-US" w:eastAsia="zh-CN" w:bidi="ar-SA"/>
        </w:rPr>
        <w:t>（</w:t>
      </w:r>
      <w:r>
        <w:rPr>
          <w:rFonts w:cs="宋体" w:asciiTheme="majorEastAsia" w:hAnsiTheme="majorEastAsia" w:eastAsiaTheme="majorEastAsia"/>
          <w:bCs/>
          <w:color w:val="000000"/>
          <w:sz w:val="18"/>
          <w:szCs w:val="18"/>
          <w:lang w:val="en-US" w:eastAsia="zh-CN" w:bidi="ar-SA"/>
        </w:rPr>
        <w:t>6</w:t>
      </w:r>
      <w:r>
        <w:rPr>
          <w:rFonts w:hint="eastAsia" w:cs="宋体" w:asciiTheme="majorEastAsia" w:hAnsiTheme="majorEastAsia" w:eastAsiaTheme="majorEastAsia"/>
          <w:bCs/>
          <w:color w:val="000000"/>
          <w:sz w:val="18"/>
          <w:szCs w:val="18"/>
          <w:lang w:val="en-US" w:eastAsia="zh-CN" w:bidi="ar-SA"/>
        </w:rPr>
        <w:t>）《投资者权益须知》：指管理人统一编制的《兴银理财【添利】理财产品投资者权益须知》或</w:t>
      </w:r>
      <w:r>
        <w:rPr>
          <w:rFonts w:cs="宋体" w:asciiTheme="majorEastAsia" w:hAnsiTheme="majorEastAsia" w:eastAsiaTheme="majorEastAsia"/>
          <w:bCs/>
          <w:color w:val="000000"/>
          <w:sz w:val="18"/>
          <w:szCs w:val="18"/>
          <w:lang w:val="en-US" w:eastAsia="zh-CN" w:bidi="ar-SA"/>
        </w:rPr>
        <w:t>代理销售机构接受产品管理人委托</w:t>
      </w:r>
      <w:r>
        <w:rPr>
          <w:rFonts w:hint="eastAsia" w:cs="宋体" w:asciiTheme="majorEastAsia" w:hAnsiTheme="majorEastAsia" w:eastAsiaTheme="majorEastAsia"/>
          <w:bCs/>
          <w:color w:val="000000"/>
          <w:sz w:val="18"/>
          <w:szCs w:val="18"/>
          <w:lang w:val="en-US" w:eastAsia="zh-CN" w:bidi="ar-SA"/>
        </w:rPr>
        <w:t>自行编制</w:t>
      </w:r>
      <w:r>
        <w:rPr>
          <w:rFonts w:cs="宋体" w:asciiTheme="majorEastAsia" w:hAnsiTheme="majorEastAsia" w:eastAsiaTheme="majorEastAsia"/>
          <w:bCs/>
          <w:color w:val="000000"/>
          <w:sz w:val="18"/>
          <w:szCs w:val="18"/>
          <w:lang w:val="en-US" w:eastAsia="zh-CN" w:bidi="ar-SA"/>
        </w:rPr>
        <w:t>的</w:t>
      </w:r>
      <w:r>
        <w:rPr>
          <w:rFonts w:hint="eastAsia" w:cs="宋体" w:asciiTheme="majorEastAsia" w:hAnsiTheme="majorEastAsia" w:eastAsiaTheme="majorEastAsia"/>
          <w:bCs/>
          <w:color w:val="000000"/>
          <w:sz w:val="18"/>
          <w:szCs w:val="18"/>
          <w:lang w:val="en-US" w:eastAsia="zh-CN" w:bidi="ar-SA"/>
        </w:rPr>
        <w:t>《兴银理财【添利】理财产品投资者权益须知》（文件名称以代理销售机构实际编制为准），以及对该文件的有效修改或补充。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cs="宋体" w:asciiTheme="majorEastAsia" w:hAnsiTheme="majorEastAsia" w:eastAsiaTheme="majorEastAsia"/>
          <w:b/>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 xml:space="preserve">3. </w:t>
      </w:r>
      <w:r>
        <w:rPr>
          <w:rFonts w:hint="eastAsia" w:cs="宋体" w:asciiTheme="majorEastAsia" w:hAnsiTheme="majorEastAsia" w:eastAsiaTheme="majorEastAsia"/>
          <w:b/>
          <w:bCs/>
          <w:color w:val="auto"/>
          <w:sz w:val="18"/>
          <w:szCs w:val="18"/>
          <w:lang w:val="en-US" w:eastAsia="zh-CN" w:bidi="ar-SA"/>
        </w:rPr>
        <w:t>理财产品用语</w:t>
      </w:r>
      <w:r>
        <w:rPr>
          <w:rFonts w:cs="宋体" w:asciiTheme="majorEastAsia" w:hAnsiTheme="majorEastAsia" w:eastAsiaTheme="majorEastAsia"/>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1）理财产品登记编码：指本款理财产品</w:t>
      </w:r>
      <w:r>
        <w:rPr>
          <w:rFonts w:hint="eastAsia" w:cs="宋体" w:asciiTheme="majorEastAsia" w:hAnsiTheme="majorEastAsia" w:eastAsiaTheme="majorEastAsia"/>
          <w:bCs/>
          <w:color w:val="auto"/>
          <w:sz w:val="18"/>
          <w:szCs w:val="18"/>
          <w:lang w:val="en-US" w:eastAsia="zh-CN" w:bidi="ar-SA"/>
        </w:rPr>
        <w:t>在全国银行业理财信息登记系统</w:t>
      </w:r>
      <w:r>
        <w:rPr>
          <w:rFonts w:cs="宋体" w:asciiTheme="majorEastAsia" w:hAnsiTheme="majorEastAsia" w:eastAsiaTheme="majorEastAsia"/>
          <w:bCs/>
          <w:color w:val="auto"/>
          <w:sz w:val="18"/>
          <w:szCs w:val="18"/>
          <w:lang w:val="en-US" w:eastAsia="zh-CN" w:bidi="ar-SA"/>
        </w:rPr>
        <w:t>对理财产品进行信息登记后</w:t>
      </w:r>
      <w:r>
        <w:rPr>
          <w:rFonts w:hint="eastAsia" w:cs="宋体" w:asciiTheme="majorEastAsia" w:hAnsiTheme="majorEastAsia" w:eastAsiaTheme="majorEastAsia"/>
          <w:bCs/>
          <w:color w:val="auto"/>
          <w:sz w:val="18"/>
          <w:szCs w:val="18"/>
          <w:lang w:val="en-US" w:eastAsia="zh-CN" w:bidi="ar-SA"/>
        </w:rPr>
        <w:t>，由全国银行业理财信息登记系统发放的唯一性的理财产品编码。投资者可依据登记编码在中国理财网（w</w:t>
      </w:r>
      <w:r>
        <w:rPr>
          <w:rFonts w:cs="宋体" w:asciiTheme="majorEastAsia" w:hAnsiTheme="majorEastAsia" w:eastAsiaTheme="majorEastAsia"/>
          <w:bCs/>
          <w:color w:val="auto"/>
          <w:sz w:val="18"/>
          <w:szCs w:val="18"/>
          <w:lang w:val="en-US" w:eastAsia="zh-CN" w:bidi="ar-SA"/>
        </w:rPr>
        <w:t>ww.chinawealth.com.cn</w:t>
      </w:r>
      <w:r>
        <w:rPr>
          <w:rFonts w:hint="eastAsia" w:cs="宋体" w:asciiTheme="majorEastAsia" w:hAnsiTheme="majorEastAsia" w:eastAsiaTheme="majorEastAsia"/>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2）理财</w:t>
      </w:r>
      <w:r>
        <w:rPr>
          <w:rFonts w:hint="eastAsia" w:cs="宋体" w:asciiTheme="majorEastAsia" w:hAnsiTheme="majorEastAsia" w:eastAsiaTheme="majorEastAsia"/>
          <w:bCs/>
          <w:color w:val="auto"/>
          <w:sz w:val="18"/>
          <w:szCs w:val="18"/>
          <w:lang w:val="en-US" w:eastAsia="zh-CN" w:bidi="ar-SA"/>
        </w:rPr>
        <w:t>产品代码</w:t>
      </w:r>
      <w:r>
        <w:rPr>
          <w:rFonts w:cs="宋体" w:asciiTheme="majorEastAsia" w:hAnsiTheme="majorEastAsia" w:eastAsiaTheme="majorEastAsia"/>
          <w:bCs/>
          <w:color w:val="auto"/>
          <w:sz w:val="18"/>
          <w:szCs w:val="18"/>
          <w:lang w:val="en-US" w:eastAsia="zh-CN" w:bidi="ar-SA"/>
        </w:rPr>
        <w:t>/产品代码</w:t>
      </w:r>
      <w:r>
        <w:rPr>
          <w:rFonts w:hint="eastAsia" w:cs="宋体" w:asciiTheme="majorEastAsia" w:hAnsiTheme="majorEastAsia" w:eastAsiaTheme="majorEastAsia"/>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（3）理财产品销售代码/销售代码</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指本款理财产品若设置不同</w:t>
      </w:r>
      <w:r>
        <w:rPr>
          <w:rFonts w:cs="宋体" w:asciiTheme="majorEastAsia" w:hAnsiTheme="majorEastAsia" w:eastAsiaTheme="majorEastAsia"/>
          <w:bCs/>
          <w:color w:val="auto"/>
          <w:sz w:val="18"/>
          <w:szCs w:val="18"/>
          <w:lang w:val="en-US" w:eastAsia="zh-CN" w:bidi="ar-SA"/>
        </w:rPr>
        <w:t>产品份额类别</w:t>
      </w:r>
      <w:r>
        <w:rPr>
          <w:rFonts w:hint="eastAsia" w:cs="宋体" w:asciiTheme="majorEastAsia" w:hAnsiTheme="majorEastAsia" w:eastAsiaTheme="majorEastAsia"/>
          <w:bCs/>
          <w:color w:val="auto"/>
          <w:sz w:val="18"/>
          <w:szCs w:val="18"/>
          <w:lang w:val="en-US" w:eastAsia="zh-CN" w:bidi="ar-SA"/>
        </w:rPr>
        <w:t>，为在理财产品销售管理</w:t>
      </w:r>
      <w:r>
        <w:rPr>
          <w:rFonts w:cs="宋体" w:asciiTheme="majorEastAsia" w:hAnsiTheme="majorEastAsia" w:eastAsiaTheme="majorEastAsia"/>
          <w:bCs/>
          <w:color w:val="auto"/>
          <w:sz w:val="18"/>
          <w:szCs w:val="18"/>
          <w:lang w:val="en-US" w:eastAsia="zh-CN" w:bidi="ar-SA"/>
        </w:rPr>
        <w:t>过程中</w:t>
      </w:r>
      <w:r>
        <w:rPr>
          <w:rFonts w:hint="eastAsia" w:cs="宋体" w:asciiTheme="majorEastAsia" w:hAnsiTheme="majorEastAsia" w:eastAsiaTheme="majorEastAsia"/>
          <w:bCs/>
          <w:color w:val="auto"/>
          <w:sz w:val="18"/>
          <w:szCs w:val="18"/>
          <w:lang w:val="en-US" w:eastAsia="zh-CN" w:bidi="ar-SA"/>
        </w:rPr>
        <w:t>区分不同产品份额类别，管理人</w:t>
      </w:r>
      <w:r>
        <w:rPr>
          <w:rFonts w:cs="宋体" w:asciiTheme="majorEastAsia" w:hAnsiTheme="majorEastAsia" w:eastAsiaTheme="majorEastAsia"/>
          <w:bCs/>
          <w:color w:val="auto"/>
          <w:sz w:val="18"/>
          <w:szCs w:val="18"/>
          <w:lang w:val="en-US" w:eastAsia="zh-CN" w:bidi="ar-SA"/>
        </w:rPr>
        <w:t>在同一</w:t>
      </w:r>
      <w:r>
        <w:rPr>
          <w:rFonts w:hint="eastAsia" w:cs="宋体" w:asciiTheme="majorEastAsia" w:hAnsiTheme="majorEastAsia" w:eastAsiaTheme="majorEastAsia"/>
          <w:bCs/>
          <w:color w:val="auto"/>
          <w:sz w:val="18"/>
          <w:szCs w:val="18"/>
          <w:lang w:val="en-US" w:eastAsia="zh-CN" w:bidi="ar-SA"/>
        </w:rPr>
        <w:t>理财</w:t>
      </w:r>
      <w:r>
        <w:rPr>
          <w:rFonts w:cs="宋体" w:asciiTheme="majorEastAsia" w:hAnsiTheme="majorEastAsia" w:eastAsiaTheme="majorEastAsia"/>
          <w:bCs/>
          <w:color w:val="auto"/>
          <w:sz w:val="18"/>
          <w:szCs w:val="18"/>
          <w:lang w:val="en-US" w:eastAsia="zh-CN" w:bidi="ar-SA"/>
        </w:rPr>
        <w:t>产品代码项下</w:t>
      </w: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为</w:t>
      </w:r>
      <w:r>
        <w:rPr>
          <w:rFonts w:hint="eastAsia" w:cs="宋体" w:asciiTheme="majorEastAsia" w:hAnsiTheme="majorEastAsia" w:eastAsiaTheme="majorEastAsia"/>
          <w:bCs/>
          <w:color w:val="auto"/>
          <w:sz w:val="18"/>
          <w:szCs w:val="18"/>
          <w:lang w:val="en-US" w:eastAsia="zh-CN" w:bidi="ar-SA"/>
        </w:rPr>
        <w:t>每</w:t>
      </w:r>
      <w:r>
        <w:rPr>
          <w:rFonts w:cs="宋体" w:asciiTheme="majorEastAsia" w:hAnsiTheme="majorEastAsia" w:eastAsiaTheme="majorEastAsia"/>
          <w:bCs/>
          <w:color w:val="auto"/>
          <w:sz w:val="18"/>
          <w:szCs w:val="18"/>
          <w:lang w:val="en-US" w:eastAsia="zh-CN" w:bidi="ar-SA"/>
        </w:rPr>
        <w:t>类份额类别设置的</w:t>
      </w:r>
      <w:r>
        <w:rPr>
          <w:rFonts w:hint="eastAsia" w:cs="宋体" w:asciiTheme="majorEastAsia" w:hAnsiTheme="majorEastAsia" w:eastAsiaTheme="majorEastAsia"/>
          <w:bCs/>
          <w:color w:val="auto"/>
          <w:sz w:val="18"/>
          <w:szCs w:val="18"/>
          <w:lang w:val="en-US" w:eastAsia="zh-CN" w:bidi="ar-SA"/>
        </w:rPr>
        <w:t>唯一性内部识别码。若本款理财产品不设置差异化产品份额类别，理财产品代码即为理财产品销售代码。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（4）理财产品风险等级：理财产品风险等级为产品管理人和销售机构经过审慎评估后确定的产品风险等级。</w:t>
      </w:r>
      <w:r>
        <w:rPr>
          <w:rFonts w:hint="eastAsia" w:cs="宋体" w:asciiTheme="majorEastAsia" w:hAnsiTheme="majorEastAsia" w:eastAsiaTheme="majorEastAsia"/>
          <w:bCs/>
          <w:color w:val="000000"/>
          <w:sz w:val="18"/>
          <w:szCs w:val="18"/>
          <w:lang w:val="en-US" w:eastAsia="zh-CN" w:bidi="ar-SA"/>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6</w:t>
      </w:r>
      <w:r>
        <w:rPr>
          <w:rFonts w:hint="eastAsia" w:cs="宋体" w:asciiTheme="majorEastAsia" w:hAnsiTheme="majorEastAsia" w:eastAsiaTheme="majorEastAsia"/>
          <w:bCs/>
          <w:color w:val="auto"/>
          <w:sz w:val="18"/>
          <w:szCs w:val="18"/>
          <w:lang w:val="en-US" w:eastAsia="zh-CN" w:bidi="ar-SA"/>
        </w:rPr>
        <w:t>）适合投资者：指适合购买理财产品的投资者类型。</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7</w:t>
      </w:r>
      <w:r>
        <w:rPr>
          <w:rFonts w:hint="eastAsia" w:cs="宋体" w:asciiTheme="majorEastAsia" w:hAnsiTheme="majorEastAsia" w:eastAsiaTheme="majorEastAsia"/>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cs="宋体" w:asciiTheme="majorEastAsia" w:hAnsiTheme="majorEastAsia" w:eastAsiaTheme="majorEastAsia"/>
          <w:bCs/>
          <w:color w:val="auto"/>
          <w:sz w:val="18"/>
          <w:szCs w:val="18"/>
          <w:lang w:val="en-US" w:eastAsia="zh-CN" w:bidi="ar-SA"/>
        </w:rPr>
        <w:t>产品份额四舍五入保留2位小数</w:t>
      </w:r>
      <w:r>
        <w:rPr>
          <w:rFonts w:hint="eastAsia" w:cs="宋体" w:asciiTheme="majorEastAsia" w:hAnsiTheme="majorEastAsia" w:eastAsiaTheme="maj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8</w:t>
      </w:r>
      <w:r>
        <w:rPr>
          <w:rFonts w:hint="eastAsia" w:cs="宋体" w:asciiTheme="majorEastAsia" w:hAnsiTheme="majorEastAsia" w:eastAsiaTheme="majorEastAsia"/>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cs="宋体" w:asciiTheme="majorEastAsia" w:hAnsiTheme="majorEastAsia" w:eastAsiaTheme="majorEastAsia"/>
          <w:bCs/>
          <w:color w:val="auto"/>
          <w:sz w:val="18"/>
          <w:szCs w:val="18"/>
          <w:lang w:val="en-US" w:eastAsia="zh-CN" w:bidi="ar-SA"/>
        </w:rPr>
        <w:t>：理财产品资产净值</w:t>
      </w:r>
      <w:r>
        <w:rPr>
          <w:rFonts w:cs="宋体" w:asciiTheme="majorEastAsia" w:hAnsiTheme="majorEastAsia" w:eastAsiaTheme="majorEastAsia"/>
          <w:bCs/>
          <w:color w:val="auto"/>
          <w:sz w:val="18"/>
          <w:szCs w:val="18"/>
          <w:lang w:val="en-US" w:eastAsia="zh-CN" w:bidi="ar-SA"/>
        </w:rPr>
        <w:t>=理财</w:t>
      </w:r>
      <w:r>
        <w:rPr>
          <w:rFonts w:hint="eastAsia" w:cs="宋体" w:asciiTheme="majorEastAsia" w:hAnsiTheme="majorEastAsia" w:eastAsiaTheme="majorEastAsia"/>
          <w:bCs/>
          <w:color w:val="auto"/>
          <w:sz w:val="18"/>
          <w:szCs w:val="18"/>
          <w:lang w:val="en-US" w:eastAsia="zh-CN" w:bidi="ar-SA"/>
        </w:rPr>
        <w:t>产品资产总值</w:t>
      </w:r>
      <w:r>
        <w:rPr>
          <w:rFonts w:cs="宋体" w:asciiTheme="majorEastAsia" w:hAnsiTheme="majorEastAsia" w:eastAsiaTheme="majorEastAsia"/>
          <w:bCs/>
          <w:color w:val="auto"/>
          <w:sz w:val="18"/>
          <w:szCs w:val="18"/>
          <w:lang w:val="en-US" w:eastAsia="zh-CN" w:bidi="ar-SA"/>
        </w:rPr>
        <w:t>-理财</w:t>
      </w:r>
      <w:r>
        <w:rPr>
          <w:rFonts w:hint="eastAsia" w:cs="宋体" w:asciiTheme="majorEastAsia" w:hAnsiTheme="majorEastAsia" w:eastAsiaTheme="majorEastAsia"/>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9</w:t>
      </w:r>
      <w:r>
        <w:rPr>
          <w:rFonts w:hint="eastAsia" w:cs="宋体" w:asciiTheme="majorEastAsia" w:hAnsiTheme="majorEastAsia" w:eastAsiaTheme="majorEastAsia"/>
          <w:bCs/>
          <w:color w:val="auto"/>
          <w:sz w:val="18"/>
          <w:szCs w:val="18"/>
          <w:lang w:val="en-US" w:eastAsia="zh-CN" w:bidi="ar-SA"/>
        </w:rPr>
        <w:t>）理财产品份额净值/理财份额净值/产品份额净值：指理财产品份额的单位净值，即每</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份理财产品份额以人民币计价的价格。理财产品份额净值</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理财资产净值</w:t>
      </w:r>
      <w:r>
        <w:rPr>
          <w:rFonts w:cs="宋体" w:asciiTheme="majorEastAsia" w:hAnsiTheme="majorEastAsia" w:eastAsiaTheme="majorEastAsia"/>
          <w:bCs/>
          <w:color w:val="auto"/>
          <w:sz w:val="18"/>
          <w:szCs w:val="18"/>
          <w:lang w:val="en-US" w:eastAsia="zh-CN" w:bidi="ar-SA"/>
        </w:rPr>
        <w:t>/产品</w:t>
      </w:r>
      <w:r>
        <w:rPr>
          <w:rFonts w:hint="eastAsia" w:cs="宋体" w:asciiTheme="majorEastAsia" w:hAnsiTheme="majorEastAsia" w:eastAsiaTheme="majorEastAsia"/>
          <w:bCs/>
          <w:color w:val="auto"/>
          <w:sz w:val="18"/>
          <w:szCs w:val="18"/>
          <w:lang w:val="en-US" w:eastAsia="zh-CN" w:bidi="ar-SA"/>
        </w:rPr>
        <w:t>总</w:t>
      </w:r>
      <w:r>
        <w:rPr>
          <w:rFonts w:cs="宋体" w:asciiTheme="majorEastAsia" w:hAnsiTheme="majorEastAsia" w:eastAsiaTheme="majorEastAsia"/>
          <w:bCs/>
          <w:color w:val="auto"/>
          <w:sz w:val="18"/>
          <w:szCs w:val="18"/>
          <w:lang w:val="en-US" w:eastAsia="zh-CN" w:bidi="ar-SA"/>
        </w:rPr>
        <w:t>份额</w:t>
      </w:r>
      <w:r>
        <w:rPr>
          <w:rFonts w:hint="eastAsia" w:cs="宋体" w:asciiTheme="majorEastAsia" w:hAnsiTheme="majorEastAsia" w:eastAsiaTheme="majorEastAsia"/>
          <w:bCs/>
          <w:color w:val="auto"/>
          <w:sz w:val="18"/>
          <w:szCs w:val="18"/>
          <w:lang w:val="en-US" w:eastAsia="zh-CN" w:bidi="ar-SA"/>
        </w:rPr>
        <w:t>。投资者按该份额净值进行理财产品申购、赎回和终止时分配。理财</w:t>
      </w:r>
      <w:r>
        <w:rPr>
          <w:rFonts w:cs="宋体" w:asciiTheme="majorEastAsia" w:hAnsiTheme="majorEastAsia" w:eastAsiaTheme="majorEastAsia"/>
          <w:bCs/>
          <w:color w:val="auto"/>
          <w:sz w:val="18"/>
          <w:szCs w:val="18"/>
          <w:lang w:val="en-US" w:eastAsia="zh-CN" w:bidi="ar-SA"/>
        </w:rPr>
        <w:t>产品份额净值四舍五入保留5位小数。</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cs="宋体" w:asciiTheme="majorEastAsia" w:hAnsiTheme="majorEastAsia" w:eastAsiaTheme="majorEastAsia"/>
          <w:bCs/>
          <w:color w:val="auto"/>
          <w:sz w:val="18"/>
          <w:szCs w:val="18"/>
          <w:lang w:val="en-US" w:eastAsia="zh-CN" w:bidi="ar-SA"/>
        </w:rPr>
        <w:t>理财产品份额净值</w:t>
      </w:r>
      <w:r>
        <w:rPr>
          <w:rFonts w:hint="eastAsia" w:cs="宋体" w:asciiTheme="majorEastAsia" w:hAnsiTheme="majorEastAsia" w:eastAsiaTheme="majorEastAsia"/>
          <w:bCs/>
          <w:color w:val="auto"/>
          <w:sz w:val="18"/>
          <w:szCs w:val="18"/>
          <w:lang w:val="en-US" w:eastAsia="zh-CN" w:bidi="ar-SA"/>
        </w:rPr>
        <w:t>可以展示为</w:t>
      </w:r>
      <w:r>
        <w:rPr>
          <w:rFonts w:cs="宋体" w:asciiTheme="majorEastAsia" w:hAnsiTheme="majorEastAsia" w:eastAsiaTheme="majorEastAsia"/>
          <w:bCs/>
          <w:color w:val="auto"/>
          <w:sz w:val="18"/>
          <w:szCs w:val="18"/>
          <w:lang w:val="en-US" w:eastAsia="zh-CN" w:bidi="ar-SA"/>
        </w:rPr>
        <w:t>当前理财产品份额净值</w:t>
      </w:r>
      <w:r>
        <w:rPr>
          <w:rFonts w:hint="eastAsia" w:cs="宋体" w:asciiTheme="majorEastAsia" w:hAnsiTheme="majorEastAsia" w:eastAsiaTheme="majorEastAsia"/>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当前理财产品份额净值，指</w:t>
      </w:r>
      <w:r>
        <w:rPr>
          <w:rFonts w:cs="宋体" w:asciiTheme="majorEastAsia" w:hAnsiTheme="majorEastAsia" w:eastAsiaTheme="majorEastAsia"/>
          <w:bCs/>
          <w:color w:val="auto"/>
          <w:sz w:val="18"/>
          <w:szCs w:val="18"/>
          <w:lang w:val="en-US" w:eastAsia="zh-CN" w:bidi="ar-SA"/>
        </w:rPr>
        <w:t>产品</w:t>
      </w:r>
      <w:r>
        <w:rPr>
          <w:rFonts w:hint="eastAsia" w:cs="宋体" w:asciiTheme="majorEastAsia" w:hAnsiTheme="majorEastAsia" w:eastAsiaTheme="majorEastAsia"/>
          <w:bCs/>
          <w:color w:val="auto"/>
          <w:sz w:val="18"/>
          <w:szCs w:val="18"/>
          <w:lang w:val="en-US" w:eastAsia="zh-CN" w:bidi="ar-SA"/>
        </w:rPr>
        <w:t>当前</w:t>
      </w:r>
      <w:r>
        <w:rPr>
          <w:rFonts w:cs="宋体" w:asciiTheme="majorEastAsia" w:hAnsiTheme="majorEastAsia" w:eastAsiaTheme="majorEastAsia"/>
          <w:bCs/>
          <w:color w:val="auto"/>
          <w:sz w:val="18"/>
          <w:szCs w:val="18"/>
          <w:lang w:val="en-US" w:eastAsia="zh-CN" w:bidi="ar-SA"/>
        </w:rPr>
        <w:t>的</w:t>
      </w:r>
      <w:r>
        <w:rPr>
          <w:rFonts w:hint="eastAsia" w:cs="宋体" w:asciiTheme="majorEastAsia" w:hAnsiTheme="majorEastAsia" w:eastAsiaTheme="majorEastAsia"/>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cs="宋体" w:asciiTheme="majorEastAsia" w:hAnsiTheme="majorEastAsia" w:eastAsiaTheme="majorEastAsia"/>
          <w:bCs/>
          <w:color w:val="auto"/>
          <w:sz w:val="18"/>
          <w:szCs w:val="18"/>
          <w:lang w:val="en-US" w:eastAsia="zh-CN" w:bidi="ar-SA"/>
        </w:rPr>
        <w:t>累计理财产品份额净值</w:t>
      </w: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指产品当前份额净值及产品成立到现在</w:t>
      </w:r>
      <w:r>
        <w:rPr>
          <w:rFonts w:hint="eastAsia" w:cs="宋体" w:asciiTheme="majorEastAsia" w:hAnsiTheme="majorEastAsia" w:eastAsiaTheme="majorEastAsia"/>
          <w:bCs/>
          <w:color w:val="auto"/>
          <w:sz w:val="18"/>
          <w:szCs w:val="18"/>
          <w:lang w:val="en-US" w:eastAsia="zh-CN" w:bidi="ar-SA"/>
        </w:rPr>
        <w:t>单位</w:t>
      </w:r>
      <w:r>
        <w:rPr>
          <w:rFonts w:cs="宋体" w:asciiTheme="majorEastAsia" w:hAnsiTheme="majorEastAsia" w:eastAsiaTheme="majorEastAsia"/>
          <w:bCs/>
          <w:color w:val="auto"/>
          <w:sz w:val="18"/>
          <w:szCs w:val="18"/>
          <w:lang w:val="en-US" w:eastAsia="zh-CN" w:bidi="ar-SA"/>
        </w:rPr>
        <w:t>理财产品</w:t>
      </w:r>
      <w:r>
        <w:rPr>
          <w:rFonts w:hint="eastAsia" w:cs="宋体" w:asciiTheme="majorEastAsia" w:hAnsiTheme="majorEastAsia" w:eastAsiaTheme="majorEastAsia"/>
          <w:bCs/>
          <w:color w:val="auto"/>
          <w:sz w:val="18"/>
          <w:szCs w:val="18"/>
          <w:lang w:val="en-US" w:eastAsia="zh-CN" w:bidi="ar-SA"/>
        </w:rPr>
        <w:t>份额</w:t>
      </w:r>
      <w:r>
        <w:rPr>
          <w:rFonts w:cs="宋体" w:asciiTheme="majorEastAsia" w:hAnsiTheme="majorEastAsia" w:eastAsiaTheme="majorEastAsia"/>
          <w:bCs/>
          <w:color w:val="auto"/>
          <w:sz w:val="18"/>
          <w:szCs w:val="18"/>
          <w:lang w:val="en-US" w:eastAsia="zh-CN" w:bidi="ar-SA"/>
        </w:rPr>
        <w:t>分红之和</w:t>
      </w:r>
      <w:r>
        <w:rPr>
          <w:rFonts w:hint="eastAsia" w:cs="宋体" w:asciiTheme="majorEastAsia" w:hAnsiTheme="majorEastAsia" w:eastAsiaTheme="maj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（10）理财产品估值：指计算评估理财产品资产和理财产品负债的价值，以确定理财产品份额净值、每万份理财产品收益和7日年化收益率的过程。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cs="宋体" w:asciiTheme="majorEastAsia" w:hAnsiTheme="majorEastAsia" w:eastAsiaTheme="majorEastAsia"/>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宋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宋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宋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cs="宋体" w:asciiTheme="majorEastAsia" w:hAnsiTheme="majorEastAsia" w:eastAsiaTheme="majorEastAsia"/>
          <w:bCs/>
          <w:color w:val="auto"/>
          <w:sz w:val="18"/>
          <w:szCs w:val="18"/>
          <w:lang w:val="en-US" w:eastAsia="zh-CN" w:bidi="ar-SA"/>
        </w:rPr>
        <w:t>指管理人计算超额业绩报酬的参照</w:t>
      </w:r>
      <w:r>
        <w:rPr>
          <w:rFonts w:cs="宋体" w:asciiTheme="majorEastAsia" w:hAnsiTheme="majorEastAsia" w:eastAsiaTheme="majorEastAsia"/>
          <w:bCs/>
          <w:color w:val="auto"/>
          <w:sz w:val="18"/>
          <w:szCs w:val="18"/>
          <w:lang w:val="en-US" w:eastAsia="zh-CN" w:bidi="ar-SA"/>
        </w:rPr>
        <w:t>标准</w:t>
      </w:r>
      <w:r>
        <w:rPr>
          <w:rFonts w:hint="eastAsia" w:cs="宋体" w:asciiTheme="majorEastAsia" w:hAnsiTheme="majorEastAsia" w:eastAsiaTheme="majorEastAsia"/>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4</w:t>
      </w:r>
      <w:r>
        <w:rPr>
          <w:rFonts w:cs="宋体" w:asciiTheme="majorEastAsia" w:hAnsiTheme="majorEastAsia" w:eastAsiaTheme="majorEastAsia"/>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5</w:t>
      </w:r>
      <w:r>
        <w:rPr>
          <w:rFonts w:cs="宋体" w:asciiTheme="majorEastAsia" w:hAnsiTheme="majorEastAsia" w:eastAsiaTheme="majorEastAsia"/>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6</w:t>
      </w:r>
      <w:r>
        <w:rPr>
          <w:rFonts w:cs="宋体" w:asciiTheme="majorEastAsia" w:hAnsiTheme="majorEastAsia" w:eastAsiaTheme="majorEastAsia"/>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7）认购：指投资者根据本销售文件约定在认购期</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募集期内申请购买理财产品份额的行为。</w:t>
      </w:r>
      <w:r>
        <w:rPr>
          <w:rFonts w:cs="宋体" w:asciiTheme="majorEastAsia" w:hAnsiTheme="majorEastAsia" w:eastAsiaTheme="majorEastAsia"/>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8）申购：</w:t>
      </w:r>
      <w:r>
        <w:rPr>
          <w:rFonts w:hint="eastAsia" w:cs="宋体" w:asciiTheme="minorEastAsia" w:hAnsiTheme="minorEastAsia" w:eastAsiaTheme="minorEastAsia"/>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首次申购，指未进行认购的投资者，在理财产品成立后申请购买理财产品份额的行为。</w:t>
      </w:r>
      <w:r>
        <w:rPr>
          <w:rFonts w:cs="宋体" w:asciiTheme="minorEastAsia" w:hAnsiTheme="minorEastAsia" w:eastAsiaTheme="minorEastAsia"/>
          <w:color w:val="auto"/>
          <w:sz w:val="18"/>
          <w:szCs w:val="18"/>
          <w:lang w:val="en-US" w:eastAsia="zh-CN" w:bidi="ar-SA"/>
        </w:rPr>
        <w:t>投资者全额赎回不再持有理财产品份额后再次申购</w:t>
      </w:r>
      <w:r>
        <w:rPr>
          <w:rFonts w:hint="eastAsia" w:cs="宋体" w:asciiTheme="minorEastAsia" w:hAnsiTheme="minorEastAsia" w:eastAsiaTheme="minorEastAsia"/>
          <w:color w:val="auto"/>
          <w:sz w:val="18"/>
          <w:szCs w:val="18"/>
          <w:lang w:val="en-US" w:eastAsia="zh-CN" w:bidi="ar-SA"/>
        </w:rPr>
        <w:t>的</w:t>
      </w:r>
      <w:r>
        <w:rPr>
          <w:rFonts w:cs="宋体" w:asciiTheme="minorEastAsia" w:hAnsiTheme="minorEastAsia" w:eastAsiaTheme="minorEastAsia"/>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（19）赎回：</w:t>
      </w:r>
      <w:r>
        <w:rPr>
          <w:rFonts w:hint="eastAsia" w:cs="宋体" w:asciiTheme="minorEastAsia" w:hAnsiTheme="minorEastAsia" w:eastAsiaTheme="minorEastAsia"/>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2</w:t>
      </w:r>
      <w:r>
        <w:rPr>
          <w:rFonts w:hint="eastAsia" w:cs="宋体" w:asciiTheme="majorEastAsia" w:hAnsiTheme="majorEastAsia" w:eastAsiaTheme="majorEastAsia"/>
          <w:bCs/>
          <w:color w:val="auto"/>
          <w:sz w:val="18"/>
          <w:szCs w:val="18"/>
          <w:lang w:val="en-US" w:eastAsia="zh-CN" w:bidi="ar-SA"/>
        </w:rPr>
        <w:t>0）巨额赎回：</w:t>
      </w:r>
      <w:r>
        <w:rPr>
          <w:rFonts w:hint="eastAsia" w:eastAsia="宋体" w:cs="宋体" w:asciiTheme="minorEastAsia" w:hAnsiTheme="minorEastAsia"/>
          <w:bCs/>
          <w:color w:val="auto"/>
          <w:sz w:val="18"/>
          <w:szCs w:val="18"/>
          <w:lang w:val="en-US" w:eastAsia="zh-CN" w:bidi="ar-SA"/>
        </w:rPr>
        <w:t>单个开放日中，本产品的产品份额净赎回申请（赎回申请总份额扣除申购总份额后的余额</w:t>
      </w:r>
      <w:r>
        <w:rPr>
          <w:rFonts w:eastAsia="宋体" w:cs="宋体" w:asciiTheme="minorEastAsia" w:hAnsiTheme="minorEastAsia"/>
          <w:bCs/>
          <w:color w:val="auto"/>
          <w:sz w:val="18"/>
          <w:szCs w:val="18"/>
          <w:lang w:val="en-US" w:eastAsia="zh-CN" w:bidi="ar-SA"/>
        </w:rPr>
        <w:t>,</w:t>
      </w:r>
      <w:r>
        <w:rPr>
          <w:rFonts w:hint="eastAsia" w:eastAsia="宋体" w:cs="宋体" w:asciiTheme="minorEastAsia" w:hAnsiTheme="minorEastAsia"/>
          <w:bCs/>
          <w:color w:val="auto"/>
          <w:sz w:val="18"/>
          <w:szCs w:val="18"/>
          <w:lang w:val="en-US" w:eastAsia="zh-CN" w:bidi="ar-SA"/>
        </w:rPr>
        <w:t>下同）之和达到上一日产品总份额的</w:t>
      </w:r>
      <w:r>
        <w:rPr>
          <w:rFonts w:eastAsia="宋体" w:cs="宋体" w:asciiTheme="minorEastAsia" w:hAnsiTheme="minorEastAsia"/>
          <w:bCs/>
          <w:color w:val="auto"/>
          <w:sz w:val="18"/>
          <w:szCs w:val="18"/>
          <w:lang w:val="en-US" w:eastAsia="zh-CN" w:bidi="ar-SA"/>
        </w:rPr>
        <w:t>约定百分比</w:t>
      </w:r>
      <w:r>
        <w:rPr>
          <w:rFonts w:hint="eastAsia" w:eastAsia="宋体" w:cs="宋体" w:asciiTheme="minorEastAsia" w:hAnsiTheme="minorEastAsia"/>
          <w:bCs/>
          <w:color w:val="auto"/>
          <w:sz w:val="18"/>
          <w:szCs w:val="18"/>
          <w:lang w:val="en-US" w:eastAsia="zh-CN" w:bidi="ar-SA"/>
        </w:rPr>
        <w:t>，为巨额赎回。</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widowControl w:val="0"/>
        <w:autoSpaceDE w:val="0"/>
        <w:autoSpaceDN w:val="0"/>
        <w:adjustRightInd w:val="0"/>
        <w:spacing w:line="360" w:lineRule="auto"/>
        <w:ind w:firstLine="361" w:firstLineChars="200"/>
        <w:rPr>
          <w:rFonts w:cs="宋体" w:asciiTheme="majorEastAsia" w:hAnsiTheme="majorEastAsia" w:eastAsiaTheme="majorEastAsia"/>
          <w:b/>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 xml:space="preserve">4. </w:t>
      </w:r>
      <w:r>
        <w:rPr>
          <w:rFonts w:hint="eastAsia" w:cs="宋体" w:asciiTheme="majorEastAsia" w:hAnsiTheme="majorEastAsia" w:eastAsiaTheme="majorEastAsia"/>
          <w:b/>
          <w:bCs/>
          <w:color w:val="auto"/>
          <w:sz w:val="18"/>
          <w:szCs w:val="18"/>
          <w:lang w:val="en-US" w:eastAsia="zh-CN" w:bidi="ar-SA"/>
        </w:rPr>
        <w:t>期间与日期</w:t>
      </w:r>
      <w:r>
        <w:rPr>
          <w:rFonts w:cs="宋体" w:asciiTheme="majorEastAsia" w:hAnsiTheme="majorEastAsia" w:eastAsiaTheme="majorEastAsia"/>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1）日</w:t>
      </w: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指自然日</w:t>
      </w:r>
      <w:r>
        <w:rPr>
          <w:rFonts w:hint="eastAsia" w:cs="宋体" w:asciiTheme="majorEastAsia" w:hAnsiTheme="majorEastAsia" w:eastAsiaTheme="maj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（2）交易日：指银行间市场、证券交易所市场的共同正常开盘交易日。</w:t>
      </w:r>
      <w:r>
        <w:rPr>
          <w:rFonts w:cs="宋体" w:asciiTheme="majorEastAsia" w:hAnsiTheme="majorEastAsia" w:eastAsiaTheme="majorEastAsia"/>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3）</w:t>
      </w:r>
      <w:r>
        <w:rPr>
          <w:rFonts w:hint="eastAsia" w:cs="宋体" w:asciiTheme="majorEastAsia" w:hAnsiTheme="majorEastAsia" w:eastAsiaTheme="majorEastAsia"/>
          <w:bCs/>
          <w:color w:val="auto"/>
          <w:sz w:val="18"/>
          <w:szCs w:val="18"/>
          <w:lang w:val="en-US" w:eastAsia="zh-CN" w:bidi="ar-SA"/>
        </w:rPr>
        <w:t>工作日：指国家法定工作日。</w:t>
      </w:r>
      <w:r>
        <w:rPr>
          <w:rFonts w:cs="宋体" w:asciiTheme="majorEastAsia" w:hAnsiTheme="majorEastAsia" w:eastAsiaTheme="majorEastAsia"/>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）成立日：指理财产品开始运作的日期。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）终止日：指理财产品终止的日期。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w:t>
      </w:r>
      <w:r>
        <w:rPr>
          <w:rFonts w:hint="eastAsia" w:ascii="宋体" w:hAnsi="宋体" w:eastAsia="宋体" w:cs="宋体"/>
          <w:color w:val="auto"/>
          <w:sz w:val="18"/>
          <w:szCs w:val="18"/>
          <w:lang w:val="en-US" w:eastAsia="zh-CN" w:bidi="ar-SA"/>
        </w:rPr>
        <w:t>利益的日期。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cs="宋体" w:asciiTheme="majorEastAsia" w:hAnsiTheme="majorEastAsia" w:eastAsiaTheme="majorEastAsia"/>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9</w:t>
      </w:r>
      <w:r>
        <w:rPr>
          <w:rFonts w:hint="eastAsia" w:cs="宋体" w:asciiTheme="majorEastAsia" w:hAnsiTheme="majorEastAsia" w:eastAsiaTheme="majorEastAsia"/>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1）产品存续期：指自理财产品成立日起，至理财产品终止日的期间。</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（12）申购申请日：指投资者做出申购申请的当日。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（13）赎回申请日：指投资者做出赎回申请的当日。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（14）申购日：指产品管理人接受投资者申购申请的当日。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（15）赎回日：指产品管理人接受投资者赎回申请的当日。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（16）申购确认日：指产品管理人确认投资者申购申请有效性的当日。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（17）赎回确认日：指产品管理人确认投资者赎回申请有效性的当日。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8）清算期：指自本理财产品终止日至投资者理财利益到账日之间的期间。</w:t>
      </w:r>
    </w:p>
    <w:p>
      <w:pPr>
        <w:widowControl w:val="0"/>
        <w:autoSpaceDE w:val="0"/>
        <w:autoSpaceDN w:val="0"/>
        <w:adjustRightInd w:val="0"/>
        <w:spacing w:line="360" w:lineRule="auto"/>
        <w:ind w:firstLine="361" w:firstLineChars="200"/>
        <w:rPr>
          <w:rFonts w:cs="宋体" w:asciiTheme="majorEastAsia" w:hAnsiTheme="majorEastAsia" w:eastAsiaTheme="majorEastAsia"/>
          <w:b/>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 xml:space="preserve">5. </w:t>
      </w:r>
      <w:r>
        <w:rPr>
          <w:rFonts w:hint="eastAsia" w:cs="宋体" w:asciiTheme="majorEastAsia" w:hAnsiTheme="majorEastAsia" w:eastAsiaTheme="majorEastAsia"/>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（2）</w:t>
      </w:r>
      <w:r>
        <w:rPr>
          <w:rFonts w:hint="eastAsia" w:ascii="黑体" w:hAnsi="黑体" w:eastAsia="黑体" w:cs="仿宋_GB2312"/>
          <w:bCs/>
          <w:sz w:val="18"/>
          <w:szCs w:val="18"/>
        </w:rPr>
        <w:t>★</w:t>
      </w:r>
      <w:r>
        <w:rPr>
          <w:rFonts w:ascii="宋体" w:hAnsi="宋体" w:cs="宋体"/>
          <w:kern w:val="0"/>
          <w:sz w:val="18"/>
          <w:szCs w:val="18"/>
        </w:rPr>
        <w:t>申购费：</w:t>
      </w:r>
      <w:r>
        <w:rPr>
          <w:rFonts w:hint="eastAsia" w:ascii="宋体" w:hAnsi="宋体" w:cs="宋体"/>
          <w:kern w:val="0"/>
          <w:sz w:val="18"/>
          <w:szCs w:val="18"/>
        </w:rPr>
        <w:t>指</w:t>
      </w:r>
      <w:r>
        <w:rPr>
          <w:rFonts w:ascii="宋体" w:hAnsi="宋体" w:cs="宋体"/>
          <w:kern w:val="0"/>
          <w:sz w:val="18"/>
          <w:szCs w:val="18"/>
        </w:rPr>
        <w:t>投资者申购产品时</w:t>
      </w:r>
      <w:r>
        <w:rPr>
          <w:rFonts w:hint="eastAsia" w:ascii="宋体" w:hAnsi="宋体" w:cs="宋体"/>
          <w:kern w:val="0"/>
          <w:sz w:val="18"/>
          <w:szCs w:val="18"/>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赎回费：指投资者赎回产品时需缴纳的费用。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（6）</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ascii="宋体" w:hAnsi="宋体" w:eastAsia="宋体" w:cs="宋体"/>
          <w:color w:val="000000"/>
          <w:sz w:val="18"/>
          <w:szCs w:val="18"/>
          <w:lang w:val="en-US" w:eastAsia="zh-CN" w:bidi="ar-SA"/>
        </w:rPr>
        <w:t>（7）</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cs="宋体" w:asciiTheme="majorEastAsia" w:hAnsiTheme="majorEastAsia" w:eastAsiaTheme="majorEastAsia"/>
          <w:b/>
          <w:bCs/>
          <w:color w:val="auto"/>
          <w:sz w:val="18"/>
          <w:szCs w:val="18"/>
          <w:lang w:val="en-US" w:eastAsia="zh-CN" w:bidi="ar-SA"/>
        </w:rPr>
      </w:pPr>
      <w:r>
        <w:rPr>
          <w:rFonts w:cs="宋体" w:asciiTheme="majorEastAsia" w:hAnsiTheme="majorEastAsia" w:eastAsiaTheme="majorEastAsia"/>
          <w:b/>
          <w:bCs/>
          <w:color w:val="auto"/>
          <w:sz w:val="18"/>
          <w:szCs w:val="18"/>
          <w:lang w:val="en-US" w:eastAsia="zh-CN" w:bidi="ar-SA"/>
        </w:rPr>
        <w:t xml:space="preserve">6. </w:t>
      </w:r>
      <w:r>
        <w:rPr>
          <w:rFonts w:hint="eastAsia" w:cs="宋体" w:asciiTheme="majorEastAsia" w:hAnsiTheme="majorEastAsia" w:eastAsiaTheme="majorEastAsia"/>
          <w:b/>
          <w:bCs/>
          <w:color w:val="auto"/>
          <w:sz w:val="18"/>
          <w:szCs w:val="18"/>
          <w:lang w:val="en-US" w:eastAsia="zh-CN" w:bidi="ar-SA"/>
        </w:rPr>
        <w:t>其他</w:t>
      </w:r>
      <w:r>
        <w:rPr>
          <w:rFonts w:cs="宋体" w:asciiTheme="majorEastAsia" w:hAnsiTheme="majorEastAsia" w:eastAsiaTheme="majorEastAsia"/>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w:t>
      </w:r>
      <w:r>
        <w:rPr>
          <w:rFonts w:cs="宋体" w:asciiTheme="majorEastAsia" w:hAnsiTheme="majorEastAsia" w:eastAsiaTheme="majorEastAsia"/>
          <w:bCs/>
          <w:color w:val="auto"/>
          <w:sz w:val="18"/>
          <w:szCs w:val="18"/>
          <w:lang w:val="en-US" w:eastAsia="zh-CN" w:bidi="ar-SA"/>
        </w:rPr>
        <w:t>1）</w:t>
      </w:r>
      <w:r>
        <w:rPr>
          <w:rFonts w:hint="eastAsia" w:cs="宋体" w:asciiTheme="majorEastAsia" w:hAnsiTheme="majorEastAsia" w:eastAsiaTheme="majorEastAsia"/>
          <w:bCs/>
          <w:color w:val="auto"/>
          <w:sz w:val="18"/>
          <w:szCs w:val="18"/>
          <w:lang w:val="en-US" w:eastAsia="zh-CN" w:bidi="ar-SA"/>
        </w:rPr>
        <w:t>元：指人民币元。</w:t>
      </w:r>
      <w:r>
        <w:rPr>
          <w:rFonts w:cs="宋体" w:asciiTheme="majorEastAsia" w:hAnsiTheme="majorEastAsia" w:eastAsiaTheme="majorEastAsia"/>
          <w:bCs/>
          <w:color w:val="auto"/>
          <w:sz w:val="18"/>
          <w:szCs w:val="18"/>
          <w:lang w:val="en-US" w:eastAsia="zh-CN" w:bidi="ar-SA"/>
        </w:rPr>
        <w:t xml:space="preserve"> </w:t>
      </w:r>
    </w:p>
    <w:p>
      <w:pPr>
        <w:spacing w:line="360" w:lineRule="auto"/>
        <w:ind w:firstLine="360" w:firstLineChars="200"/>
        <w:rPr>
          <w:rFonts w:ascii="Calibri" w:hAnsi="Calibri" w:cs="宋体"/>
          <w:szCs w:val="22"/>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2</w:t>
      </w:r>
      <w:r>
        <w:rPr>
          <w:rFonts w:hint="eastAsia" w:cs="宋体"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cs="宋体" w:asciiTheme="majorEastAsia" w:hAnsiTheme="majorEastAsia" w:eastAsiaTheme="majorEastAsia"/>
          <w:bCs/>
          <w:sz w:val="18"/>
          <w:szCs w:val="18"/>
        </w:rPr>
        <w:t>理财登记托管中心、</w:t>
      </w:r>
      <w:r>
        <w:rPr>
          <w:rFonts w:hint="eastAsia" w:cs="宋体" w:asciiTheme="majorEastAsia" w:hAnsiTheme="majorEastAsia" w:eastAsiaTheme="majorEastAsia"/>
          <w:bCs/>
          <w:sz w:val="18"/>
          <w:szCs w:val="18"/>
        </w:rPr>
        <w:t>银行间交易商协会、证券交易所、证券登记结算机构、相关</w:t>
      </w:r>
      <w:r>
        <w:rPr>
          <w:rFonts w:cs="宋体" w:asciiTheme="majorEastAsia" w:hAnsiTheme="majorEastAsia" w:eastAsiaTheme="majorEastAsia"/>
          <w:bCs/>
          <w:sz w:val="18"/>
          <w:szCs w:val="18"/>
        </w:rPr>
        <w:t>行</w:t>
      </w:r>
      <w:r>
        <w:rPr>
          <w:rFonts w:hint="eastAsia" w:cs="宋体"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s="宋体"/>
          <w:color w:val="000000"/>
          <w:kern w:val="0"/>
          <w:sz w:val="28"/>
          <w:szCs w:val="28"/>
        </w:rPr>
      </w:pPr>
      <w:r>
        <w:rPr>
          <w:rFonts w:ascii="Calibri" w:hAnsi="宋体" w:cs="宋体"/>
          <w:sz w:val="28"/>
          <w:szCs w:val="28"/>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9" w:name="_Toc29961"/>
      <w:bookmarkStart w:id="70" w:name="_Toc176189279"/>
      <w:bookmarkStart w:id="71" w:name="_Toc79154665"/>
      <w:r>
        <w:rPr>
          <w:rFonts w:hint="eastAsia" w:ascii="Calibri" w:hAnsi="宋体" w:eastAsia="宋体" w:cs="宋体"/>
          <w:b/>
          <w:bCs/>
          <w:kern w:val="44"/>
          <w:sz w:val="28"/>
          <w:szCs w:val="28"/>
          <w:lang w:val="en-US" w:eastAsia="zh-CN" w:bidi="ar-SA"/>
        </w:rPr>
        <w:t>第二条  理财产品基本情况</w:t>
      </w:r>
      <w:bookmarkEnd w:id="69"/>
      <w:bookmarkEnd w:id="70"/>
      <w:bookmarkEnd w:id="71"/>
      <w:r>
        <w:rPr>
          <w:rFonts w:hint="eastAsia" w:ascii="Calibri" w:hAnsi="宋体" w:eastAsia="宋体" w:cs="宋体"/>
          <w:b/>
          <w:bCs/>
          <w:kern w:val="44"/>
          <w:sz w:val="28"/>
          <w:szCs w:val="28"/>
          <w:lang w:val="en-US" w:eastAsia="zh-CN" w:bidi="ar-SA"/>
        </w:rPr>
        <w:t xml:space="preserve"> </w:t>
      </w:r>
    </w:p>
    <w:tbl>
      <w:tblPr>
        <w:tblStyle w:val="8"/>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1"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99" w:type="dxa"/>
            <w:shd w:val="solid" w:color="FFFFFF" w:fill="FFFFFF"/>
          </w:tcPr>
          <w:p>
            <w:pPr>
              <w:spacing w:line="360" w:lineRule="auto"/>
              <w:jc w:val="left"/>
              <w:rPr>
                <w:rFonts w:ascii="宋体" w:hAnsi="宋体" w:cs="宋体"/>
                <w:bCs/>
                <w:sz w:val="18"/>
                <w:szCs w:val="18"/>
              </w:rPr>
            </w:pPr>
            <w:r>
              <w:rPr>
                <w:rFonts w:hint="eastAsia" w:cs="宋体" w:asciiTheme="majorEastAsia" w:hAnsiTheme="majorEastAsia" w:eastAsiaTheme="majorEastAsia"/>
                <w:bCs/>
                <w:sz w:val="18"/>
                <w:szCs w:val="18"/>
              </w:rPr>
              <w:t>【</w:t>
            </w:r>
            <w:r>
              <w:rPr>
                <w:rFonts w:hint="eastAsia" w:cs="宋体" w:asciiTheme="minorEastAsia" w:hAnsiTheme="minorEastAsia"/>
                <w:sz w:val="18"/>
                <w:szCs w:val="18"/>
              </w:rPr>
              <w:t>兴银理财添利天天利</w:t>
            </w:r>
            <w:r>
              <w:rPr>
                <w:rFonts w:hint="eastAsia" w:cs="宋体" w:asciiTheme="minorEastAsia" w:hAnsiTheme="minorEastAsia"/>
                <w:sz w:val="18"/>
                <w:szCs w:val="18"/>
                <w:lang w:val="en-US" w:eastAsia="zh-CN"/>
              </w:rPr>
              <w:t>53</w:t>
            </w:r>
            <w:r>
              <w:rPr>
                <w:rFonts w:hint="eastAsia" w:cs="宋体" w:asciiTheme="minorEastAsia" w:hAnsiTheme="minorEastAsia"/>
                <w:sz w:val="18"/>
                <w:szCs w:val="18"/>
              </w:rPr>
              <w:t>号现金管理型理财产品</w:t>
            </w:r>
            <w:r>
              <w:rPr>
                <w:rFonts w:hint="eastAsia" w:cs="宋体"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99" w:type="dxa"/>
            <w:shd w:val="solid" w:color="FFFFFF" w:fill="FFFFFF"/>
          </w:tcPr>
          <w:p>
            <w:pPr>
              <w:widowControl/>
              <w:spacing w:line="360" w:lineRule="auto"/>
              <w:jc w:val="left"/>
              <w:rPr>
                <w:rFonts w:ascii="宋体" w:hAnsi="宋体" w:cs="宋体"/>
                <w:kern w:val="0"/>
                <w:sz w:val="22"/>
                <w:szCs w:val="22"/>
              </w:rPr>
            </w:pPr>
            <w:r>
              <w:rPr>
                <w:rFonts w:hint="eastAsia" w:cs="宋体" w:asciiTheme="majorEastAsia" w:hAnsiTheme="majorEastAsia" w:eastAsiaTheme="majorEastAsia"/>
                <w:bCs/>
                <w:kern w:val="0"/>
                <w:sz w:val="18"/>
                <w:szCs w:val="18"/>
              </w:rPr>
              <w:t>【</w:t>
            </w:r>
            <w:r>
              <w:rPr>
                <w:rFonts w:hint="eastAsia" w:cs="宋体" w:asciiTheme="minorEastAsia" w:hAnsiTheme="minorEastAsia"/>
                <w:sz w:val="18"/>
                <w:szCs w:val="18"/>
              </w:rPr>
              <w:t>兴银添利天天利53号J（鑫福款）</w:t>
            </w:r>
            <w:r>
              <w:rPr>
                <w:rFonts w:hint="eastAsia" w:cs="宋体" w:asciiTheme="majorEastAsia" w:hAnsiTheme="majorEastAsia" w:eastAsiaTheme="majorEastAsia"/>
                <w:bCs/>
                <w:kern w:val="0"/>
                <w:sz w:val="18"/>
                <w:szCs w:val="18"/>
              </w:rPr>
              <w:t>】</w:t>
            </w:r>
            <w:r>
              <w:rPr>
                <w:rFonts w:hint="eastAsia" w:ascii="Calibri" w:hAnsi="宋体" w:cs="宋体"/>
                <w:sz w:val="18"/>
                <w:szCs w:val="18"/>
              </w:rPr>
              <w:t>（</w:t>
            </w:r>
            <w:r>
              <w:rPr>
                <w:rFonts w:hint="eastAsia" w:ascii="Calibri" w:hAnsi="宋体" w:cs="宋体"/>
                <w:sz w:val="18"/>
                <w:szCs w:val="18"/>
                <w:lang w:eastAsia="zh-CN"/>
              </w:rPr>
              <w:t>适用【J】类份额</w:t>
            </w:r>
            <w:r>
              <w:rPr>
                <w:rFonts w:hint="eastAsia" w:ascii="Calibri"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99" w:type="dxa"/>
            <w:shd w:val="solid" w:color="FFFFFF" w:fill="FFFFFF"/>
          </w:tcPr>
          <w:p>
            <w:pPr>
              <w:spacing w:line="360" w:lineRule="auto"/>
              <w:jc w:val="left"/>
              <w:rPr>
                <w:rFonts w:ascii="宋体" w:hAnsi="宋体" w:cs="宋体"/>
                <w:b/>
                <w:sz w:val="18"/>
                <w:szCs w:val="18"/>
              </w:rPr>
            </w:pPr>
            <w:r>
              <w:rPr>
                <w:rFonts w:hint="eastAsia" w:cs="宋体" w:asciiTheme="minorEastAsia" w:hAnsiTheme="minorEastAsia"/>
                <w:sz w:val="18"/>
                <w:szCs w:val="18"/>
              </w:rPr>
              <w:t>【</w:t>
            </w:r>
            <w:r>
              <w:rPr>
                <w:rFonts w:hint="eastAsia" w:ascii="宋体" w:hAnsi="宋体" w:cs="宋体"/>
                <w:bCs/>
                <w:sz w:val="18"/>
                <w:szCs w:val="18"/>
              </w:rPr>
              <w:t>Z70020250001</w:t>
            </w:r>
            <w:r>
              <w:rPr>
                <w:rFonts w:hint="eastAsia" w:ascii="宋体" w:hAnsi="宋体" w:cs="宋体"/>
                <w:bCs/>
                <w:sz w:val="18"/>
                <w:szCs w:val="18"/>
                <w:lang w:val="en-US" w:eastAsia="zh-CN"/>
              </w:rPr>
              <w:t>27</w:t>
            </w:r>
            <w:r>
              <w:rPr>
                <w:rFonts w:hint="eastAsia" w:cs="宋体" w:asciiTheme="minorEastAsia" w:hAnsiTheme="minorEastAsia"/>
                <w:sz w:val="18"/>
                <w:szCs w:val="18"/>
              </w:rPr>
              <w:t>】</w:t>
            </w:r>
            <w:r>
              <w:rPr>
                <w:rFonts w:hint="eastAsia" w:cs="宋体" w:asciiTheme="majorEastAsia" w:hAnsiTheme="majorEastAsia" w:eastAsiaTheme="majorEastAsia"/>
                <w:sz w:val="18"/>
                <w:szCs w:val="18"/>
              </w:rPr>
              <w:t>投资者可依据理财产品登记编码在中国理财网</w:t>
            </w:r>
            <w:r>
              <w:rPr>
                <w:rFonts w:cs="宋体" w:asciiTheme="majorEastAsia" w:hAnsiTheme="majorEastAsia" w:eastAsiaTheme="majorEastAsia"/>
                <w:sz w:val="18"/>
                <w:szCs w:val="18"/>
              </w:rPr>
              <w:t>(</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cs="宋体" w:asciiTheme="majorEastAsia" w:hAnsiTheme="majorEastAsia" w:eastAsiaTheme="majorEastAsia"/>
                <w:sz w:val="18"/>
                <w:szCs w:val="18"/>
              </w:rPr>
              <w:t>www.chinawealth.com.cn</w:t>
            </w:r>
            <w:r>
              <w:rPr>
                <w:rFonts w:cs="宋体" w:asciiTheme="majorEastAsia" w:hAnsiTheme="majorEastAsia" w:eastAsiaTheme="majorEastAsia"/>
                <w:sz w:val="18"/>
                <w:szCs w:val="18"/>
              </w:rPr>
              <w:fldChar w:fldCharType="end"/>
            </w:r>
            <w:r>
              <w:rPr>
                <w:rFonts w:cs="宋体" w:asciiTheme="majorEastAsia" w:hAnsiTheme="majorEastAsia" w:eastAsiaTheme="majorEastAsia"/>
                <w:sz w:val="18"/>
                <w:szCs w:val="18"/>
              </w:rPr>
              <w:t>）</w:t>
            </w:r>
            <w:r>
              <w:rPr>
                <w:rFonts w:hint="eastAsia" w:cs="宋体"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99" w:type="dxa"/>
            <w:shd w:val="solid" w:color="FFFFFF" w:fill="FFFFFF"/>
            <w:vAlign w:val="center"/>
          </w:tcPr>
          <w:p>
            <w:pPr>
              <w:spacing w:line="360" w:lineRule="auto"/>
              <w:jc w:val="left"/>
              <w:rPr>
                <w:rFonts w:ascii="宋体" w:hAnsi="宋体" w:cs="宋体"/>
                <w:bCs/>
                <w:sz w:val="18"/>
                <w:szCs w:val="18"/>
              </w:rPr>
            </w:pPr>
            <w:r>
              <w:rPr>
                <w:rFonts w:ascii="宋体" w:hAnsi="宋体" w:cs="宋体"/>
                <w:bCs/>
                <w:sz w:val="18"/>
                <w:szCs w:val="18"/>
              </w:rPr>
              <w:t>【</w:t>
            </w:r>
            <w:r>
              <w:rPr>
                <w:rFonts w:hint="eastAsia" w:ascii="宋体" w:hAnsi="宋体" w:cs="宋体"/>
                <w:bCs/>
                <w:color w:val="000000" w:themeColor="text1"/>
                <w:sz w:val="18"/>
                <w:szCs w:val="18"/>
                <w14:textFill>
                  <w14:solidFill>
                    <w14:schemeClr w14:val="tx1"/>
                  </w14:solidFill>
                </w14:textFill>
              </w:rPr>
              <w:t>9TTL9</w:t>
            </w:r>
            <w:r>
              <w:rPr>
                <w:rFonts w:hint="eastAsia" w:ascii="宋体" w:hAnsi="宋体" w:cs="宋体"/>
                <w:bCs/>
                <w:color w:val="000000" w:themeColor="text1"/>
                <w:sz w:val="18"/>
                <w:szCs w:val="18"/>
                <w:lang w:val="en-US" w:eastAsia="zh-CN"/>
                <w14:textFill>
                  <w14:solidFill>
                    <w14:schemeClr w14:val="tx1"/>
                  </w14:solidFill>
                </w14:textFill>
              </w:rPr>
              <w:t>53</w:t>
            </w:r>
            <w:r>
              <w:rPr>
                <w:rFonts w:hint="eastAsia" w:ascii="宋体" w:hAnsi="宋体" w:cs="宋体"/>
                <w:bCs/>
                <w:color w:val="000000" w:themeColor="text1"/>
                <w:sz w:val="18"/>
                <w:szCs w:val="18"/>
                <w14:textFill>
                  <w14:solidFill>
                    <w14:schemeClr w14:val="tx1"/>
                  </w14:solidFill>
                </w14:textFill>
              </w:rPr>
              <w:t>0</w:t>
            </w: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99" w:type="dxa"/>
            <w:shd w:val="solid" w:color="FFFFFF" w:fill="FFFFFF"/>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cs="宋体"/>
                <w:bCs/>
                <w:sz w:val="18"/>
                <w:szCs w:val="18"/>
              </w:rPr>
              <w:t>9TTL953J</w:t>
            </w:r>
            <w:r>
              <w:rPr>
                <w:rFonts w:hint="eastAsia" w:ascii="Calibri" w:hAnsi="宋体" w:cs="宋体"/>
                <w:sz w:val="18"/>
                <w:szCs w:val="18"/>
              </w:rPr>
              <w:t>】（</w:t>
            </w:r>
            <w:r>
              <w:rPr>
                <w:rFonts w:hint="eastAsia" w:ascii="Calibri" w:hAnsi="宋体" w:cs="宋体"/>
                <w:sz w:val="18"/>
                <w:szCs w:val="18"/>
                <w:lang w:eastAsia="zh-CN"/>
              </w:rPr>
              <w:t>适用【J】类份额</w:t>
            </w:r>
            <w:r>
              <w:rPr>
                <w:rFonts w:hint="eastAsia" w:ascii="Calibri"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99"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.本产品设置不同的理财产品份额，每类理财产品份额以下内容可能单独设置：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w:t>
            </w:r>
            <w:r>
              <w:rPr>
                <w:rFonts w:hint="eastAsia" w:cs="宋体" w:asciiTheme="minorEastAsia" w:hAnsiTheme="minorEastAsia"/>
                <w:bCs/>
                <w:sz w:val="18"/>
                <w:szCs w:val="18"/>
              </w:rPr>
              <w:t>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b/>
                <w:bCs/>
                <w:sz w:val="18"/>
                <w:szCs w:val="18"/>
              </w:rPr>
            </w:pPr>
            <w:r>
              <w:rPr>
                <w:rFonts w:hint="eastAsia" w:ascii="Calibri" w:hAnsi="宋体" w:cs="宋体"/>
                <w:sz w:val="18"/>
                <w:szCs w:val="18"/>
              </w:rPr>
              <w:t>★</w:t>
            </w:r>
            <w:r>
              <w:rPr>
                <w:rFonts w:hint="eastAsia" w:cs="宋体"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cs="宋体"/>
                <w:b/>
                <w:bCs/>
                <w:sz w:val="18"/>
                <w:szCs w:val="18"/>
              </w:rPr>
            </w:pPr>
            <w:r>
              <w:rPr>
                <w:rFonts w:hint="eastAsia" w:ascii="黑体" w:hAnsi="黑体" w:eastAsia="黑体" w:cs="宋体"/>
                <w:sz w:val="18"/>
                <w:szCs w:val="18"/>
              </w:rPr>
              <w:t>公募</w:t>
            </w:r>
            <w:r>
              <w:rPr>
                <w:rFonts w:hint="eastAsia" w:ascii="黑体" w:hAnsi="黑体" w:eastAsia="黑体" w:cs="宋体"/>
                <w:bCs/>
                <w:sz w:val="18"/>
                <w:szCs w:val="18"/>
              </w:rPr>
              <w:t>、开放式、固定</w:t>
            </w:r>
            <w:r>
              <w:rPr>
                <w:rFonts w:ascii="黑体" w:hAnsi="黑体" w:eastAsia="黑体" w:cs="宋体"/>
                <w:bCs/>
                <w:sz w:val="18"/>
                <w:szCs w:val="18"/>
              </w:rPr>
              <w:t>收益</w:t>
            </w:r>
            <w:r>
              <w:rPr>
                <w:rFonts w:hint="eastAsia" w:ascii="黑体" w:hAnsi="黑体" w:eastAsia="黑体" w:cs="宋体"/>
                <w:bCs/>
                <w:sz w:val="18"/>
                <w:szCs w:val="18"/>
              </w:rPr>
              <w:t>类、非保本浮动</w:t>
            </w:r>
            <w:r>
              <w:rPr>
                <w:rFonts w:ascii="黑体" w:hAnsi="黑体" w:eastAsia="黑体" w:cs="宋体"/>
                <w:bCs/>
                <w:sz w:val="18"/>
                <w:szCs w:val="18"/>
              </w:rPr>
              <w:t>收益</w:t>
            </w:r>
            <w:r>
              <w:rPr>
                <w:rFonts w:hint="eastAsia" w:ascii="黑体" w:hAnsi="黑体" w:eastAsia="黑体" w:cs="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cs="宋体"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cs="宋体"/>
                <w:b/>
                <w:bCs/>
                <w:sz w:val="18"/>
                <w:szCs w:val="18"/>
              </w:rPr>
            </w:pPr>
            <w:r>
              <w:rPr>
                <w:rFonts w:hint="eastAsia" w:cs="宋体"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cs="宋体"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cs="宋体"/>
                <w:b/>
                <w:bCs/>
                <w:sz w:val="18"/>
                <w:szCs w:val="18"/>
              </w:rPr>
            </w:pPr>
            <w:r>
              <w:rPr>
                <w:rFonts w:hint="eastAsia" w:ascii="宋体" w:hAnsi="宋体" w:cs="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黑体" w:hAnsi="黑体" w:eastAsia="黑体" w:cs="宋体"/>
                <w:sz w:val="18"/>
                <w:szCs w:val="18"/>
              </w:rPr>
              <w:t>★</w:t>
            </w:r>
            <w:r>
              <w:rPr>
                <w:rFonts w:hint="eastAsia" w:cs="宋体"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w:t>
            </w:r>
            <w:r>
              <w:rPr>
                <w:rFonts w:ascii="黑体" w:hAnsi="黑体" w:eastAsia="黑体" w:cs="宋体"/>
                <w:bCs/>
                <w:sz w:val="18"/>
                <w:szCs w:val="18"/>
              </w:rPr>
              <w:t>收益</w:t>
            </w:r>
            <w:r>
              <w:rPr>
                <w:rFonts w:hint="eastAsia" w:ascii="黑体" w:hAnsi="黑体" w:eastAsia="黑体" w:cs="宋体"/>
                <w:bCs/>
                <w:sz w:val="18"/>
                <w:szCs w:val="18"/>
              </w:rPr>
              <w:t>类</w:t>
            </w:r>
            <w:r>
              <w:rPr>
                <w:rFonts w:ascii="黑体" w:hAnsi="黑体" w:eastAsia="黑体" w:cs="宋体"/>
                <w:bCs/>
                <w:sz w:val="18"/>
                <w:szCs w:val="18"/>
              </w:rPr>
              <w:t>产品是指根据监管</w:t>
            </w:r>
            <w:r>
              <w:rPr>
                <w:rFonts w:hint="eastAsia" w:ascii="黑体" w:hAnsi="黑体" w:eastAsia="黑体" w:cs="宋体"/>
                <w:bCs/>
                <w:sz w:val="18"/>
                <w:szCs w:val="18"/>
              </w:rPr>
              <w:t>相关规定</w:t>
            </w:r>
            <w:r>
              <w:rPr>
                <w:rFonts w:ascii="黑体" w:hAnsi="黑体" w:eastAsia="黑体" w:cs="宋体"/>
                <w:bCs/>
                <w:sz w:val="18"/>
                <w:szCs w:val="18"/>
              </w:rPr>
              <w:t>，投资于债权类资产的</w:t>
            </w:r>
            <w:r>
              <w:rPr>
                <w:rFonts w:hint="eastAsia" w:ascii="黑体" w:hAnsi="黑体" w:eastAsia="黑体" w:cs="宋体"/>
                <w:bCs/>
                <w:sz w:val="18"/>
                <w:szCs w:val="18"/>
              </w:rPr>
              <w:t>比例</w:t>
            </w:r>
            <w:r>
              <w:rPr>
                <w:rFonts w:ascii="黑体" w:hAnsi="黑体" w:eastAsia="黑体" w:cs="宋体"/>
                <w:bCs/>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ascii="黑体" w:hAnsi="黑体" w:eastAsia="黑体" w:cs="宋体"/>
                <w:sz w:val="18"/>
                <w:szCs w:val="18"/>
              </w:rPr>
              <w:t>★</w:t>
            </w:r>
            <w:r>
              <w:rPr>
                <w:rFonts w:hint="eastAsia" w:cs="宋体" w:asciiTheme="majorEastAsia" w:hAnsiTheme="majorEastAsia" w:eastAsiaTheme="majorEastAsia"/>
                <w:b/>
                <w:sz w:val="18"/>
                <w:szCs w:val="18"/>
              </w:rPr>
              <w:t>产品</w:t>
            </w:r>
            <w:r>
              <w:rPr>
                <w:rFonts w:cs="宋体"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cs="宋体"/>
                <w:b/>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宋体"/>
                <w:b/>
                <w:color w:val="000000" w:themeColor="text1"/>
                <w:sz w:val="18"/>
                <w:szCs w:val="18"/>
                <w14:textFill>
                  <w14:solidFill>
                    <w14:schemeClr w14:val="tx1"/>
                  </w14:solidFill>
                </w14:textFill>
              </w:rPr>
            </w:pPr>
            <w:r>
              <w:rPr>
                <w:rFonts w:hint="eastAsia" w:ascii="黑体" w:hAnsi="黑体" w:eastAsia="黑体" w:cs="宋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cs="宋体"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cs="宋体"/>
                <w:bCs/>
                <w:sz w:val="18"/>
                <w:szCs w:val="18"/>
              </w:rPr>
            </w:pPr>
            <w:r>
              <w:rPr>
                <w:rFonts w:hint="eastAsia" w:cs="宋体"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cs="宋体"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xml:space="preserve">本产品属于【■ </w:t>
            </w:r>
            <w:r>
              <w:rPr>
                <w:rFonts w:cs="宋体" w:asciiTheme="majorEastAsia" w:hAnsiTheme="majorEastAsia" w:eastAsiaTheme="majorEastAsia"/>
                <w:bCs/>
                <w:sz w:val="18"/>
                <w:szCs w:val="18"/>
              </w:rPr>
              <w:t>R1、</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 xml:space="preserve"> R2、</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 xml:space="preserve"> R3、</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 xml:space="preserve"> R4、</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 xml:space="preserve"> R5】理财产品</w:t>
            </w:r>
            <w:r>
              <w:rPr>
                <w:rFonts w:hint="eastAsia" w:cs="宋体" w:asciiTheme="majorEastAsia" w:hAnsiTheme="majorEastAsia" w:eastAsiaTheme="majorEastAsia"/>
                <w:bCs/>
                <w:sz w:val="18"/>
                <w:szCs w:val="18"/>
              </w:rPr>
              <w:t>。</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cs="宋体"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cs="宋体" w:asciiTheme="majorEastAsia" w:hAnsiTheme="majorEastAsia" w:eastAsiaTheme="majorEastAsia"/>
                <w:bCs/>
                <w:color w:val="000000" w:themeColor="text1"/>
                <w:sz w:val="18"/>
                <w:szCs w:val="18"/>
                <w14:textFill>
                  <w14:solidFill>
                    <w14:schemeClr w14:val="tx1"/>
                  </w14:solidFill>
                </w14:textFill>
              </w:rPr>
            </w:pPr>
            <w:r>
              <w:rPr>
                <w:rFonts w:cs="宋体"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sz w:val="18"/>
                <w:szCs w:val="18"/>
              </w:rPr>
              <w:t>■</w:t>
            </w:r>
            <w:r>
              <w:rPr>
                <w:rFonts w:hint="eastAsia" w:cs="宋体"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hint="eastAsia" w:cs="宋体" w:asciiTheme="majorEastAsia" w:hAnsiTheme="majorEastAsia" w:eastAsiaTheme="majorEastAsia"/>
                <w:bCs/>
                <w:color w:val="000000" w:themeColor="text1"/>
                <w:sz w:val="18"/>
                <w:szCs w:val="18"/>
                <w14:textFill>
                  <w14:solidFill>
                    <w14:schemeClr w14:val="tx1"/>
                  </w14:solidFill>
                </w14:textFill>
              </w:rPr>
              <w:t>机构投资者</w:t>
            </w:r>
            <w:r>
              <w:rPr>
                <w:rFonts w:cs="宋体" w:asciiTheme="majorEastAsia" w:hAnsiTheme="majorEastAsia" w:eastAsiaTheme="majorEastAsia"/>
                <w:bCs/>
                <w:sz w:val="18"/>
                <w:szCs w:val="18"/>
              </w:rPr>
              <w:t xml:space="preserve"> </w:t>
            </w:r>
            <w:r>
              <w:rPr>
                <w:rFonts w:hint="eastAsia" w:cs="宋体" w:asciiTheme="majorEastAsia" w:hAnsiTheme="majorEastAsia" w:eastAsiaTheme="majorEastAsia"/>
                <w:bCs/>
                <w:sz w:val="18"/>
                <w:szCs w:val="18"/>
              </w:rPr>
              <w:t>■</w:t>
            </w:r>
            <w:r>
              <w:rPr>
                <w:rFonts w:hint="eastAsia" w:cs="宋体" w:asciiTheme="majorEastAsia" w:hAnsiTheme="majorEastAsia" w:eastAsiaTheme="majorEastAsia"/>
                <w:bCs/>
                <w:color w:val="000000" w:themeColor="text1"/>
                <w:sz w:val="18"/>
                <w:szCs w:val="18"/>
                <w14:textFill>
                  <w14:solidFill>
                    <w14:schemeClr w14:val="tx1"/>
                  </w14:solidFill>
                </w14:textFill>
              </w:rPr>
              <w:t>一般</w:t>
            </w:r>
            <w:r>
              <w:rPr>
                <w:rFonts w:cs="宋体" w:asciiTheme="majorEastAsia" w:hAnsiTheme="majorEastAsia" w:eastAsiaTheme="majorEastAsia"/>
                <w:bCs/>
                <w:color w:val="000000" w:themeColor="text1"/>
                <w:sz w:val="18"/>
                <w:szCs w:val="18"/>
                <w14:textFill>
                  <w14:solidFill>
                    <w14:schemeClr w14:val="tx1"/>
                  </w14:solidFill>
                </w14:textFill>
              </w:rPr>
              <w:t>机构</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客户 </w:t>
            </w:r>
            <w:r>
              <w:rPr>
                <w:rFonts w:cs="宋体" w:asciiTheme="majorEastAsia" w:hAnsiTheme="majorEastAsia" w:eastAsiaTheme="majorEastAsia"/>
                <w:bCs/>
                <w:color w:val="000000" w:themeColor="text1"/>
                <w:sz w:val="18"/>
                <w:szCs w:val="18"/>
                <w14:textFill>
                  <w14:solidFill>
                    <w14:schemeClr w14:val="tx1"/>
                  </w14:solidFill>
                </w14:textFill>
              </w:rPr>
              <w:t xml:space="preserve"> </w:t>
            </w:r>
            <w:r>
              <w:rPr>
                <w:rFonts w:hint="eastAsia" w:cs="宋体" w:asciiTheme="majorEastAsia" w:hAnsiTheme="majorEastAsia" w:eastAsiaTheme="majorEastAsia"/>
                <w:bCs/>
                <w:sz w:val="18"/>
                <w:szCs w:val="18"/>
              </w:rPr>
              <w:t>■</w:t>
            </w:r>
            <w:r>
              <w:rPr>
                <w:rFonts w:hint="eastAsia" w:cs="宋体"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cs="宋体"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本产品可在销售机构线上渠道和线下渠道等场景进行销售。</w:t>
            </w:r>
          </w:p>
          <w:p>
            <w:pPr>
              <w:spacing w:line="360" w:lineRule="auto"/>
              <w:rPr>
                <w:rFonts w:cs="宋体"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宋体"/>
                <w:sz w:val="18"/>
                <w:szCs w:val="18"/>
              </w:rPr>
              <w:t>注：当销售机构销售产品风险评级为</w:t>
            </w:r>
            <w:r>
              <w:rPr>
                <w:rFonts w:ascii="黑体" w:hAnsi="黑体" w:eastAsia="黑体" w:cs="宋体"/>
                <w:sz w:val="18"/>
                <w:szCs w:val="18"/>
              </w:rPr>
              <w:t>R4</w:t>
            </w:r>
            <w:r>
              <w:rPr>
                <w:rFonts w:hint="eastAsia" w:ascii="黑体" w:hAnsi="黑体" w:eastAsia="黑体" w:cs="宋体"/>
                <w:sz w:val="18"/>
                <w:szCs w:val="18"/>
              </w:rPr>
              <w:t>及</w:t>
            </w:r>
            <w:r>
              <w:rPr>
                <w:rFonts w:ascii="黑体" w:hAnsi="黑体" w:eastAsia="黑体" w:cs="宋体"/>
                <w:sz w:val="18"/>
                <w:szCs w:val="18"/>
              </w:rPr>
              <w:t>以上</w:t>
            </w:r>
            <w:r>
              <w:rPr>
                <w:rFonts w:hint="eastAsia" w:ascii="黑体" w:hAnsi="黑体" w:eastAsia="黑体" w:cs="宋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cs="宋体"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cs="宋体" w:asciiTheme="majorEastAsia" w:hAnsiTheme="majorEastAsia" w:eastAsiaTheme="majorEastAsia"/>
                <w:bCs/>
                <w:sz w:val="18"/>
                <w:szCs w:val="18"/>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cs="宋体" w:asciiTheme="majorEastAsia" w:hAnsiTheme="majorEastAsia" w:eastAsiaTheme="majorEastAsia"/>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cs="宋体" w:asciiTheme="majorEastAsia" w:hAnsiTheme="majorEastAsia" w:eastAsiaTheme="majorEastAsia"/>
                <w:b/>
                <w:bCs/>
                <w:sz w:val="18"/>
                <w:szCs w:val="18"/>
              </w:rPr>
              <w:t>理财产品</w:t>
            </w:r>
            <w:r>
              <w:rPr>
                <w:rFonts w:cs="宋体"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cs="宋体"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bCs/>
                <w:sz w:val="18"/>
                <w:szCs w:val="18"/>
              </w:rPr>
            </w:pPr>
            <w:r>
              <w:rPr>
                <w:rFonts w:hint="eastAsia" w:cs="宋体"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1.本产品计划初始</w:t>
            </w:r>
            <w:r>
              <w:rPr>
                <w:rFonts w:cs="宋体" w:asciiTheme="majorEastAsia" w:hAnsiTheme="majorEastAsia" w:eastAsiaTheme="majorEastAsia"/>
                <w:bCs/>
                <w:sz w:val="18"/>
                <w:szCs w:val="18"/>
              </w:rPr>
              <w:t>募集</w:t>
            </w:r>
            <w:r>
              <w:rPr>
                <w:rFonts w:hint="eastAsia" w:cs="宋体" w:asciiTheme="majorEastAsia" w:hAnsiTheme="majorEastAsia" w:eastAsiaTheme="majorEastAsia"/>
                <w:bCs/>
                <w:sz w:val="18"/>
                <w:szCs w:val="18"/>
              </w:rPr>
              <w:t>规模为【</w:t>
            </w:r>
            <w:r>
              <w:rPr>
                <w:rFonts w:hint="eastAsia" w:cs="宋体" w:asciiTheme="majorEastAsia" w:hAnsiTheme="majorEastAsia" w:eastAsiaTheme="majorEastAsia"/>
                <w:bCs/>
                <w:sz w:val="18"/>
                <w:szCs w:val="18"/>
                <w:lang w:val="en-US" w:eastAsia="zh-CN"/>
              </w:rPr>
              <w:t>0.1</w:t>
            </w:r>
            <w:r>
              <w:rPr>
                <w:rFonts w:hint="eastAsia" w:cs="宋体" w:asciiTheme="majorEastAsia" w:hAnsiTheme="majorEastAsia" w:eastAsiaTheme="majorEastAsia"/>
                <w:bCs/>
                <w:sz w:val="18"/>
                <w:szCs w:val="18"/>
              </w:rPr>
              <w:t>】亿元，最小成立规模为【</w:t>
            </w:r>
            <w:r>
              <w:rPr>
                <w:rFonts w:hint="eastAsia" w:cs="宋体" w:asciiTheme="majorEastAsia" w:hAnsiTheme="majorEastAsia" w:eastAsiaTheme="majorEastAsia"/>
                <w:bCs/>
                <w:sz w:val="18"/>
                <w:szCs w:val="18"/>
                <w:lang w:val="en-US" w:eastAsia="zh-CN"/>
              </w:rPr>
              <w:t>/</w:t>
            </w:r>
            <w:r>
              <w:rPr>
                <w:rFonts w:hint="eastAsia" w:cs="宋体" w:asciiTheme="majorEastAsia" w:hAnsiTheme="majorEastAsia" w:eastAsiaTheme="majorEastAsia"/>
                <w:bCs/>
                <w:sz w:val="18"/>
                <w:szCs w:val="18"/>
              </w:rPr>
              <w:t>】亿元。</w:t>
            </w:r>
          </w:p>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2.产品管理人</w:t>
            </w:r>
            <w:r>
              <w:rPr>
                <w:rFonts w:cs="宋体" w:asciiTheme="majorEastAsia" w:hAnsiTheme="majorEastAsia" w:eastAsiaTheme="majorEastAsia"/>
                <w:bCs/>
                <w:sz w:val="18"/>
                <w:szCs w:val="18"/>
              </w:rPr>
              <w:t>有权根据实际需要对产品规模进行调整，产品最终规模以</w:t>
            </w:r>
            <w:r>
              <w:rPr>
                <w:rFonts w:hint="eastAsia" w:cs="宋体" w:asciiTheme="majorEastAsia" w:hAnsiTheme="majorEastAsia" w:eastAsiaTheme="majorEastAsia"/>
                <w:bCs/>
                <w:sz w:val="18"/>
                <w:szCs w:val="18"/>
              </w:rPr>
              <w:t>产品管理人</w:t>
            </w:r>
            <w:r>
              <w:rPr>
                <w:rFonts w:cs="宋体" w:asciiTheme="majorEastAsia" w:hAnsiTheme="majorEastAsia" w:eastAsiaTheme="majorEastAsia"/>
                <w:bCs/>
                <w:sz w:val="18"/>
                <w:szCs w:val="18"/>
              </w:rPr>
              <w:t>实际募集/管理的</w:t>
            </w:r>
            <w:r>
              <w:rPr>
                <w:rFonts w:hint="eastAsia" w:cs="宋体" w:asciiTheme="majorEastAsia" w:hAnsiTheme="majorEastAsia" w:eastAsiaTheme="majorEastAsia"/>
                <w:bCs/>
                <w:sz w:val="18"/>
                <w:szCs w:val="18"/>
              </w:rPr>
              <w:t>金</w:t>
            </w:r>
            <w:r>
              <w:rPr>
                <w:rFonts w:cs="宋体"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bCs/>
                <w:sz w:val="18"/>
                <w:szCs w:val="18"/>
              </w:rPr>
            </w:pPr>
            <w:r>
              <w:rPr>
                <w:rFonts w:hint="eastAsia" w:cs="宋体"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cs="宋体"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bCs/>
                <w:sz w:val="18"/>
                <w:szCs w:val="18"/>
              </w:rPr>
            </w:pPr>
            <w:r>
              <w:rPr>
                <w:rFonts w:hint="eastAsia" w:cs="宋体" w:asciiTheme="minorEastAsia" w:hAnsiTheme="minorEastAsia"/>
                <w:b/>
                <w:sz w:val="18"/>
                <w:szCs w:val="18"/>
              </w:rPr>
              <w:t>认购期/募集期</w:t>
            </w:r>
          </w:p>
        </w:tc>
        <w:tc>
          <w:tcPr>
            <w:tcW w:w="7699" w:type="dxa"/>
            <w:shd w:val="solid" w:color="FFFFFF" w:fill="FFFFFF"/>
            <w:vAlign w:val="center"/>
          </w:tcPr>
          <w:p>
            <w:pPr>
              <w:spacing w:line="360" w:lineRule="auto"/>
              <w:rPr>
                <w:rFonts w:cs="宋体" w:asciiTheme="minorEastAsia" w:hAnsiTheme="minorEastAsia"/>
                <w:bCs/>
                <w:sz w:val="18"/>
                <w:szCs w:val="18"/>
              </w:rPr>
            </w:pPr>
            <w:r>
              <w:rPr>
                <w:rFonts w:cs="宋体" w:asciiTheme="minorEastAsia" w:hAnsiTheme="minorEastAsia"/>
                <w:bCs/>
                <w:sz w:val="18"/>
                <w:szCs w:val="18"/>
              </w:rPr>
              <w:t>1</w:t>
            </w:r>
            <w:r>
              <w:rPr>
                <w:rFonts w:hint="eastAsia" w:cs="宋体" w:asciiTheme="minorEastAsia" w:hAnsiTheme="minorEastAsia"/>
                <w:bCs/>
                <w:sz w:val="18"/>
                <w:szCs w:val="18"/>
              </w:rPr>
              <w:t>.</w:t>
            </w:r>
            <w:r>
              <w:rPr>
                <w:rFonts w:cs="宋体" w:asciiTheme="minorEastAsia" w:hAnsiTheme="minorEastAsia"/>
                <w:bCs/>
                <w:sz w:val="18"/>
                <w:szCs w:val="18"/>
              </w:rPr>
              <w:t>本产品认购期/募集期为</w:t>
            </w:r>
            <w:r>
              <w:rPr>
                <w:rFonts w:hint="eastAsia" w:cs="宋体"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w:t>
            </w:r>
            <w:r>
              <w:rPr>
                <w:rFonts w:hint="eastAsia" w:cs="宋体" w:asciiTheme="majorEastAsia" w:hAnsiTheme="majorEastAsia" w:eastAsiaTheme="majorEastAsia"/>
                <w:sz w:val="18"/>
                <w:szCs w:val="18"/>
              </w:rPr>
              <w:t>【</w:t>
            </w:r>
            <w:r>
              <w:rPr>
                <w:rFonts w:hint="eastAsia" w:cs="宋体" w:asciiTheme="majorEastAsia" w:hAnsiTheme="majorEastAsia" w:eastAsiaTheme="majorEastAsia"/>
                <w:sz w:val="18"/>
                <w:szCs w:val="18"/>
                <w:lang w:val="en-US" w:eastAsia="zh-CN"/>
              </w:rPr>
              <w:t>24：00</w:t>
            </w:r>
            <w:r>
              <w:rPr>
                <w:rFonts w:hint="eastAsia" w:cs="宋体" w:asciiTheme="majorEastAsia" w:hAnsiTheme="majorEastAsia" w:eastAsiaTheme="majorEastAsia"/>
                <w:sz w:val="18"/>
                <w:szCs w:val="18"/>
              </w:rPr>
              <w:t>】</w:t>
            </w:r>
            <w:r>
              <w:rPr>
                <w:rFonts w:cs="宋体" w:asciiTheme="majorEastAsia" w:hAnsiTheme="majorEastAsia" w:eastAsiaTheme="majorEastAsia"/>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cs="宋体" w:asciiTheme="minorEastAsia" w:hAnsiTheme="minorEastAsia"/>
                <w:bCs/>
                <w:sz w:val="18"/>
                <w:szCs w:val="18"/>
              </w:rPr>
              <w:t>.</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cs="宋体" w:asciiTheme="majorEastAsia" w:hAnsiTheme="majorEastAsia" w:eastAsiaTheme="majorEastAsia"/>
                <w:bCs/>
                <w:sz w:val="18"/>
                <w:szCs w:val="18"/>
              </w:rPr>
            </w:pPr>
            <w:r>
              <w:rPr>
                <w:rFonts w:ascii="宋体" w:hAnsi="宋体" w:cs="宋体"/>
                <w:bCs/>
                <w:sz w:val="18"/>
                <w:szCs w:val="18"/>
              </w:rPr>
              <w:t>3</w:t>
            </w:r>
            <w:r>
              <w:rPr>
                <w:rFonts w:hint="eastAsia" w:cs="宋体" w:asciiTheme="minorEastAsia" w:hAnsiTheme="minorEastAsia"/>
                <w:bCs/>
                <w:sz w:val="18"/>
                <w:szCs w:val="18"/>
              </w:rPr>
              <w:t>.</w:t>
            </w:r>
            <w:r>
              <w:rPr>
                <w:rFonts w:hint="eastAsia" w:ascii="宋体" w:hAnsi="宋体" w:cs="宋体"/>
                <w:bCs/>
                <w:sz w:val="18"/>
                <w:szCs w:val="18"/>
              </w:rPr>
              <w:t>认购期/募集期内资金产生的利息不计入认购资金</w:t>
            </w:r>
            <w:r>
              <w:rPr>
                <w:rFonts w:hint="eastAsia" w:ascii="宋体" w:hAnsi="宋体" w:cs="宋体"/>
                <w:sz w:val="18"/>
                <w:szCs w:val="22"/>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bCs/>
                <w:sz w:val="18"/>
                <w:szCs w:val="18"/>
              </w:rPr>
            </w:pPr>
            <w:r>
              <w:rPr>
                <w:rFonts w:hint="eastAsia" w:ascii="Calibri" w:hAnsi="宋体" w:cs="宋体"/>
                <w:sz w:val="18"/>
                <w:szCs w:val="18"/>
              </w:rPr>
              <w:t>★</w:t>
            </w:r>
            <w:r>
              <w:rPr>
                <w:rFonts w:hint="eastAsia" w:cs="宋体"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bCs/>
                <w:sz w:val="18"/>
                <w:szCs w:val="18"/>
              </w:rPr>
            </w:pPr>
            <w:r>
              <w:rPr>
                <w:rFonts w:hint="eastAsia" w:cs="宋体" w:asciiTheme="minorEastAsia" w:hAnsiTheme="minorEastAsia"/>
                <w:b/>
                <w:bCs/>
                <w:sz w:val="18"/>
                <w:szCs w:val="18"/>
              </w:rPr>
              <w:t>成立日</w:t>
            </w:r>
          </w:p>
        </w:tc>
        <w:tc>
          <w:tcPr>
            <w:tcW w:w="7699" w:type="dxa"/>
            <w:shd w:val="solid" w:color="FFFFFF" w:fill="FFFFFF"/>
            <w:vAlign w:val="center"/>
          </w:tcPr>
          <w:p>
            <w:pPr>
              <w:spacing w:line="360" w:lineRule="auto"/>
              <w:rPr>
                <w:rFonts w:cs="宋体" w:asciiTheme="minorEastAsia" w:hAnsiTheme="minorEastAsia"/>
                <w:bCs/>
                <w:sz w:val="18"/>
                <w:szCs w:val="18"/>
              </w:rPr>
            </w:pPr>
            <w:r>
              <w:rPr>
                <w:rFonts w:cs="宋体" w:asciiTheme="minorEastAsia" w:hAnsiTheme="minorEastAsia"/>
                <w:bCs/>
                <w:sz w:val="18"/>
                <w:szCs w:val="18"/>
              </w:rPr>
              <w:t>1</w:t>
            </w:r>
            <w:r>
              <w:rPr>
                <w:rFonts w:hint="eastAsia" w:cs="宋体" w:asciiTheme="minorEastAsia" w:hAnsiTheme="minorEastAsia"/>
                <w:bCs/>
                <w:sz w:val="18"/>
                <w:szCs w:val="18"/>
              </w:rPr>
              <w:t>.本产品的计划成立日为</w:t>
            </w:r>
            <w:r>
              <w:rPr>
                <w:rFonts w:cs="宋体"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28</w:t>
            </w:r>
            <w:r>
              <w:rPr>
                <w:rFonts w:hint="eastAsia" w:cs="Times New Roman" w:asciiTheme="minorEastAsia" w:hAnsiTheme="minorEastAsia"/>
                <w:sz w:val="18"/>
                <w:szCs w:val="18"/>
              </w:rPr>
              <w:t>】日（遇节假日顺延）</w:t>
            </w:r>
            <w:r>
              <w:rPr>
                <w:rFonts w:hint="eastAsia" w:cs="宋体" w:asciiTheme="minorEastAsia" w:hAnsiTheme="minorEastAsia"/>
                <w:bCs/>
                <w:sz w:val="18"/>
                <w:szCs w:val="18"/>
              </w:rPr>
              <w:t>。</w:t>
            </w:r>
          </w:p>
          <w:p>
            <w:pPr>
              <w:spacing w:line="360" w:lineRule="auto"/>
              <w:rPr>
                <w:rFonts w:cs="宋体" w:asciiTheme="majorEastAsia" w:hAnsiTheme="majorEastAsia" w:eastAsiaTheme="majorEastAsia"/>
                <w:bCs/>
                <w:sz w:val="18"/>
                <w:szCs w:val="18"/>
              </w:rPr>
            </w:pPr>
            <w:r>
              <w:rPr>
                <w:rFonts w:cs="宋体" w:asciiTheme="minorEastAsia" w:hAnsiTheme="minorEastAsia"/>
                <w:bCs/>
                <w:sz w:val="18"/>
                <w:szCs w:val="18"/>
              </w:rPr>
              <w:t>2</w:t>
            </w:r>
            <w:r>
              <w:rPr>
                <w:rFonts w:hint="eastAsia" w:cs="宋体" w:asciiTheme="minorEastAsia" w:hAnsiTheme="minorEastAsia"/>
                <w:bCs/>
                <w:sz w:val="18"/>
                <w:szCs w:val="18"/>
              </w:rPr>
              <w:t>.</w:t>
            </w:r>
            <w:r>
              <w:rPr>
                <w:rFonts w:cs="宋体" w:asciiTheme="minorEastAsia" w:hAnsiTheme="minorEastAsia"/>
                <w:bCs/>
                <w:sz w:val="18"/>
                <w:szCs w:val="18"/>
              </w:rPr>
              <w:t>产品管理人有权根据实际募集情况提前或延后产品成立日期，并相应调整其他产品要素</w:t>
            </w:r>
            <w:r>
              <w:rPr>
                <w:rFonts w:hint="eastAsia" w:cs="宋体" w:asciiTheme="minorEastAsia" w:hAnsiTheme="minorEastAsia"/>
                <w:bCs/>
                <w:sz w:val="18"/>
                <w:szCs w:val="18"/>
              </w:rPr>
              <w:t>，</w:t>
            </w:r>
            <w:r>
              <w:rPr>
                <w:rFonts w:cs="宋体" w:asciiTheme="minorEastAsia" w:hAnsiTheme="minorEastAsia"/>
                <w:bCs/>
                <w:sz w:val="18"/>
                <w:szCs w:val="18"/>
              </w:rPr>
              <w:t>将依约</w:t>
            </w:r>
            <w:r>
              <w:rPr>
                <w:rFonts w:hint="eastAsia" w:cs="宋体"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inorEastAsia" w:hAnsiTheme="minorEastAsia"/>
                <w:b/>
                <w:bCs/>
                <w:sz w:val="18"/>
                <w:szCs w:val="18"/>
              </w:rPr>
            </w:pPr>
            <w:r>
              <w:rPr>
                <w:rFonts w:hint="eastAsia" w:cs="宋体" w:asciiTheme="minorEastAsia" w:hAnsiTheme="minorEastAsia"/>
                <w:b/>
                <w:bCs/>
                <w:sz w:val="18"/>
                <w:szCs w:val="18"/>
              </w:rPr>
              <w:t>终止日</w:t>
            </w:r>
          </w:p>
        </w:tc>
        <w:tc>
          <w:tcPr>
            <w:tcW w:w="7699" w:type="dxa"/>
            <w:shd w:val="solid" w:color="FFFFFF" w:fill="FFFFFF"/>
            <w:vAlign w:val="center"/>
          </w:tcPr>
          <w:p>
            <w:pPr>
              <w:spacing w:line="360" w:lineRule="auto"/>
              <w:rPr>
                <w:rFonts w:cs="宋体" w:asciiTheme="minorEastAsia" w:hAnsiTheme="minorEastAsia"/>
                <w:bCs/>
                <w:sz w:val="18"/>
                <w:szCs w:val="18"/>
              </w:rPr>
            </w:pPr>
            <w:r>
              <w:rPr>
                <w:rFonts w:cs="宋体" w:asciiTheme="minorEastAsia" w:hAnsiTheme="minorEastAsia"/>
                <w:bCs/>
                <w:sz w:val="18"/>
                <w:szCs w:val="18"/>
              </w:rPr>
              <w:t>1</w:t>
            </w:r>
            <w:r>
              <w:rPr>
                <w:rFonts w:hint="eastAsia" w:cs="宋体" w:asciiTheme="minorEastAsia" w:hAnsiTheme="minorEastAsia"/>
                <w:bCs/>
                <w:sz w:val="18"/>
                <w:szCs w:val="18"/>
              </w:rPr>
              <w:t>.本产品的计划终止日为</w:t>
            </w:r>
            <w:r>
              <w:rPr>
                <w:rFonts w:cs="宋体"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cs="宋体" w:asciiTheme="minorEastAsia" w:hAnsiTheme="minorEastAsia"/>
                <w:bCs/>
                <w:sz w:val="18"/>
                <w:szCs w:val="18"/>
              </w:rPr>
              <w:t>。</w:t>
            </w:r>
          </w:p>
          <w:p>
            <w:pPr>
              <w:spacing w:line="360" w:lineRule="auto"/>
              <w:rPr>
                <w:rFonts w:cs="宋体" w:asciiTheme="minorEastAsia" w:hAnsiTheme="minorEastAsia"/>
                <w:bCs/>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cs="宋体" w:asciiTheme="minorEastAsia" w:hAnsiTheme="minorEastAsia"/>
                <w:b/>
                <w:bCs/>
                <w:sz w:val="18"/>
                <w:szCs w:val="18"/>
              </w:rPr>
            </w:pPr>
            <w:r>
              <w:rPr>
                <w:rFonts w:hint="eastAsia" w:ascii="Calibri" w:hAnsi="宋体" w:cs="宋体"/>
                <w:sz w:val="18"/>
                <w:szCs w:val="18"/>
              </w:rPr>
              <w:t>★</w:t>
            </w:r>
            <w:r>
              <w:rPr>
                <w:rFonts w:hint="eastAsia" w:cs="宋体"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cs="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宋体" w:asciiTheme="majorEastAsia" w:hAnsiTheme="majorEastAsia" w:eastAsiaTheme="majorEastAsia"/>
                <w:sz w:val="18"/>
                <w:szCs w:val="18"/>
              </w:rPr>
              <w:t>。</w:t>
            </w:r>
          </w:p>
          <w:p>
            <w:pPr>
              <w:spacing w:line="360" w:lineRule="auto"/>
              <w:rPr>
                <w:rFonts w:cs="宋体" w:asciiTheme="minorEastAsia" w:hAnsiTheme="minorEastAsia"/>
                <w:bCs/>
                <w:sz w:val="18"/>
                <w:szCs w:val="18"/>
              </w:rPr>
            </w:pPr>
            <w:r>
              <w:rPr>
                <w:rFonts w:cs="宋体" w:asciiTheme="minorEastAsia" w:hAnsiTheme="minorEastAsia"/>
                <w:sz w:val="18"/>
                <w:szCs w:val="18"/>
              </w:rPr>
              <w:t>2.</w:t>
            </w:r>
            <w:r>
              <w:rPr>
                <w:rFonts w:hint="eastAsia" w:cs="宋体"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申购/赎回安排</w:t>
            </w:r>
          </w:p>
        </w:tc>
        <w:tc>
          <w:tcPr>
            <w:tcW w:w="7699" w:type="dxa"/>
            <w:shd w:val="solid" w:color="FFFFFF" w:fill="FFFFFF"/>
          </w:tcPr>
          <w:p>
            <w:pPr>
              <w:spacing w:line="360" w:lineRule="auto"/>
              <w:rPr>
                <w:rFonts w:cs="宋体" w:asciiTheme="minorEastAsia" w:hAnsiTheme="minorEastAsia"/>
                <w:sz w:val="18"/>
                <w:szCs w:val="18"/>
              </w:rPr>
            </w:pPr>
            <w:r>
              <w:rPr>
                <w:rFonts w:hint="eastAsia" w:cs="宋体" w:asciiTheme="minorEastAsia" w:hAnsiTheme="minorEastAsia"/>
                <w:sz w:val="18"/>
                <w:szCs w:val="18"/>
              </w:rPr>
              <w:t>1</w:t>
            </w:r>
            <w:r>
              <w:rPr>
                <w:rFonts w:cs="宋体" w:asciiTheme="minorEastAsia" w:hAnsiTheme="minorEastAsia"/>
                <w:sz w:val="18"/>
                <w:szCs w:val="18"/>
              </w:rPr>
              <w:t>.</w:t>
            </w:r>
            <w:r>
              <w:rPr>
                <w:rFonts w:hint="eastAsia" w:cs="宋体" w:asciiTheme="minorEastAsia" w:hAnsiTheme="minorEastAsia"/>
                <w:sz w:val="18"/>
                <w:szCs w:val="18"/>
              </w:rPr>
              <w:t>本产品在封闭期后，产品按以下规则设置开放期：</w:t>
            </w:r>
          </w:p>
          <w:p>
            <w:pPr>
              <w:spacing w:line="360" w:lineRule="auto"/>
              <w:rPr>
                <w:rFonts w:cs="宋体" w:asciiTheme="minorEastAsia" w:hAnsiTheme="minorEastAsia"/>
                <w:sz w:val="18"/>
                <w:szCs w:val="18"/>
              </w:rPr>
            </w:pPr>
            <w:r>
              <w:rPr>
                <w:rFonts w:hint="eastAsia" w:cs="宋体" w:asciiTheme="minorEastAsia" w:hAnsiTheme="minorEastAsia"/>
                <w:sz w:val="18"/>
                <w:szCs w:val="18"/>
              </w:rPr>
              <w:t>（1）本</w:t>
            </w:r>
            <w:r>
              <w:rPr>
                <w:rFonts w:cs="宋体" w:asciiTheme="minorEastAsia" w:hAnsiTheme="minorEastAsia"/>
                <w:sz w:val="18"/>
                <w:szCs w:val="18"/>
              </w:rPr>
              <w:t>产品成立后</w:t>
            </w:r>
            <w:r>
              <w:rPr>
                <w:rFonts w:hint="eastAsia" w:cs="宋体" w:asciiTheme="minorEastAsia" w:hAnsiTheme="minorEastAsia"/>
                <w:sz w:val="18"/>
                <w:szCs w:val="18"/>
              </w:rPr>
              <w:t>，</w:t>
            </w:r>
            <w:r>
              <w:rPr>
                <w:rFonts w:cs="宋体" w:asciiTheme="minorEastAsia" w:hAnsiTheme="minorEastAsia"/>
                <w:sz w:val="18"/>
                <w:szCs w:val="18"/>
              </w:rPr>
              <w:t>在封闭期之</w:t>
            </w:r>
            <w:r>
              <w:rPr>
                <w:rFonts w:hint="eastAsia" w:cs="宋体" w:asciiTheme="minorEastAsia" w:hAnsiTheme="minorEastAsia"/>
                <w:sz w:val="18"/>
                <w:szCs w:val="18"/>
              </w:rPr>
              <w:t>后的每个【</w:t>
            </w:r>
            <w:r>
              <w:rPr>
                <w:rFonts w:hint="eastAsia" w:cs="宋体" w:asciiTheme="minorEastAsia" w:hAnsiTheme="minorEastAsia"/>
                <w:sz w:val="18"/>
                <w:szCs w:val="18"/>
                <w:lang w:val="en-US" w:eastAsia="zh-CN"/>
              </w:rPr>
              <w:t>工作日</w:t>
            </w:r>
            <w:r>
              <w:rPr>
                <w:rFonts w:hint="eastAsia" w:cs="宋体" w:asciiTheme="minorEastAsia" w:hAnsiTheme="minorEastAsia"/>
                <w:sz w:val="18"/>
                <w:szCs w:val="18"/>
              </w:rPr>
              <w:t>】为开放日，开放日开放投资者的申购与赎回；</w:t>
            </w:r>
          </w:p>
          <w:p>
            <w:pPr>
              <w:spacing w:line="360" w:lineRule="auto"/>
              <w:rPr>
                <w:rFonts w:cs="宋体" w:asciiTheme="minorEastAsia" w:hAnsiTheme="minorEastAsia"/>
                <w:sz w:val="18"/>
                <w:szCs w:val="18"/>
              </w:rPr>
            </w:pPr>
            <w:r>
              <w:rPr>
                <w:rFonts w:hint="eastAsia" w:cs="宋体" w:asciiTheme="minorEastAsia" w:hAnsiTheme="minorEastAsia"/>
                <w:sz w:val="18"/>
                <w:szCs w:val="18"/>
              </w:rPr>
              <w:t>（2）产品管理人公告暂停开放的日期除外。</w:t>
            </w:r>
          </w:p>
          <w:p>
            <w:pPr>
              <w:spacing w:line="360" w:lineRule="auto"/>
              <w:rPr>
                <w:rFonts w:eastAsia="黑体" w:cs="宋体" w:asciiTheme="minorEastAsia" w:hAnsiTheme="minorEastAsia"/>
                <w:b/>
                <w:sz w:val="18"/>
                <w:szCs w:val="18"/>
              </w:rPr>
            </w:pPr>
            <w:r>
              <w:rPr>
                <w:rFonts w:hint="eastAsia" w:cs="宋体" w:asciiTheme="minorEastAsia" w:hAnsiTheme="minorEastAsia"/>
                <w:sz w:val="18"/>
                <w:szCs w:val="18"/>
              </w:rPr>
              <w:t>2</w:t>
            </w:r>
            <w:r>
              <w:rPr>
                <w:rFonts w:cs="宋体" w:asciiTheme="minorEastAsia" w:hAnsiTheme="minorEastAsia"/>
                <w:sz w:val="18"/>
                <w:szCs w:val="18"/>
              </w:rPr>
              <w:t>.</w:t>
            </w:r>
            <w:r>
              <w:rPr>
                <w:rFonts w:hint="eastAsia" w:cs="宋体" w:asciiTheme="minorEastAsia" w:hAnsiTheme="minorEastAsia"/>
                <w:sz w:val="18"/>
                <w:szCs w:val="18"/>
              </w:rPr>
              <w:t>申购安排</w:t>
            </w:r>
          </w:p>
          <w:p>
            <w:pPr>
              <w:spacing w:line="360" w:lineRule="auto"/>
              <w:rPr>
                <w:rFonts w:eastAsia="黑体" w:cs="宋体" w:asciiTheme="minorEastAsia" w:hAnsiTheme="minorEastAsia"/>
                <w:b/>
                <w:sz w:val="18"/>
                <w:szCs w:val="18"/>
              </w:rPr>
            </w:pPr>
            <w:r>
              <w:rPr>
                <w:rFonts w:hint="eastAsia" w:cs="宋体" w:asciiTheme="minorEastAsia" w:hAnsiTheme="minorEastAsia"/>
                <w:sz w:val="18"/>
                <w:szCs w:val="18"/>
              </w:rPr>
              <w:t>（1）申购的时间</w:t>
            </w:r>
          </w:p>
          <w:p>
            <w:pPr>
              <w:spacing w:line="360" w:lineRule="auto"/>
              <w:rPr>
                <w:rFonts w:eastAsia="黑体" w:cs="宋体" w:asciiTheme="minorEastAsia" w:hAnsiTheme="minorEastAsia"/>
                <w:b/>
                <w:sz w:val="18"/>
                <w:szCs w:val="18"/>
              </w:rPr>
            </w:pPr>
            <w:r>
              <w:rPr>
                <w:rFonts w:hint="eastAsia" w:cs="宋体"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cs="宋体" w:asciiTheme="minorEastAsia" w:hAnsiTheme="minorEastAsia"/>
                <w:b/>
                <w:sz w:val="18"/>
                <w:szCs w:val="18"/>
              </w:rPr>
            </w:pPr>
            <w:r>
              <w:rPr>
                <w:rFonts w:hint="eastAsia" w:cs="宋体" w:asciiTheme="minorEastAsia" w:hAnsiTheme="minorEastAsia"/>
                <w:sz w:val="18"/>
                <w:szCs w:val="18"/>
              </w:rPr>
              <w:t>（2）申购的确认</w:t>
            </w:r>
          </w:p>
          <w:tbl>
            <w:tblPr>
              <w:tblStyle w:val="9"/>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67"/>
              <w:gridCol w:w="157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967" w:type="dxa"/>
                  <w:vAlign w:val="center"/>
                </w:tcPr>
                <w:p>
                  <w:pPr>
                    <w:widowControl w:val="0"/>
                    <w:autoSpaceDE w:val="0"/>
                    <w:autoSpaceDN w:val="0"/>
                    <w:adjustRightInd w:val="0"/>
                    <w:spacing w:line="360" w:lineRule="auto"/>
                    <w:jc w:val="center"/>
                    <w:rPr>
                      <w:rFonts w:eastAsia="宋体" w:cs="宋体" w:asciiTheme="minorEastAsia" w:hAnsiTheme="minorEastAsia"/>
                      <w:b/>
                      <w:bCs/>
                      <w:color w:val="000000"/>
                      <w:kern w:val="2"/>
                      <w:sz w:val="18"/>
                      <w:szCs w:val="18"/>
                      <w:lang w:val="en-US" w:eastAsia="zh-CN" w:bidi="ar-SA"/>
                    </w:rPr>
                  </w:pPr>
                  <w:r>
                    <w:rPr>
                      <w:rFonts w:hint="eastAsia" w:cs="宋体" w:asciiTheme="majorEastAsia" w:hAnsiTheme="majorEastAsia" w:eastAsiaTheme="majorEastAsia"/>
                      <w:b/>
                      <w:bCs/>
                      <w:color w:val="auto"/>
                      <w:sz w:val="18"/>
                      <w:szCs w:val="18"/>
                      <w:lang w:val="en-US" w:eastAsia="zh-CN" w:bidi="ar-SA"/>
                    </w:rPr>
                    <w:t>申购申请日</w:t>
                  </w:r>
                </w:p>
              </w:tc>
              <w:tc>
                <w:tcPr>
                  <w:tcW w:w="1571" w:type="dxa"/>
                  <w:vAlign w:val="center"/>
                </w:tcPr>
                <w:p>
                  <w:pPr>
                    <w:widowControl w:val="0"/>
                    <w:autoSpaceDE w:val="0"/>
                    <w:autoSpaceDN w:val="0"/>
                    <w:adjustRightInd w:val="0"/>
                    <w:spacing w:line="360" w:lineRule="auto"/>
                    <w:jc w:val="center"/>
                    <w:rPr>
                      <w:rFonts w:eastAsia="宋体" w:cs="Times New Roman" w:asciiTheme="minorEastAsia" w:hAnsiTheme="minorEastAsia"/>
                      <w:b/>
                      <w:bCs/>
                      <w:color w:val="auto"/>
                      <w:kern w:val="2"/>
                      <w:sz w:val="18"/>
                      <w:szCs w:val="18"/>
                      <w:lang w:val="en-US" w:eastAsia="zh-CN" w:bidi="ar-SA"/>
                    </w:rPr>
                  </w:pPr>
                  <w:r>
                    <w:rPr>
                      <w:rFonts w:hint="eastAsia" w:eastAsia="宋体" w:cs="Times New Roman" w:asciiTheme="minorEastAsia" w:hAnsiTheme="minorEastAsia"/>
                      <w:b/>
                      <w:bCs/>
                      <w:color w:val="auto"/>
                      <w:sz w:val="18"/>
                      <w:szCs w:val="18"/>
                      <w:lang w:val="en-US" w:eastAsia="zh-CN" w:bidi="ar-SA"/>
                    </w:rPr>
                    <w:t>申购日</w:t>
                  </w:r>
                </w:p>
              </w:tc>
              <w:tc>
                <w:tcPr>
                  <w:tcW w:w="1984" w:type="dxa"/>
                  <w:vAlign w:val="center"/>
                </w:tcPr>
                <w:p>
                  <w:pPr>
                    <w:widowControl w:val="0"/>
                    <w:autoSpaceDE w:val="0"/>
                    <w:autoSpaceDN w:val="0"/>
                    <w:adjustRightInd w:val="0"/>
                    <w:spacing w:line="360" w:lineRule="auto"/>
                    <w:jc w:val="center"/>
                    <w:rPr>
                      <w:rFonts w:eastAsia="宋体" w:cs="宋体" w:asciiTheme="minorEastAsia" w:hAnsiTheme="minorEastAsia"/>
                      <w:b/>
                      <w:bCs/>
                      <w:color w:val="000000"/>
                      <w:kern w:val="2"/>
                      <w:sz w:val="18"/>
                      <w:szCs w:val="18"/>
                      <w:lang w:val="en-US" w:eastAsia="zh-CN" w:bidi="ar-SA"/>
                    </w:rPr>
                  </w:pPr>
                  <w:r>
                    <w:rPr>
                      <w:rFonts w:hint="eastAsia" w:eastAsia="宋体" w:cs="Times New Roman" w:asciiTheme="minorEastAsia" w:hAnsiTheme="minorEastAsia"/>
                      <w:b/>
                      <w:bCs/>
                      <w:color w:val="auto"/>
                      <w:sz w:val="18"/>
                      <w:szCs w:val="18"/>
                      <w:lang w:val="en-US" w:eastAsia="zh-CN" w:bidi="ar-SA"/>
                    </w:rPr>
                    <w:t>申购确认日</w:t>
                  </w:r>
                </w:p>
              </w:tc>
              <w:tc>
                <w:tcPr>
                  <w:tcW w:w="1985" w:type="dxa"/>
                  <w:vAlign w:val="center"/>
                </w:tcPr>
                <w:p>
                  <w:pPr>
                    <w:widowControl w:val="0"/>
                    <w:autoSpaceDE w:val="0"/>
                    <w:autoSpaceDN w:val="0"/>
                    <w:adjustRightInd w:val="0"/>
                    <w:spacing w:line="360" w:lineRule="auto"/>
                    <w:jc w:val="center"/>
                    <w:rPr>
                      <w:rFonts w:eastAsia="宋体" w:cs="Times New Roman" w:asciiTheme="minorEastAsia" w:hAnsiTheme="minorEastAsia"/>
                      <w:b/>
                      <w:bCs/>
                      <w:color w:val="auto"/>
                      <w:sz w:val="18"/>
                      <w:szCs w:val="18"/>
                      <w:lang w:val="en-US" w:eastAsia="zh-CN" w:bidi="ar-SA"/>
                    </w:rPr>
                  </w:pPr>
                  <w:r>
                    <w:rPr>
                      <w:rFonts w:hint="eastAsia" w:eastAsia="宋体" w:cs="Times New Roman" w:asciiTheme="minorEastAsia" w:hAnsiTheme="minorEastAsia"/>
                      <w:b/>
                      <w:bCs/>
                      <w:color w:val="auto"/>
                      <w:sz w:val="18"/>
                      <w:szCs w:val="18"/>
                      <w:lang w:val="en-US" w:eastAsia="zh-CN" w:bidi="ar-SA"/>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开放日内交易时间：</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0：00</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 xml:space="preserve">-【17：00】 </w:t>
                  </w:r>
                </w:p>
              </w:tc>
              <w:tc>
                <w:tcPr>
                  <w:tcW w:w="1571"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申购申请日当日</w:t>
                  </w:r>
                </w:p>
              </w:tc>
              <w:tc>
                <w:tcPr>
                  <w:tcW w:w="1984"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kern w:val="2"/>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申购日后的下一个开放日</w:t>
                  </w:r>
                </w:p>
              </w:tc>
              <w:tc>
                <w:tcPr>
                  <w:tcW w:w="1985" w:type="dxa"/>
                  <w:vMerge w:val="restart"/>
                </w:tcPr>
                <w:p>
                  <w:pPr>
                    <w:widowControl w:val="0"/>
                    <w:autoSpaceDE w:val="0"/>
                    <w:autoSpaceDN w:val="0"/>
                    <w:adjustRightInd w:val="0"/>
                    <w:spacing w:line="360" w:lineRule="auto"/>
                    <w:jc w:val="left"/>
                    <w:rPr>
                      <w:rFonts w:cs="宋体" w:asciiTheme="majorEastAsia" w:hAnsiTheme="majorEastAsia" w:eastAsiaTheme="majorEastAsia"/>
                      <w:bCs/>
                      <w:color w:val="auto"/>
                      <w:kern w:val="2"/>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开放日内非交易时间：【17：00】-</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24：00</w:t>
                  </w:r>
                  <w:r>
                    <w:rPr>
                      <w:rFonts w:cs="宋体" w:asciiTheme="majorEastAsia" w:hAnsiTheme="majorEastAsia" w:eastAsiaTheme="majorEastAsia"/>
                      <w:bCs/>
                      <w:color w:val="auto"/>
                      <w:sz w:val="18"/>
                      <w:szCs w:val="18"/>
                      <w:lang w:val="en-US" w:eastAsia="zh-CN" w:bidi="ar-SA"/>
                    </w:rPr>
                    <w:t>】</w:t>
                  </w:r>
                </w:p>
              </w:tc>
              <w:tc>
                <w:tcPr>
                  <w:tcW w:w="1571"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申购申请日后的下一个开放日</w:t>
                  </w:r>
                </w:p>
              </w:tc>
              <w:tc>
                <w:tcPr>
                  <w:tcW w:w="1984"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申购日后的下一个开放日</w:t>
                  </w:r>
                </w:p>
              </w:tc>
              <w:tc>
                <w:tcPr>
                  <w:tcW w:w="1985" w:type="dxa"/>
                  <w:vMerge w:val="continue"/>
                </w:tcPr>
                <w:p>
                  <w:pPr>
                    <w:widowControl w:val="0"/>
                    <w:autoSpaceDE w:val="0"/>
                    <w:autoSpaceDN w:val="0"/>
                    <w:adjustRightInd w:val="0"/>
                    <w:spacing w:line="360" w:lineRule="auto"/>
                    <w:jc w:val="left"/>
                    <w:rPr>
                      <w:rFonts w:cs="宋体" w:asciiTheme="majorEastAsia" w:hAnsiTheme="majorEastAsia" w:eastAsiaTheme="majorEastAsia"/>
                      <w:bCs/>
                      <w:color w:val="auto"/>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 xml:space="preserve">非开放日 </w:t>
                  </w:r>
                </w:p>
              </w:tc>
              <w:tc>
                <w:tcPr>
                  <w:tcW w:w="1571"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申购申请日后的下一个开放日</w:t>
                  </w:r>
                </w:p>
              </w:tc>
              <w:tc>
                <w:tcPr>
                  <w:tcW w:w="1984" w:type="dxa"/>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申购日后的下一个开放日</w:t>
                  </w:r>
                </w:p>
              </w:tc>
              <w:tc>
                <w:tcPr>
                  <w:tcW w:w="1985" w:type="dxa"/>
                  <w:vMerge w:val="continue"/>
                </w:tcPr>
                <w:p>
                  <w:pPr>
                    <w:widowControl w:val="0"/>
                    <w:autoSpaceDE w:val="0"/>
                    <w:autoSpaceDN w:val="0"/>
                    <w:adjustRightInd w:val="0"/>
                    <w:spacing w:line="360" w:lineRule="auto"/>
                    <w:jc w:val="left"/>
                    <w:rPr>
                      <w:rFonts w:cs="宋体" w:asciiTheme="majorEastAsia" w:hAnsiTheme="majorEastAsia" w:eastAsiaTheme="majorEastAsia"/>
                      <w:bCs/>
                      <w:color w:val="auto"/>
                      <w:kern w:val="2"/>
                      <w:sz w:val="18"/>
                      <w:szCs w:val="18"/>
                      <w:lang w:val="en-US" w:eastAsia="zh-CN" w:bidi="ar-SA"/>
                    </w:rPr>
                  </w:pPr>
                </w:p>
              </w:tc>
            </w:tr>
          </w:tbl>
          <w:p>
            <w:pPr>
              <w:spacing w:line="360" w:lineRule="auto"/>
              <w:rPr>
                <w:rFonts w:cs="宋体" w:asciiTheme="minorEastAsia" w:hAnsiTheme="minorEastAsia"/>
                <w:sz w:val="18"/>
                <w:szCs w:val="18"/>
              </w:rPr>
            </w:pPr>
            <w:r>
              <w:rPr>
                <w:rFonts w:cs="宋体" w:asciiTheme="minorEastAsia" w:hAnsiTheme="minorEastAsia"/>
                <w:sz w:val="18"/>
                <w:szCs w:val="18"/>
              </w:rPr>
              <w:t>3.赎回</w:t>
            </w:r>
            <w:r>
              <w:rPr>
                <w:rFonts w:hint="eastAsia" w:cs="宋体" w:asciiTheme="minorEastAsia" w:hAnsiTheme="minorEastAsia"/>
                <w:sz w:val="18"/>
                <w:szCs w:val="18"/>
              </w:rPr>
              <w:t>安排</w:t>
            </w:r>
          </w:p>
          <w:p>
            <w:pPr>
              <w:spacing w:line="360" w:lineRule="auto"/>
              <w:rPr>
                <w:rFonts w:cs="宋体" w:asciiTheme="minorEastAsia" w:hAnsiTheme="minorEastAsia"/>
                <w:sz w:val="18"/>
                <w:szCs w:val="18"/>
              </w:rPr>
            </w:pPr>
            <w:r>
              <w:rPr>
                <w:rFonts w:hint="eastAsia" w:cs="宋体" w:asciiTheme="minorEastAsia" w:hAnsiTheme="minorEastAsia"/>
                <w:sz w:val="18"/>
                <w:szCs w:val="18"/>
              </w:rPr>
              <w:t>（1）赎回的时间</w:t>
            </w:r>
          </w:p>
          <w:p>
            <w:pPr>
              <w:spacing w:line="360" w:lineRule="auto"/>
              <w:rPr>
                <w:rFonts w:cs="宋体" w:asciiTheme="minorEastAsia" w:hAnsiTheme="minorEastAsia"/>
                <w:sz w:val="18"/>
                <w:szCs w:val="18"/>
              </w:rPr>
            </w:pPr>
            <w:r>
              <w:rPr>
                <w:rFonts w:hint="eastAsia" w:cs="宋体" w:asciiTheme="minorEastAsia" w:hAnsiTheme="minorEastAsia"/>
                <w:sz w:val="18"/>
                <w:szCs w:val="18"/>
              </w:rPr>
              <w:t>本产品</w:t>
            </w:r>
            <w:r>
              <w:rPr>
                <w:rFonts w:cs="宋体" w:asciiTheme="minorEastAsia" w:hAnsiTheme="minorEastAsia"/>
                <w:sz w:val="18"/>
                <w:szCs w:val="18"/>
              </w:rPr>
              <w:t>封闭期</w:t>
            </w:r>
            <w:r>
              <w:rPr>
                <w:rFonts w:hint="eastAsia" w:cs="宋体" w:asciiTheme="minorEastAsia" w:hAnsiTheme="minorEastAsia"/>
                <w:sz w:val="18"/>
                <w:szCs w:val="18"/>
              </w:rPr>
              <w:t>后</w:t>
            </w:r>
            <w:r>
              <w:rPr>
                <w:rFonts w:hint="eastAsia" w:cs="Times New Roman" w:asciiTheme="minorEastAsia" w:hAnsiTheme="minorEastAsia"/>
                <w:sz w:val="18"/>
                <w:szCs w:val="18"/>
              </w:rPr>
              <w:t>的</w:t>
            </w:r>
            <w:r>
              <w:rPr>
                <w:rFonts w:hint="eastAsia" w:cs="宋体" w:asciiTheme="minorEastAsia" w:hAnsiTheme="minorEastAsia"/>
                <w:sz w:val="18"/>
                <w:szCs w:val="18"/>
              </w:rPr>
              <w:t>每个开放日开放</w:t>
            </w:r>
            <w:r>
              <w:rPr>
                <w:rFonts w:hint="eastAsia" w:cs="宋体" w:asciiTheme="minorEastAsia" w:hAnsiTheme="minorEastAsia"/>
                <w:bCs/>
                <w:sz w:val="18"/>
                <w:szCs w:val="18"/>
              </w:rPr>
              <w:t>赎回</w:t>
            </w:r>
            <w:r>
              <w:rPr>
                <w:rFonts w:cs="宋体" w:asciiTheme="minorEastAsia" w:hAnsiTheme="minorEastAsia"/>
                <w:sz w:val="18"/>
                <w:szCs w:val="18"/>
              </w:rPr>
              <w:t>。</w:t>
            </w:r>
            <w:r>
              <w:rPr>
                <w:rFonts w:hint="eastAsia" w:cs="宋体" w:asciiTheme="minorEastAsia" w:hAnsiTheme="minorEastAsia"/>
                <w:sz w:val="18"/>
                <w:szCs w:val="18"/>
              </w:rPr>
              <w:t>投资者可于开放日内提交赎回申请，产品管理人公告暂停开放的日期除外</w:t>
            </w:r>
            <w:r>
              <w:rPr>
                <w:rFonts w:hint="eastAsia" w:cs="宋体" w:asciiTheme="majorEastAsia" w:hAnsiTheme="majorEastAsia" w:eastAsiaTheme="majorEastAsia"/>
                <w:bCs/>
                <w:sz w:val="18"/>
                <w:szCs w:val="18"/>
              </w:rPr>
              <w:t>。</w:t>
            </w:r>
          </w:p>
          <w:p>
            <w:pPr>
              <w:spacing w:line="360" w:lineRule="auto"/>
              <w:rPr>
                <w:rFonts w:cs="宋体" w:asciiTheme="minorEastAsia" w:hAnsiTheme="minorEastAsia"/>
                <w:sz w:val="18"/>
                <w:szCs w:val="18"/>
              </w:rPr>
            </w:pPr>
            <w:r>
              <w:rPr>
                <w:rFonts w:hint="eastAsia" w:cs="宋体" w:asciiTheme="minorEastAsia" w:hAnsiTheme="minorEastAsia"/>
                <w:sz w:val="18"/>
                <w:szCs w:val="18"/>
              </w:rPr>
              <w:t>（2）赎回的确认</w:t>
            </w:r>
          </w:p>
          <w:tbl>
            <w:tblPr>
              <w:tblStyle w:val="9"/>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2006"/>
              <w:gridCol w:w="1528"/>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2006" w:type="dxa"/>
                  <w:vAlign w:val="center"/>
                </w:tcPr>
                <w:p>
                  <w:pPr>
                    <w:spacing w:line="360" w:lineRule="auto"/>
                    <w:jc w:val="center"/>
                    <w:rPr>
                      <w:rFonts w:cs="宋体"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528"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cs="宋体"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cs="宋体"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2006" w:type="dxa"/>
                  <w:tcBorders>
                    <w:bottom w:val="single" w:color="auto" w:sz="12" w:space="0"/>
                  </w:tcBorders>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开放日内交易时间：</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0：00</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-【17：00】</w:t>
                  </w:r>
                </w:p>
              </w:tc>
              <w:tc>
                <w:tcPr>
                  <w:tcW w:w="1528"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cs="宋体"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cs="宋体"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cs="宋体"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cs="宋体"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2006" w:type="dxa"/>
                  <w:tcBorders>
                    <w:top w:val="single" w:color="auto" w:sz="12" w:space="0"/>
                    <w:bottom w:val="single" w:color="auto" w:sz="12" w:space="0"/>
                  </w:tcBorders>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开放日内非交易时间：【17：00】-</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24：00</w:t>
                  </w:r>
                  <w:r>
                    <w:rPr>
                      <w:rFonts w:cs="宋体" w:asciiTheme="majorEastAsia" w:hAnsiTheme="majorEastAsia" w:eastAsiaTheme="majorEastAsia"/>
                      <w:bCs/>
                      <w:color w:val="auto"/>
                      <w:sz w:val="18"/>
                      <w:szCs w:val="18"/>
                      <w:lang w:val="en-US" w:eastAsia="zh-CN" w:bidi="ar-SA"/>
                    </w:rPr>
                    <w:t>】</w:t>
                  </w:r>
                </w:p>
              </w:tc>
              <w:tc>
                <w:tcPr>
                  <w:tcW w:w="1528"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cs="宋体"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cs="宋体"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2006" w:type="dxa"/>
                  <w:tcBorders>
                    <w:top w:val="single" w:color="auto" w:sz="12" w:space="0"/>
                  </w:tcBorders>
                  <w:vAlign w:val="center"/>
                </w:tcPr>
                <w:p>
                  <w:pPr>
                    <w:widowControl w:val="0"/>
                    <w:autoSpaceDE w:val="0"/>
                    <w:autoSpaceDN w:val="0"/>
                    <w:adjustRightInd w:val="0"/>
                    <w:spacing w:line="360" w:lineRule="auto"/>
                    <w:jc w:val="left"/>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非</w:t>
                  </w:r>
                  <w:r>
                    <w:rPr>
                      <w:rFonts w:cs="宋体" w:asciiTheme="majorEastAsia" w:hAnsiTheme="majorEastAsia" w:eastAsiaTheme="majorEastAsia"/>
                      <w:bCs/>
                      <w:color w:val="auto"/>
                      <w:sz w:val="18"/>
                      <w:szCs w:val="18"/>
                      <w:lang w:val="en-US" w:eastAsia="zh-CN" w:bidi="ar-SA"/>
                    </w:rPr>
                    <w:t>开放</w:t>
                  </w:r>
                  <w:r>
                    <w:rPr>
                      <w:rFonts w:hint="eastAsia" w:cs="宋体" w:asciiTheme="majorEastAsia" w:hAnsiTheme="majorEastAsia" w:eastAsiaTheme="majorEastAsia"/>
                      <w:bCs/>
                      <w:color w:val="auto"/>
                      <w:sz w:val="18"/>
                      <w:szCs w:val="18"/>
                      <w:lang w:val="en-US" w:eastAsia="zh-CN" w:bidi="ar-SA"/>
                    </w:rPr>
                    <w:t>日</w:t>
                  </w:r>
                </w:p>
              </w:tc>
              <w:tc>
                <w:tcPr>
                  <w:tcW w:w="1528"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cs="宋体"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cs="宋体"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szCs w:val="22"/>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szCs w:val="22"/>
              </w:rPr>
              <w:t>日后【</w:t>
            </w:r>
            <w:r>
              <w:rPr>
                <w:rFonts w:hint="eastAsia" w:ascii="黑体" w:hAnsi="黑体" w:eastAsia="黑体" w:cs="黑体"/>
                <w:kern w:val="0"/>
                <w:sz w:val="18"/>
                <w:szCs w:val="22"/>
                <w:lang w:val="en-US" w:eastAsia="zh-CN"/>
              </w:rPr>
              <w:t>1</w:t>
            </w:r>
            <w:r>
              <w:rPr>
                <w:rFonts w:hint="eastAsia" w:ascii="黑体" w:hAnsi="黑体" w:eastAsia="黑体" w:cs="黑体"/>
                <w:kern w:val="0"/>
                <w:sz w:val="18"/>
                <w:szCs w:val="22"/>
              </w:rPr>
              <w:t>】个开放日</w:t>
            </w:r>
            <w:r>
              <w:rPr>
                <w:rFonts w:hint="eastAsia" w:ascii="黑体" w:hAnsi="黑体" w:eastAsia="黑体" w:cs="黑体"/>
                <w:kern w:val="0"/>
                <w:sz w:val="18"/>
                <w:szCs w:val="18"/>
              </w:rPr>
              <w:t>内支付给</w:t>
            </w:r>
            <w:r>
              <w:rPr>
                <w:rFonts w:hint="eastAsia" w:ascii="黑体" w:hAnsi="黑体" w:eastAsia="黑体" w:cs="黑体"/>
                <w:kern w:val="0"/>
                <w:sz w:val="18"/>
                <w:szCs w:val="22"/>
              </w:rPr>
              <w:t>投资者</w:t>
            </w:r>
            <w:r>
              <w:rPr>
                <w:rFonts w:hint="eastAsia" w:ascii="黑体" w:hAnsi="黑体" w:eastAsia="黑体" w:cs="黑体"/>
                <w:kern w:val="0"/>
                <w:sz w:val="18"/>
                <w:szCs w:val="18"/>
              </w:rPr>
              <w:t>。</w:t>
            </w:r>
          </w:p>
          <w:p>
            <w:pPr>
              <w:spacing w:line="360" w:lineRule="auto"/>
              <w:rPr>
                <w:rFonts w:cs="宋体" w:asciiTheme="minorEastAsia" w:hAnsiTheme="minorEastAsia"/>
                <w:sz w:val="18"/>
                <w:szCs w:val="18"/>
              </w:rPr>
            </w:pPr>
            <w:r>
              <w:rPr>
                <w:rFonts w:cs="宋体" w:asciiTheme="majorEastAsia" w:hAnsiTheme="majorEastAsia" w:eastAsiaTheme="majorEastAsia"/>
                <w:bCs/>
                <w:color w:val="000000" w:themeColor="text1"/>
                <w:sz w:val="18"/>
                <w:szCs w:val="18"/>
                <w14:textFill>
                  <w14:solidFill>
                    <w14:schemeClr w14:val="tx1"/>
                  </w14:solidFill>
                </w14:textFill>
              </w:rPr>
              <w:t>4.申购/</w:t>
            </w:r>
            <w:r>
              <w:rPr>
                <w:rFonts w:hint="eastAsia" w:cs="宋体"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cs="宋体"/>
                <w:bCs/>
                <w:sz w:val="18"/>
                <w:szCs w:val="18"/>
              </w:rPr>
            </w:pPr>
            <w:r>
              <w:rPr>
                <w:rFonts w:hint="eastAsia" w:ascii="黑体" w:hAnsi="黑体" w:eastAsia="黑体" w:cs="宋体"/>
                <w:bCs/>
                <w:sz w:val="18"/>
                <w:szCs w:val="18"/>
              </w:rPr>
              <w:t>注：关于代理销售机构的实际工作服务时段的提示</w:t>
            </w:r>
          </w:p>
          <w:p>
            <w:pPr>
              <w:spacing w:line="360" w:lineRule="auto"/>
              <w:rPr>
                <w:rFonts w:ascii="黑体" w:hAnsi="黑体" w:eastAsia="黑体" w:cs="宋体"/>
                <w:bCs/>
                <w:sz w:val="18"/>
                <w:szCs w:val="18"/>
              </w:rPr>
            </w:pPr>
            <w:r>
              <w:rPr>
                <w:rFonts w:hint="eastAsia" w:ascii="黑体" w:hAnsi="黑体" w:eastAsia="黑体" w:cs="宋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cs="宋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cs="宋体" w:asciiTheme="majorEastAsia" w:hAnsiTheme="majorEastAsia" w:eastAsiaTheme="majorEastAsia"/>
                <w:b/>
                <w:bCs/>
                <w:sz w:val="18"/>
                <w:szCs w:val="18"/>
              </w:rPr>
              <w:t>及</w:t>
            </w:r>
            <w:r>
              <w:rPr>
                <w:rFonts w:cs="宋体"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cs="宋体" w:asciiTheme="majorEastAsia" w:hAnsiTheme="majorEastAsia" w:eastAsiaTheme="majorEastAsia"/>
                <w:bCs/>
                <w:sz w:val="18"/>
                <w:szCs w:val="18"/>
              </w:rPr>
            </w:pPr>
            <w:r>
              <w:rPr>
                <w:rFonts w:hint="eastAsia" w:cs="宋体" w:asciiTheme="majorEastAsia" w:hAnsiTheme="majorEastAsia" w:eastAsiaTheme="majorEastAsia"/>
                <w:sz w:val="18"/>
                <w:szCs w:val="18"/>
              </w:rPr>
              <w:t>每笔</w:t>
            </w:r>
            <w:r>
              <w:rPr>
                <w:rFonts w:hint="eastAsia" w:cs="宋体" w:asciiTheme="majorEastAsia" w:hAnsiTheme="majorEastAsia" w:eastAsiaTheme="majorEastAsia"/>
                <w:bCs/>
                <w:sz w:val="18"/>
                <w:szCs w:val="18"/>
              </w:rPr>
              <w:t>购买起点金额为【</w:t>
            </w:r>
            <w:r>
              <w:rPr>
                <w:rFonts w:hint="eastAsia" w:cs="宋体" w:asciiTheme="majorEastAsia" w:hAnsiTheme="majorEastAsia" w:eastAsiaTheme="majorEastAsia"/>
                <w:bCs/>
                <w:sz w:val="18"/>
                <w:szCs w:val="18"/>
                <w:lang w:val="en-US" w:eastAsia="zh-CN"/>
              </w:rPr>
              <w:t>0.01</w:t>
            </w:r>
            <w:r>
              <w:rPr>
                <w:rFonts w:hint="eastAsia" w:cs="宋体" w:asciiTheme="majorEastAsia" w:hAnsiTheme="majorEastAsia" w:eastAsiaTheme="majorEastAsia"/>
                <w:bCs/>
                <w:sz w:val="18"/>
                <w:szCs w:val="18"/>
              </w:rPr>
              <w:t>】元；超出起点金额的部分以【</w:t>
            </w:r>
            <w:r>
              <w:rPr>
                <w:rFonts w:hint="eastAsia" w:cs="宋体" w:asciiTheme="majorEastAsia" w:hAnsiTheme="majorEastAsia" w:eastAsiaTheme="majorEastAsia"/>
                <w:bCs/>
                <w:sz w:val="18"/>
                <w:szCs w:val="18"/>
                <w:lang w:val="en-US" w:eastAsia="zh-CN"/>
              </w:rPr>
              <w:t>0.01</w:t>
            </w:r>
            <w:r>
              <w:rPr>
                <w:rFonts w:hint="eastAsia" w:cs="宋体" w:asciiTheme="majorEastAsia" w:hAnsiTheme="majorEastAsia" w:eastAsiaTheme="majorEastAsia"/>
                <w:bCs/>
                <w:sz w:val="18"/>
                <w:szCs w:val="18"/>
              </w:rPr>
              <w:t>】元的整数倍递增。</w:t>
            </w:r>
            <w:r>
              <w:rPr>
                <w:rFonts w:hint="eastAsia" w:cs="宋体" w:asciiTheme="majorEastAsia" w:hAnsiTheme="majorEastAsia" w:eastAsiaTheme="majorEastAsia"/>
                <w:bCs/>
                <w:color w:val="000000" w:themeColor="text1"/>
                <w:sz w:val="18"/>
                <w:szCs w:val="18"/>
                <w14:textFill>
                  <w14:solidFill>
                    <w14:schemeClr w14:val="tx1"/>
                  </w14:solidFill>
                </w14:textFill>
              </w:rPr>
              <w:t>（</w:t>
            </w:r>
            <w:r>
              <w:rPr>
                <w:rFonts w:hint="eastAsia" w:cs="宋体" w:asciiTheme="majorEastAsia" w:hAnsiTheme="majorEastAsia" w:eastAsiaTheme="majorEastAsia"/>
                <w:bCs/>
                <w:color w:val="000000" w:themeColor="text1"/>
                <w:sz w:val="18"/>
                <w:szCs w:val="18"/>
                <w:lang w:eastAsia="zh-CN"/>
                <w14:textFill>
                  <w14:solidFill>
                    <w14:schemeClr w14:val="tx1"/>
                  </w14:solidFill>
                </w14:textFill>
              </w:rPr>
              <w:t>适用【J】类份额</w:t>
            </w:r>
            <w:r>
              <w:rPr>
                <w:rFonts w:hint="eastAsia" w:cs="宋体"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注</w:t>
            </w:r>
            <w:r>
              <w:rPr>
                <w:rFonts w:ascii="黑体" w:hAnsi="黑体" w:eastAsia="黑体" w:cs="宋体"/>
                <w:bCs/>
                <w:color w:val="000000" w:themeColor="text1"/>
                <w:sz w:val="18"/>
                <w:szCs w:val="18"/>
                <w14:textFill>
                  <w14:solidFill>
                    <w14:schemeClr w14:val="tx1"/>
                  </w14:solidFill>
                </w14:textFill>
              </w:rPr>
              <w:t>：</w:t>
            </w:r>
            <w:r>
              <w:rPr>
                <w:rFonts w:hint="eastAsia" w:ascii="黑体" w:hAnsi="黑体" w:eastAsia="黑体" w:cs="宋体"/>
                <w:bCs/>
                <w:color w:val="000000" w:themeColor="text1"/>
                <w:sz w:val="18"/>
                <w:szCs w:val="18"/>
                <w14:textFill>
                  <w14:solidFill>
                    <w14:schemeClr w14:val="tx1"/>
                  </w14:solidFill>
                </w14:textFill>
              </w:rPr>
              <w:t>关于代理销售机构的实际销售</w:t>
            </w:r>
            <w:r>
              <w:rPr>
                <w:rFonts w:ascii="黑体" w:hAnsi="黑体" w:eastAsia="黑体" w:cs="宋体"/>
                <w:bCs/>
                <w:color w:val="000000" w:themeColor="text1"/>
                <w:sz w:val="18"/>
                <w:szCs w:val="18"/>
                <w14:textFill>
                  <w14:solidFill>
                    <w14:schemeClr w14:val="tx1"/>
                  </w14:solidFill>
                </w14:textFill>
              </w:rPr>
              <w:t>起点金额</w:t>
            </w:r>
            <w:r>
              <w:rPr>
                <w:rFonts w:hint="eastAsia" w:ascii="黑体" w:hAnsi="黑体" w:eastAsia="黑体" w:cs="宋体"/>
                <w:bCs/>
                <w:color w:val="000000" w:themeColor="text1"/>
                <w:sz w:val="18"/>
                <w:szCs w:val="18"/>
                <w14:textFill>
                  <w14:solidFill>
                    <w14:schemeClr w14:val="tx1"/>
                  </w14:solidFill>
                </w14:textFill>
              </w:rPr>
              <w:t>的提示</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s="宋体"/>
                <w:bCs/>
                <w:color w:val="000000" w:themeColor="text1"/>
                <w:sz w:val="18"/>
                <w:szCs w:val="18"/>
                <w14:textFill>
                  <w14:solidFill>
                    <w14:schemeClr w14:val="tx1"/>
                  </w14:solidFill>
                </w14:textFill>
              </w:rPr>
              <w:t>以</w:t>
            </w:r>
            <w:r>
              <w:rPr>
                <w:rFonts w:hint="eastAsia" w:ascii="黑体" w:hAnsi="黑体" w:eastAsia="黑体" w:cs="宋体"/>
                <w:bCs/>
                <w:color w:val="000000" w:themeColor="text1"/>
                <w:sz w:val="18"/>
                <w:szCs w:val="18"/>
                <w14:textFill>
                  <w14:solidFill>
                    <w14:schemeClr w14:val="tx1"/>
                  </w14:solidFill>
                </w14:textFill>
              </w:rPr>
              <w:t>代理销售机构展示</w:t>
            </w:r>
            <w:r>
              <w:rPr>
                <w:rFonts w:ascii="黑体" w:hAnsi="黑体" w:eastAsia="黑体" w:cs="宋体"/>
                <w:bCs/>
                <w:color w:val="000000" w:themeColor="text1"/>
                <w:sz w:val="18"/>
                <w:szCs w:val="18"/>
                <w14:textFill>
                  <w14:solidFill>
                    <w14:schemeClr w14:val="tx1"/>
                  </w14:solidFill>
                </w14:textFill>
              </w:rPr>
              <w:t>为准</w:t>
            </w:r>
            <w:r>
              <w:rPr>
                <w:rFonts w:hint="eastAsia" w:ascii="黑体" w:hAnsi="黑体" w:eastAsia="黑体" w:cs="宋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s="宋体"/>
                <w:bCs/>
                <w:color w:val="000000" w:themeColor="text1"/>
                <w:sz w:val="18"/>
                <w:szCs w:val="18"/>
                <w14:textFill>
                  <w14:solidFill>
                    <w14:schemeClr w14:val="tx1"/>
                  </w14:solidFill>
                </w14:textFill>
              </w:rPr>
              <w:t>②代理销售机构的实际销售起点金额，</w:t>
            </w:r>
            <w:r>
              <w:rPr>
                <w:rFonts w:ascii="黑体" w:hAnsi="黑体" w:eastAsia="黑体" w:cs="宋体"/>
                <w:bCs/>
                <w:color w:val="000000" w:themeColor="text1"/>
                <w:sz w:val="18"/>
                <w:szCs w:val="18"/>
                <w14:textFill>
                  <w14:solidFill>
                    <w14:schemeClr w14:val="tx1"/>
                  </w14:solidFill>
                </w14:textFill>
              </w:rPr>
              <w:t>不得低于</w:t>
            </w:r>
            <w:r>
              <w:rPr>
                <w:rFonts w:hint="eastAsia" w:ascii="黑体" w:hAnsi="黑体" w:eastAsia="黑体" w:cs="宋体"/>
                <w:bCs/>
                <w:color w:val="000000" w:themeColor="text1"/>
                <w:sz w:val="18"/>
                <w:szCs w:val="18"/>
                <w14:textFill>
                  <w14:solidFill>
                    <w14:schemeClr w14:val="tx1"/>
                  </w14:solidFill>
                </w14:textFill>
              </w:rPr>
              <w:t>销售</w:t>
            </w:r>
            <w:r>
              <w:rPr>
                <w:rFonts w:ascii="黑体" w:hAnsi="黑体" w:eastAsia="黑体" w:cs="宋体"/>
                <w:bCs/>
                <w:color w:val="000000" w:themeColor="text1"/>
                <w:sz w:val="18"/>
                <w:szCs w:val="18"/>
                <w14:textFill>
                  <w14:solidFill>
                    <w14:schemeClr w14:val="tx1"/>
                  </w14:solidFill>
                </w14:textFill>
              </w:rPr>
              <w:t>文件约定的</w:t>
            </w:r>
            <w:r>
              <w:rPr>
                <w:rFonts w:hint="eastAsia" w:ascii="黑体" w:hAnsi="黑体" w:eastAsia="黑体" w:cs="宋体"/>
                <w:bCs/>
                <w:color w:val="000000" w:themeColor="text1"/>
                <w:sz w:val="18"/>
                <w:szCs w:val="18"/>
                <w14:textFill>
                  <w14:solidFill>
                    <w14:schemeClr w14:val="tx1"/>
                  </w14:solidFill>
                </w14:textFill>
              </w:rPr>
              <w:t>销售</w:t>
            </w:r>
            <w:r>
              <w:rPr>
                <w:rFonts w:ascii="黑体" w:hAnsi="黑体" w:eastAsia="黑体" w:cs="宋体"/>
                <w:bCs/>
                <w:color w:val="000000" w:themeColor="text1"/>
                <w:sz w:val="18"/>
                <w:szCs w:val="18"/>
                <w14:textFill>
                  <w14:solidFill>
                    <w14:schemeClr w14:val="tx1"/>
                  </w14:solidFill>
                </w14:textFill>
              </w:rPr>
              <w:t>起点金额</w:t>
            </w:r>
            <w:r>
              <w:rPr>
                <w:rFonts w:hint="eastAsia" w:ascii="黑体" w:hAnsi="黑体" w:eastAsia="黑体" w:cs="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★认购、申购与赎回的数量限制</w:t>
            </w:r>
          </w:p>
        </w:tc>
        <w:tc>
          <w:tcPr>
            <w:tcW w:w="7699" w:type="dxa"/>
            <w:shd w:val="solid" w:color="FFFFFF" w:fill="FFFFFF"/>
            <w:vAlign w:val="center"/>
          </w:tcPr>
          <w:p>
            <w:pPr>
              <w:widowControl w:val="0"/>
              <w:autoSpaceDE w:val="0"/>
              <w:autoSpaceDN w:val="0"/>
              <w:adjustRightInd w:val="0"/>
              <w:spacing w:line="360" w:lineRule="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（适用【J】类份额）</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1.认购的数量限制</w:t>
            </w:r>
          </w:p>
          <w:p>
            <w:pPr>
              <w:widowControl w:val="0"/>
              <w:autoSpaceDE w:val="0"/>
              <w:autoSpaceDN w:val="0"/>
              <w:adjustRightInd w:val="0"/>
              <w:spacing w:line="360" w:lineRule="auto"/>
              <w:rPr>
                <w:rFonts w:ascii="宋体" w:hAnsi="宋体" w:eastAsia="宋体" w:cs="宋体"/>
                <w:bCs/>
                <w:color w:val="000000"/>
                <w:sz w:val="18"/>
                <w:szCs w:val="18"/>
                <w:lang w:val="en-US" w:eastAsia="zh-CN" w:bidi="ar-SA"/>
              </w:rPr>
            </w:pPr>
            <w:r>
              <w:rPr>
                <w:rFonts w:hint="eastAsia" w:cs="宋体" w:asciiTheme="minorEastAsia" w:hAnsiTheme="minorEastAsia" w:eastAsiaTheme="minorEastAsia"/>
                <w:color w:val="auto"/>
                <w:sz w:val="18"/>
                <w:szCs w:val="18"/>
                <w:lang w:val="en-US" w:eastAsia="zh-CN" w:bidi="ar-SA"/>
              </w:rPr>
              <w:t>单一投资者认购上限为【/】。如需突破上限，请与产品管理人或销售机构客户经理联系。</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ascii="宋体" w:hAnsi="宋体" w:eastAsia="宋体" w:cs="宋体"/>
                <w:bCs/>
                <w:color w:val="000000"/>
                <w:sz w:val="18"/>
                <w:szCs w:val="18"/>
                <w:lang w:val="en-US" w:eastAsia="zh-CN" w:bidi="ar-SA"/>
              </w:rPr>
              <w:t>2.</w:t>
            </w:r>
            <w:r>
              <w:rPr>
                <w:rFonts w:hint="eastAsia" w:cs="宋体" w:asciiTheme="minorEastAsia" w:hAnsiTheme="minorEastAsia" w:eastAsiaTheme="minorEastAsia"/>
                <w:color w:val="auto"/>
                <w:sz w:val="18"/>
                <w:szCs w:val="18"/>
                <w:lang w:val="en-US" w:eastAsia="zh-CN" w:bidi="ar-SA"/>
              </w:rPr>
              <w:t>申购的数量限制</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（1）单一投资者申购上限为【/】。</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（2）产品</w:t>
            </w:r>
            <w:r>
              <w:rPr>
                <w:rFonts w:cs="宋体" w:asciiTheme="minorEastAsia" w:hAnsiTheme="minorEastAsia" w:eastAsiaTheme="minorEastAsia"/>
                <w:color w:val="auto"/>
                <w:sz w:val="18"/>
                <w:szCs w:val="18"/>
                <w:lang w:val="en-US" w:eastAsia="zh-CN" w:bidi="ar-SA"/>
              </w:rPr>
              <w:t>存续期间，</w:t>
            </w:r>
            <w:r>
              <w:rPr>
                <w:rFonts w:hint="eastAsia" w:cs="宋体" w:asciiTheme="minorEastAsia" w:hAnsiTheme="minorEastAsia" w:eastAsiaTheme="minorEastAsia"/>
                <w:color w:val="auto"/>
                <w:sz w:val="18"/>
                <w:szCs w:val="18"/>
                <w:lang w:val="en-US" w:eastAsia="zh-CN" w:bidi="ar-SA"/>
              </w:rPr>
              <w:t>单一投资者</w:t>
            </w:r>
            <w:r>
              <w:rPr>
                <w:rFonts w:cs="宋体" w:asciiTheme="minorEastAsia" w:hAnsiTheme="minorEastAsia" w:eastAsiaTheme="minorEastAsia"/>
                <w:color w:val="auto"/>
                <w:sz w:val="18"/>
                <w:szCs w:val="18"/>
                <w:lang w:val="en-US" w:eastAsia="zh-CN" w:bidi="ar-SA"/>
              </w:rPr>
              <w:t>最高</w:t>
            </w:r>
            <w:r>
              <w:rPr>
                <w:rFonts w:hint="eastAsia" w:cs="宋体" w:asciiTheme="minorEastAsia" w:hAnsiTheme="minorEastAsia" w:eastAsiaTheme="minorEastAsia"/>
                <w:color w:val="auto"/>
                <w:sz w:val="18"/>
                <w:szCs w:val="18"/>
                <w:lang w:val="en-US" w:eastAsia="zh-CN" w:bidi="ar-SA"/>
              </w:rPr>
              <w:t>持有</w:t>
            </w:r>
            <w:r>
              <w:rPr>
                <w:rFonts w:cs="宋体" w:asciiTheme="minorEastAsia" w:hAnsiTheme="minorEastAsia" w:eastAsiaTheme="minorEastAsia"/>
                <w:color w:val="auto"/>
                <w:sz w:val="18"/>
                <w:szCs w:val="18"/>
                <w:lang w:val="en-US" w:eastAsia="zh-CN" w:bidi="ar-SA"/>
              </w:rPr>
              <w:t>份额上限为</w:t>
            </w:r>
            <w:r>
              <w:rPr>
                <w:rFonts w:hint="eastAsia" w:cs="宋体" w:asciiTheme="minorEastAsia" w:hAnsiTheme="minorEastAsia" w:eastAsiaTheme="minorEastAsia"/>
                <w:color w:val="auto"/>
                <w:sz w:val="18"/>
                <w:szCs w:val="18"/>
                <w:lang w:val="en-US" w:eastAsia="zh-CN" w:bidi="ar-SA"/>
              </w:rPr>
              <w:t>【/】份，符合产品管理人流动性管理的稳定资金除外。</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 xml:space="preserve">如需突破上限，请与产品管理人或销售机构客户经理联系。 </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3.赎回的数量限制</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（1）单一投资者赎回上限为【/】。</w:t>
            </w:r>
          </w:p>
          <w:p>
            <w:pPr>
              <w:widowControl w:val="0"/>
              <w:autoSpaceDE w:val="0"/>
              <w:autoSpaceDN w:val="0"/>
              <w:adjustRightInd w:val="0"/>
              <w:spacing w:line="360" w:lineRule="auto"/>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widowControl w:val="0"/>
              <w:autoSpaceDE w:val="0"/>
              <w:autoSpaceDN w:val="0"/>
              <w:adjustRightInd w:val="0"/>
              <w:spacing w:line="360" w:lineRule="auto"/>
              <w:rPr>
                <w:rFonts w:ascii="黑体" w:hAnsi="黑体" w:eastAsia="黑体" w:cs="宋体"/>
                <w:bCs/>
                <w:color w:val="000000" w:themeColor="text1"/>
                <w:sz w:val="18"/>
                <w:szCs w:val="18"/>
                <w:lang w:val="en-US" w:eastAsia="zh-CN" w:bidi="ar-SA"/>
                <w14:textFill>
                  <w14:solidFill>
                    <w14:schemeClr w14:val="tx1"/>
                  </w14:solidFill>
                </w14:textFill>
              </w:rPr>
            </w:pPr>
            <w:r>
              <w:rPr>
                <w:rFonts w:hint="eastAsia" w:ascii="黑体" w:hAnsi="黑体" w:eastAsia="黑体" w:cs="宋体"/>
                <w:bCs/>
                <w:color w:val="000000" w:themeColor="text1"/>
                <w:sz w:val="18"/>
                <w:szCs w:val="18"/>
                <w:lang w:val="en-US" w:eastAsia="zh-CN" w:bidi="ar-SA"/>
                <w14:textFill>
                  <w14:solidFill>
                    <w14:schemeClr w14:val="tx1"/>
                  </w14:solidFill>
                </w14:textFill>
              </w:rPr>
              <w:t>注</w:t>
            </w:r>
            <w:r>
              <w:rPr>
                <w:rFonts w:ascii="黑体" w:hAnsi="黑体" w:eastAsia="黑体" w:cs="宋体"/>
                <w:bCs/>
                <w:color w:val="000000" w:themeColor="text1"/>
                <w:sz w:val="18"/>
                <w:szCs w:val="18"/>
                <w:lang w:val="en-US" w:eastAsia="zh-CN" w:bidi="ar-SA"/>
                <w14:textFill>
                  <w14:solidFill>
                    <w14:schemeClr w14:val="tx1"/>
                  </w14:solidFill>
                </w14:textFill>
              </w:rPr>
              <w:t>：</w:t>
            </w:r>
            <w:r>
              <w:rPr>
                <w:rFonts w:hint="eastAsia" w:ascii="黑体" w:hAnsi="黑体" w:eastAsia="黑体" w:cs="宋体"/>
                <w:bCs/>
                <w:color w:val="000000" w:themeColor="text1"/>
                <w:sz w:val="18"/>
                <w:szCs w:val="18"/>
                <w:lang w:val="en-US" w:eastAsia="zh-CN" w:bidi="ar-SA"/>
                <w14:textFill>
                  <w14:solidFill>
                    <w14:schemeClr w14:val="tx1"/>
                  </w14:solidFill>
                </w14:textFill>
              </w:rPr>
              <w:t>本产品单一投资者持有份额不得超过产品总份额</w:t>
            </w:r>
            <w:r>
              <w:rPr>
                <w:rFonts w:ascii="黑体" w:hAnsi="黑体" w:eastAsia="黑体" w:cs="宋体"/>
                <w:bCs/>
                <w:color w:val="000000" w:themeColor="text1"/>
                <w:sz w:val="18"/>
                <w:szCs w:val="18"/>
                <w:lang w:val="en-US" w:eastAsia="zh-CN" w:bidi="ar-SA"/>
                <w14:textFill>
                  <w14:solidFill>
                    <w14:schemeClr w14:val="tx1"/>
                  </w14:solidFill>
                </w14:textFill>
              </w:rPr>
              <w:t>50%。</w:t>
            </w:r>
          </w:p>
          <w:p>
            <w:pPr>
              <w:widowControl w:val="0"/>
              <w:autoSpaceDE w:val="0"/>
              <w:autoSpaceDN w:val="0"/>
              <w:adjustRightInd w:val="0"/>
              <w:spacing w:line="360" w:lineRule="auto"/>
              <w:rPr>
                <w:rFonts w:ascii="黑体" w:hAnsi="黑体" w:eastAsia="黑体" w:cs="宋体"/>
                <w:bCs/>
                <w:color w:val="000000" w:themeColor="text1"/>
                <w:sz w:val="18"/>
                <w:szCs w:val="18"/>
                <w:lang w:val="en-US" w:eastAsia="zh-CN" w:bidi="ar-SA"/>
                <w14:textFill>
                  <w14:solidFill>
                    <w14:schemeClr w14:val="tx1"/>
                  </w14:solidFill>
                </w14:textFill>
              </w:rPr>
            </w:pPr>
            <w:r>
              <w:rPr>
                <w:rFonts w:hint="eastAsia" w:ascii="黑体" w:hAnsi="黑体" w:eastAsia="黑体" w:cs="宋体"/>
                <w:bCs/>
                <w:color w:val="000000" w:themeColor="text1"/>
                <w:sz w:val="18"/>
                <w:szCs w:val="18"/>
                <w:lang w:val="en-US" w:eastAsia="zh-CN" w:bidi="ar-SA"/>
                <w14:textFill>
                  <w14:solidFill>
                    <w14:schemeClr w14:val="tx1"/>
                  </w14:solidFill>
                </w14:textFill>
              </w:rPr>
              <w:t>（</w:t>
            </w:r>
            <w:r>
              <w:rPr>
                <w:rFonts w:ascii="黑体" w:hAnsi="黑体" w:eastAsia="黑体" w:cs="宋体"/>
                <w:bCs/>
                <w:color w:val="000000" w:themeColor="text1"/>
                <w:sz w:val="18"/>
                <w:szCs w:val="18"/>
                <w:lang w:val="en-US" w:eastAsia="zh-CN" w:bidi="ar-SA"/>
                <w14:textFill>
                  <w14:solidFill>
                    <w14:schemeClr w14:val="tx1"/>
                  </w14:solidFill>
                </w14:textFill>
              </w:rPr>
              <w:t>1）投资者认购或申购确认后可能导致其持有份额超过产品总份额50%的，管理人有权拒绝或暂停认购、申购。</w:t>
            </w:r>
          </w:p>
          <w:p>
            <w:pPr>
              <w:spacing w:line="360" w:lineRule="auto"/>
              <w:rPr>
                <w:rFonts w:cs="宋体" w:asciiTheme="minorEastAsia" w:hAnsiTheme="minorEastAsia" w:eastAsiaTheme="minorEastAsia"/>
                <w:sz w:val="18"/>
                <w:szCs w:val="18"/>
              </w:rPr>
            </w:pPr>
            <w:r>
              <w:rPr>
                <w:rFonts w:hint="eastAsia" w:ascii="黑体" w:hAnsi="黑体" w:eastAsia="黑体" w:cs="宋体"/>
                <w:bCs/>
                <w:color w:val="000000" w:themeColor="text1"/>
                <w:sz w:val="18"/>
                <w:szCs w:val="18"/>
                <w14:textFill>
                  <w14:solidFill>
                    <w14:schemeClr w14:val="tx1"/>
                  </w14:solidFill>
                </w14:textFill>
              </w:rPr>
              <w:t>（</w:t>
            </w:r>
            <w:r>
              <w:rPr>
                <w:rFonts w:ascii="黑体" w:hAnsi="黑体" w:eastAsia="黑体" w:cs="宋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Calibri" w:hAnsi="宋体" w:cs="宋体"/>
                <w:b/>
                <w:sz w:val="18"/>
                <w:szCs w:val="18"/>
              </w:rPr>
            </w:pPr>
            <w:r>
              <w:rPr>
                <w:rFonts w:hint="eastAsia" w:ascii="Calibri" w:hAnsi="Calibri" w:cs="宋体"/>
                <w:sz w:val="18"/>
                <w:szCs w:val="18"/>
              </w:rPr>
              <w:t>★</w:t>
            </w:r>
            <w:r>
              <w:rPr>
                <w:rFonts w:hint="eastAsia" w:ascii="Calibri" w:hAnsi="宋体" w:cs="宋体"/>
                <w:b/>
                <w:sz w:val="18"/>
                <w:szCs w:val="18"/>
              </w:rPr>
              <w:t>巨额赎回的认定</w:t>
            </w:r>
          </w:p>
        </w:tc>
        <w:tc>
          <w:tcPr>
            <w:tcW w:w="7699" w:type="dxa"/>
            <w:shd w:val="solid" w:color="FFFFFF" w:fill="FFFFFF"/>
          </w:tcPr>
          <w:p>
            <w:pPr>
              <w:widowControl w:val="0"/>
              <w:autoSpaceDE w:val="0"/>
              <w:autoSpaceDN w:val="0"/>
              <w:adjustRightInd w:val="0"/>
              <w:spacing w:line="360" w:lineRule="auto"/>
              <w:rPr>
                <w:rFonts w:cs="宋体" w:asciiTheme="minorEastAsia" w:hAnsiTheme="minorEastAsia" w:eastAsiaTheme="minorEastAsia"/>
                <w:color w:val="auto"/>
                <w:kern w:val="2"/>
                <w:sz w:val="18"/>
                <w:szCs w:val="18"/>
                <w:lang w:val="en-US" w:eastAsia="zh-CN" w:bidi="ar-SA"/>
              </w:rPr>
            </w:pPr>
            <w:r>
              <w:rPr>
                <w:rFonts w:hint="eastAsia" w:eastAsia="宋体" w:cs="宋体" w:asciiTheme="minorEastAsia" w:hAnsiTheme="minorEastAsia"/>
                <w:bCs/>
                <w:color w:val="000000"/>
                <w:sz w:val="18"/>
                <w:szCs w:val="18"/>
                <w:lang w:val="en-US" w:eastAsia="zh-CN" w:bidi="ar-SA"/>
              </w:rPr>
              <w:t>单个开放日中</w:t>
            </w:r>
            <w:r>
              <w:rPr>
                <w:rFonts w:hint="eastAsia" w:cs="宋体" w:asciiTheme="majorEastAsia" w:hAnsiTheme="majorEastAsia" w:eastAsiaTheme="majorEastAsia"/>
                <w:bCs/>
                <w:color w:val="000000"/>
                <w:sz w:val="18"/>
                <w:szCs w:val="18"/>
                <w:lang w:val="en-US" w:eastAsia="zh-CN" w:bidi="ar-SA"/>
              </w:rPr>
              <w:t>，本产品的累计产品份额净赎回申请（赎回申请总份额扣除申购总份额后的余额</w:t>
            </w:r>
            <w:r>
              <w:rPr>
                <w:rFonts w:cs="宋体" w:asciiTheme="majorEastAsia" w:hAnsiTheme="majorEastAsia" w:eastAsiaTheme="majorEastAsia"/>
                <w:bCs/>
                <w:color w:val="000000"/>
                <w:sz w:val="18"/>
                <w:szCs w:val="18"/>
                <w:lang w:val="en-US" w:eastAsia="zh-CN" w:bidi="ar-SA"/>
              </w:rPr>
              <w:t>,</w:t>
            </w:r>
            <w:r>
              <w:rPr>
                <w:rFonts w:hint="eastAsia" w:cs="宋体" w:asciiTheme="majorEastAsia" w:hAnsiTheme="majorEastAsia" w:eastAsiaTheme="majorEastAsia"/>
                <w:bCs/>
                <w:color w:val="000000"/>
                <w:sz w:val="18"/>
                <w:szCs w:val="18"/>
                <w:lang w:val="en-US" w:eastAsia="zh-CN" w:bidi="ar-SA"/>
              </w:rPr>
              <w:t>下同）之和达到上一日产品总份额的1</w:t>
            </w:r>
            <w:r>
              <w:rPr>
                <w:rFonts w:cs="宋体" w:asciiTheme="majorEastAsia" w:hAnsiTheme="majorEastAsia" w:eastAsiaTheme="majorEastAsia"/>
                <w:bCs/>
                <w:color w:val="000000"/>
                <w:sz w:val="18"/>
                <w:szCs w:val="18"/>
                <w:lang w:val="en-US" w:eastAsia="zh-CN" w:bidi="ar-SA"/>
              </w:rPr>
              <w:t>0%</w:t>
            </w:r>
            <w:r>
              <w:rPr>
                <w:rFonts w:hint="eastAsia" w:cs="宋体" w:asciiTheme="majorEastAsia" w:hAnsiTheme="majorEastAsia" w:eastAsiaTheme="majorEastAsia"/>
                <w:bCs/>
                <w:color w:val="000000"/>
                <w:sz w:val="18"/>
                <w:szCs w:val="18"/>
                <w:lang w:val="en-US" w:eastAsia="zh-CN" w:bidi="ar-SA"/>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cs="宋体" w:asciiTheme="majorEastAsia" w:hAnsiTheme="majorEastAsia" w:eastAsiaTheme="majorEastAsia"/>
                <w:b/>
                <w:bCs/>
                <w:sz w:val="18"/>
                <w:szCs w:val="18"/>
              </w:rPr>
              <w:t>理财产品</w:t>
            </w:r>
            <w:r>
              <w:rPr>
                <w:rFonts w:cs="宋体"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cs="宋体"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ascii="宋体" w:hAnsi="宋体" w:cs="宋体"/>
                <w:b/>
                <w:bCs/>
                <w:kern w:val="0"/>
                <w:sz w:val="18"/>
                <w:szCs w:val="18"/>
              </w:rPr>
              <w:t>理财产品份额净值</w:t>
            </w:r>
          </w:p>
        </w:tc>
        <w:tc>
          <w:tcPr>
            <w:tcW w:w="7699" w:type="dxa"/>
            <w:shd w:val="solid" w:color="FFFFFF" w:fill="FFFFFF"/>
            <w:vAlign w:val="center"/>
          </w:tcPr>
          <w:p>
            <w:pPr>
              <w:spacing w:line="360" w:lineRule="auto"/>
              <w:rPr>
                <w:rFonts w:cs="宋体" w:asciiTheme="minorEastAsia" w:hAnsiTheme="minorEastAsia"/>
                <w:bCs/>
                <w:sz w:val="18"/>
                <w:szCs w:val="18"/>
              </w:rPr>
            </w:pPr>
            <w:r>
              <w:rPr>
                <w:rFonts w:cs="宋体" w:asciiTheme="minorEastAsia" w:hAnsiTheme="minorEastAsia"/>
                <w:bCs/>
                <w:sz w:val="18"/>
                <w:szCs w:val="18"/>
              </w:rPr>
              <w:t>1</w:t>
            </w:r>
            <w:r>
              <w:rPr>
                <w:rFonts w:cs="宋体" w:asciiTheme="minorEastAsia" w:hAnsiTheme="minorEastAsia"/>
                <w:sz w:val="18"/>
                <w:szCs w:val="18"/>
              </w:rPr>
              <w:t>.</w:t>
            </w:r>
            <w:r>
              <w:rPr>
                <w:rFonts w:hint="eastAsia" w:cs="宋体" w:asciiTheme="minorEastAsia" w:hAnsiTheme="minorEastAsia"/>
                <w:bCs/>
                <w:sz w:val="18"/>
                <w:szCs w:val="18"/>
              </w:rPr>
              <w:t>理财产品份额净值</w:t>
            </w:r>
            <w:r>
              <w:rPr>
                <w:rFonts w:cs="宋体" w:asciiTheme="minorEastAsia" w:hAnsiTheme="minorEastAsia"/>
                <w:bCs/>
                <w:sz w:val="18"/>
                <w:szCs w:val="18"/>
              </w:rPr>
              <w:t>为提取</w:t>
            </w:r>
            <w:r>
              <w:rPr>
                <w:rFonts w:hint="eastAsia" w:cs="宋体" w:asciiTheme="minorEastAsia" w:hAnsiTheme="minorEastAsia"/>
                <w:bCs/>
                <w:sz w:val="18"/>
                <w:szCs w:val="18"/>
              </w:rPr>
              <w:t>理财产品</w:t>
            </w:r>
            <w:r>
              <w:rPr>
                <w:rFonts w:cs="宋体" w:asciiTheme="minorEastAsia" w:hAnsiTheme="minorEastAsia"/>
                <w:bCs/>
                <w:sz w:val="18"/>
                <w:szCs w:val="18"/>
              </w:rPr>
              <w:t>费用后的理财产品份额净值，</w:t>
            </w:r>
            <w:r>
              <w:rPr>
                <w:rFonts w:hint="eastAsia" w:cs="宋体" w:asciiTheme="minorEastAsia" w:hAnsiTheme="minorEastAsia"/>
                <w:bCs/>
                <w:sz w:val="18"/>
                <w:szCs w:val="18"/>
              </w:rPr>
              <w:t>投资者</w:t>
            </w:r>
            <w:r>
              <w:rPr>
                <w:rFonts w:cs="宋体" w:asciiTheme="minorEastAsia" w:hAnsiTheme="minorEastAsia"/>
                <w:bCs/>
                <w:sz w:val="18"/>
                <w:szCs w:val="18"/>
              </w:rPr>
              <w:t>按该</w:t>
            </w:r>
            <w:r>
              <w:rPr>
                <w:rFonts w:hint="eastAsia" w:cs="宋体" w:asciiTheme="minorEastAsia" w:hAnsiTheme="minorEastAsia"/>
                <w:bCs/>
                <w:sz w:val="18"/>
                <w:szCs w:val="18"/>
              </w:rPr>
              <w:t>理财产品份额净值</w:t>
            </w:r>
            <w:r>
              <w:rPr>
                <w:rFonts w:cs="宋体"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cs="宋体" w:asciiTheme="minorEastAsia" w:hAnsiTheme="minorEastAsia"/>
                <w:bCs/>
                <w:sz w:val="18"/>
                <w:szCs w:val="18"/>
              </w:rPr>
              <w:t>2</w:t>
            </w:r>
            <w:r>
              <w:rPr>
                <w:rFonts w:cs="宋体" w:asciiTheme="minorEastAsia" w:hAnsiTheme="minorEastAsia"/>
                <w:sz w:val="18"/>
                <w:szCs w:val="18"/>
              </w:rPr>
              <w:t>.</w:t>
            </w:r>
            <w:r>
              <w:rPr>
                <w:rFonts w:cs="宋体" w:asciiTheme="minorEastAsia" w:hAnsiTheme="minorEastAsia"/>
                <w:bCs/>
                <w:sz w:val="18"/>
                <w:szCs w:val="18"/>
              </w:rPr>
              <w:t>本产品采用1.00</w:t>
            </w:r>
            <w:r>
              <w:rPr>
                <w:rFonts w:hint="eastAsia" w:cs="宋体"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cs="宋体" w:asciiTheme="minorEastAsia" w:hAnsiTheme="minorEastAsia"/>
                <w:bCs/>
                <w:sz w:val="18"/>
                <w:szCs w:val="18"/>
              </w:rPr>
              <w:t>1.00</w:t>
            </w:r>
            <w:r>
              <w:rPr>
                <w:rFonts w:hint="eastAsia" w:cs="宋体"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tcPr>
          <w:p>
            <w:pPr>
              <w:spacing w:line="360" w:lineRule="auto"/>
              <w:jc w:val="left"/>
              <w:rPr>
                <w:rFonts w:ascii="宋体" w:hAnsi="宋体" w:cs="宋体"/>
                <w:b/>
                <w:bCs/>
                <w:kern w:val="0"/>
                <w:sz w:val="18"/>
                <w:szCs w:val="18"/>
              </w:rPr>
            </w:pPr>
            <w:r>
              <w:rPr>
                <w:rFonts w:hint="eastAsia" w:ascii="Calibri" w:hAnsi="宋体" w:cs="宋体"/>
                <w:sz w:val="18"/>
                <w:szCs w:val="18"/>
              </w:rPr>
              <w:t>★</w:t>
            </w:r>
            <w:r>
              <w:rPr>
                <w:rFonts w:hint="eastAsia" w:cs="宋体"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cs="宋体" w:asciiTheme="minorEastAsia" w:hAnsiTheme="minorEastAsia"/>
                <w:sz w:val="18"/>
                <w:szCs w:val="18"/>
              </w:rPr>
            </w:pPr>
            <w:r>
              <w:rPr>
                <w:rFonts w:cs="宋体" w:asciiTheme="minorEastAsia" w:hAnsiTheme="minorEastAsia"/>
                <w:sz w:val="18"/>
                <w:szCs w:val="18"/>
              </w:rPr>
              <w:t>1.每万份理财产品收益</w:t>
            </w:r>
            <w:r>
              <w:rPr>
                <w:rFonts w:hint="eastAsia" w:cs="宋体" w:asciiTheme="minorEastAsia" w:hAnsiTheme="minorEastAsia"/>
                <w:bCs/>
                <w:sz w:val="18"/>
                <w:szCs w:val="18"/>
              </w:rPr>
              <w:t>＝</w:t>
            </w:r>
            <w:r>
              <w:rPr>
                <w:rFonts w:hint="eastAsia" w:cs="宋体" w:asciiTheme="minorEastAsia" w:hAnsiTheme="minorEastAsia"/>
                <w:sz w:val="18"/>
                <w:szCs w:val="18"/>
              </w:rPr>
              <w:t>当日理财产品收益÷当日理财产品份额×</w:t>
            </w:r>
            <w:r>
              <w:rPr>
                <w:rFonts w:cs="宋体" w:asciiTheme="minorEastAsia" w:hAnsiTheme="minorEastAsia"/>
                <w:sz w:val="18"/>
                <w:szCs w:val="18"/>
              </w:rPr>
              <w:t>10000</w:t>
            </w:r>
            <w:r>
              <w:rPr>
                <w:rFonts w:hint="eastAsia" w:cs="宋体" w:asciiTheme="minorEastAsia" w:hAnsiTheme="minorEastAsia"/>
                <w:sz w:val="18"/>
                <w:szCs w:val="18"/>
              </w:rPr>
              <w:t>。</w:t>
            </w:r>
          </w:p>
          <w:p>
            <w:pPr>
              <w:spacing w:line="360" w:lineRule="auto"/>
              <w:jc w:val="left"/>
              <w:rPr>
                <w:rFonts w:cs="宋体" w:asciiTheme="majorEastAsia" w:hAnsiTheme="majorEastAsia" w:eastAsiaTheme="majorEastAsia"/>
                <w:bCs/>
                <w:sz w:val="18"/>
                <w:szCs w:val="18"/>
              </w:rPr>
            </w:pPr>
            <w:r>
              <w:rPr>
                <w:rFonts w:cs="宋体" w:asciiTheme="minorEastAsia" w:hAnsiTheme="minorEastAsia"/>
                <w:sz w:val="18"/>
                <w:szCs w:val="18"/>
              </w:rPr>
              <w:t>2.</w:t>
            </w:r>
            <w:r>
              <w:rPr>
                <w:rFonts w:hint="eastAsia" w:cs="宋体" w:asciiTheme="minorEastAsia" w:hAnsiTheme="minorEastAsia"/>
                <w:kern w:val="0"/>
                <w:sz w:val="18"/>
                <w:szCs w:val="18"/>
              </w:rPr>
              <w:t>每万份理财产品收益是</w:t>
            </w:r>
            <w:r>
              <w:rPr>
                <w:rFonts w:hint="eastAsia" w:cs="宋体" w:asciiTheme="minorEastAsia" w:hAnsiTheme="minorEastAsia"/>
                <w:sz w:val="18"/>
                <w:szCs w:val="18"/>
              </w:rPr>
              <w:t>每万份理财份额的日</w:t>
            </w:r>
            <w:r>
              <w:rPr>
                <w:rFonts w:cs="宋体" w:asciiTheme="minorEastAsia" w:hAnsiTheme="minorEastAsia"/>
                <w:sz w:val="18"/>
                <w:szCs w:val="18"/>
              </w:rPr>
              <w:t>净收益</w:t>
            </w:r>
            <w:r>
              <w:rPr>
                <w:rFonts w:hint="eastAsia" w:cs="宋体" w:asciiTheme="minorEastAsia" w:hAnsiTheme="minorEastAsia"/>
                <w:sz w:val="18"/>
                <w:szCs w:val="18"/>
              </w:rPr>
              <w:t>，精确至小数点后第</w:t>
            </w:r>
            <w:r>
              <w:rPr>
                <w:rFonts w:cs="宋体" w:asciiTheme="minorEastAsia" w:hAnsiTheme="minorEastAsia"/>
                <w:sz w:val="18"/>
                <w:szCs w:val="18"/>
              </w:rPr>
              <w:t>4位，小数点后第5</w:t>
            </w:r>
            <w:r>
              <w:rPr>
                <w:rFonts w:hint="eastAsia" w:cs="宋体"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tcPr>
          <w:p>
            <w:pPr>
              <w:spacing w:line="360" w:lineRule="auto"/>
              <w:jc w:val="left"/>
              <w:rPr>
                <w:rFonts w:ascii="宋体" w:hAnsi="宋体" w:cs="宋体"/>
                <w:b/>
                <w:bCs/>
                <w:kern w:val="0"/>
                <w:sz w:val="18"/>
                <w:szCs w:val="18"/>
              </w:rPr>
            </w:pPr>
            <w:r>
              <w:rPr>
                <w:rFonts w:hint="eastAsia" w:ascii="Calibri" w:hAnsi="宋体" w:cs="宋体"/>
                <w:sz w:val="18"/>
                <w:szCs w:val="18"/>
              </w:rPr>
              <w:t>★</w:t>
            </w:r>
            <w:r>
              <w:rPr>
                <w:rFonts w:cs="宋体" w:asciiTheme="minorEastAsia" w:hAnsiTheme="minorEastAsia"/>
                <w:b/>
                <w:bCs/>
                <w:sz w:val="18"/>
                <w:szCs w:val="18"/>
              </w:rPr>
              <w:t>7日</w:t>
            </w:r>
            <w:r>
              <w:rPr>
                <w:rFonts w:hint="eastAsia" w:cs="宋体"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cs="宋体" w:asciiTheme="minorEastAsia" w:hAnsiTheme="minorEastAsia"/>
                <w:sz w:val="18"/>
                <w:szCs w:val="18"/>
              </w:rPr>
            </w:pPr>
            <w:r>
              <w:rPr>
                <w:rFonts w:hint="eastAsia" w:cs="宋体"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cs="宋体" w:asciiTheme="minorEastAsia" w:hAnsiTheme="minorEastAsia"/>
                <w:sz w:val="18"/>
                <w:szCs w:val="18"/>
              </w:rPr>
            </w:pPr>
            <m:oMathPara>
              <m:oMathParaPr>
                <m:jc m:val="left"/>
              </m:oMathParaPr>
              <m:oMath>
                <m:r>
                  <m:rPr>
                    <m:sty m:val="p"/>
                  </m:rPr>
                  <w:rPr>
                    <w:rFonts w:ascii="Cambria Math" w:hAnsi="Cambria Math"/>
                    <w:sz w:val="18"/>
                    <w:szCs w:val="18"/>
                  </w:rPr>
                  <m:t>7日年化收益率</m:t>
                </m:r>
                <m:d>
                  <m:dPr>
                    <m:begChr m:val="（"/>
                    <m:endChr m:val="）"/>
                    <m:ctrlPr>
                      <w:rPr>
                        <w:rFonts w:ascii="Cambria Math" w:hAnsi="Cambria Math"/>
                        <w:sz w:val="18"/>
                        <w:szCs w:val="18"/>
                      </w:rPr>
                    </m:ctrlPr>
                  </m:dPr>
                  <m:e>
                    <m:r>
                      <m:rPr>
                        <m:sty m:val="p"/>
                      </m:rPr>
                      <w:rPr>
                        <w:rFonts w:hint="eastAsia" w:ascii="Cambria Math" w:hAnsi="Cambria Math"/>
                        <w:sz w:val="18"/>
                        <w:szCs w:val="18"/>
                      </w:rPr>
                      <m:t>%</m:t>
                    </m:r>
                    <m:ctrlPr>
                      <w:rPr>
                        <w:rFonts w:ascii="Cambria Math" w:hAnsi="Cambria Math"/>
                        <w:sz w:val="18"/>
                        <w:szCs w:val="18"/>
                      </w:rPr>
                    </m:ctrlPr>
                  </m:e>
                </m:d>
                <m:r>
                  <m:rPr>
                    <m:sty m:val="p"/>
                  </m:rPr>
                  <w:rPr>
                    <w:rFonts w:ascii="Cambria Math" w:hAnsi="Cambria Math"/>
                    <w:sz w:val="18"/>
                    <w:szCs w:val="18"/>
                  </w:rPr>
                  <m:t>=</m:t>
                </m:r>
                <m:d>
                  <m:dPr>
                    <m:begChr m:val="{"/>
                    <m:endChr m:val="}"/>
                    <m:ctrlPr>
                      <w:rPr>
                        <w:rFonts w:ascii="Cambria Math" w:hAnsi="Cambria Math"/>
                        <w:sz w:val="18"/>
                        <w:szCs w:val="18"/>
                      </w:rPr>
                    </m:ctrlPr>
                  </m:dPr>
                  <m:e>
                    <m:sSup>
                      <m:sSupPr>
                        <m:ctrlPr>
                          <w:rPr>
                            <w:rFonts w:ascii="Cambria Math" w:hAnsi="Cambria Math"/>
                            <w:sz w:val="18"/>
                            <w:szCs w:val="18"/>
                          </w:rPr>
                        </m:ctrlPr>
                      </m:sSupPr>
                      <m:e>
                        <m:d>
                          <m:dPr>
                            <m:begChr m:val="["/>
                            <m:endChr m:val="]"/>
                            <m:ctrlPr>
                              <w:rPr>
                                <w:rFonts w:ascii="Cambria Math" w:hAnsi="Cambria Math"/>
                                <w:sz w:val="18"/>
                                <w:szCs w:val="18"/>
                              </w:rPr>
                            </m:ctrlPr>
                          </m:dPr>
                          <m:e>
                            <m:nary>
                              <m:naryPr>
                                <m:chr m:val="∏"/>
                                <m:limLoc m:val="undOvr"/>
                                <m:ctrlPr>
                                  <w:rPr>
                                    <w:rFonts w:ascii="Cambria Math" w:hAnsi="Cambria Math"/>
                                    <w:sz w:val="18"/>
                                    <w:szCs w:val="18"/>
                                  </w:rPr>
                                </m:ctrlPr>
                              </m:naryPr>
                              <m:sub>
                                <m:r>
                                  <m:rPr>
                                    <m:sty m:val="p"/>
                                  </m:rPr>
                                  <w:rPr>
                                    <w:rFonts w:ascii="Cambria Math" w:hAnsi="Cambria Math"/>
                                    <w:sz w:val="18"/>
                                    <w:szCs w:val="18"/>
                                  </w:rPr>
                                  <m:t>i=1</m:t>
                                </m:r>
                                <m:ctrlPr>
                                  <w:rPr>
                                    <w:rFonts w:ascii="Cambria Math" w:hAnsi="Cambria Math"/>
                                    <w:sz w:val="18"/>
                                    <w:szCs w:val="18"/>
                                  </w:rPr>
                                </m:ctrlPr>
                              </m:sub>
                              <m:sup>
                                <m:r>
                                  <m:rPr>
                                    <m:sty m:val="p"/>
                                  </m:rPr>
                                  <w:rPr>
                                    <w:rFonts w:ascii="Cambria Math" w:hAnsi="Cambria Math"/>
                                    <w:sz w:val="18"/>
                                    <w:szCs w:val="18"/>
                                  </w:rPr>
                                  <m:t>7</m:t>
                                </m:r>
                                <m:ctrlPr>
                                  <w:rPr>
                                    <w:rFonts w:ascii="Cambria Math" w:hAnsi="Cambria Math"/>
                                    <w:sz w:val="18"/>
                                    <w:szCs w:val="18"/>
                                  </w:rPr>
                                </m:ctrlPr>
                              </m:sup>
                              <m:e>
                                <m:d>
                                  <m:dPr>
                                    <m:ctrlPr>
                                      <w:rPr>
                                        <w:rFonts w:ascii="Cambria Math" w:hAnsi="Cambria Math"/>
                                        <w:sz w:val="18"/>
                                        <w:szCs w:val="18"/>
                                      </w:rPr>
                                    </m:ctrlPr>
                                  </m:dPr>
                                  <m:e>
                                    <m:r>
                                      <m:rPr>
                                        <m:sty m:val="p"/>
                                      </m:rPr>
                                      <w:rPr>
                                        <w:rFonts w:ascii="Cambria Math" w:hAnsi="Cambria Math"/>
                                        <w:sz w:val="18"/>
                                        <w:szCs w:val="18"/>
                                      </w:rPr>
                                      <m:t>1+</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R</m:t>
                                            </m:r>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r>
                                          <m:rPr>
                                            <m:sty m:val="p"/>
                                          </m:rPr>
                                          <w:rPr>
                                            <w:rFonts w:ascii="Cambria Math" w:hAnsi="Cambria Math"/>
                                            <w:sz w:val="18"/>
                                            <w:szCs w:val="18"/>
                                          </w:rPr>
                                          <m:t>10000</m:t>
                                        </m:r>
                                        <m:ctrlPr>
                                          <w:rPr>
                                            <w:rFonts w:ascii="Cambria Math" w:hAnsi="Cambria Math"/>
                                            <w:sz w:val="18"/>
                                            <w:szCs w:val="18"/>
                                          </w:rPr>
                                        </m:ctrlPr>
                                      </m:den>
                                    </m:f>
                                    <m:ctrlPr>
                                      <w:rPr>
                                        <w:rFonts w:ascii="Cambria Math" w:hAnsi="Cambria Math"/>
                                        <w:sz w:val="18"/>
                                        <w:szCs w:val="18"/>
                                      </w:rPr>
                                    </m:ctrlPr>
                                  </m:e>
                                </m:d>
                                <m:ctrlPr>
                                  <w:rPr>
                                    <w:rFonts w:ascii="Cambria Math" w:hAnsi="Cambria Math"/>
                                    <w:sz w:val="18"/>
                                    <w:szCs w:val="18"/>
                                  </w:rPr>
                                </m:ctrlPr>
                              </m:e>
                            </m:nary>
                            <m:ctrlPr>
                              <w:rPr>
                                <w:rFonts w:ascii="Cambria Math" w:hAnsi="Cambria Math"/>
                                <w:sz w:val="18"/>
                                <w:szCs w:val="18"/>
                              </w:rPr>
                            </m:ctrlPr>
                          </m:e>
                        </m:d>
                        <m:ctrlPr>
                          <w:rPr>
                            <w:rFonts w:ascii="Cambria Math" w:hAnsi="Cambria Math"/>
                            <w:sz w:val="18"/>
                            <w:szCs w:val="18"/>
                          </w:rPr>
                        </m:ctrlPr>
                      </m:e>
                      <m:sup>
                        <m:r>
                          <m:rPr>
                            <m:sty m:val="p"/>
                          </m:rPr>
                          <w:rPr>
                            <w:rFonts w:ascii="Cambria Math" w:hAnsi="Cambria Math"/>
                            <w:sz w:val="18"/>
                            <w:szCs w:val="18"/>
                          </w:rPr>
                          <m:t>365/7</m:t>
                        </m:r>
                        <m:ctrlPr>
                          <w:rPr>
                            <w:rFonts w:ascii="Cambria Math" w:hAnsi="Cambria Math"/>
                            <w:sz w:val="18"/>
                            <w:szCs w:val="18"/>
                          </w:rPr>
                        </m:ctrlPr>
                      </m:sup>
                    </m:sSup>
                    <m:r>
                      <m:rPr>
                        <m:sty m:val="p"/>
                      </m:rPr>
                      <w:rPr>
                        <w:rFonts w:ascii="Cambria Math" w:hAnsi="Cambria Math"/>
                        <w:sz w:val="18"/>
                        <w:szCs w:val="18"/>
                      </w:rPr>
                      <m:t>−1</m:t>
                    </m:r>
                    <m:ctrlPr>
                      <w:rPr>
                        <w:rFonts w:ascii="Cambria Math" w:hAnsi="Cambria Math"/>
                        <w:sz w:val="18"/>
                        <w:szCs w:val="18"/>
                      </w:rPr>
                    </m:ctrlPr>
                  </m:e>
                </m:d>
                <m:r>
                  <m:rPr>
                    <m:sty m:val="p"/>
                  </m:rPr>
                  <w:rPr>
                    <w:rFonts w:ascii="Cambria Math" w:hAnsi="Cambria Math"/>
                    <w:sz w:val="18"/>
                    <w:szCs w:val="18"/>
                  </w:rPr>
                  <m:t>×100%</m:t>
                </m:r>
              </m:oMath>
            </m:oMathPara>
          </w:p>
          <w:p>
            <w:pPr>
              <w:adjustRightInd w:val="0"/>
              <w:snapToGrid w:val="0"/>
              <w:spacing w:line="360" w:lineRule="auto"/>
              <w:rPr>
                <w:rFonts w:cs="宋体" w:asciiTheme="minorEastAsia" w:hAnsiTheme="minorEastAsia"/>
                <w:sz w:val="18"/>
                <w:szCs w:val="18"/>
              </w:rPr>
            </w:pPr>
            <w:r>
              <w:rPr>
                <w:rFonts w:hint="eastAsia" w:cs="宋体" w:asciiTheme="minorEastAsia" w:hAnsiTheme="minorEastAsia"/>
                <w:sz w:val="18"/>
                <w:szCs w:val="18"/>
              </w:rPr>
              <w:t>其中，</w:t>
            </w:r>
            <w:r>
              <w:rPr>
                <w:rFonts w:cs="宋体" w:asciiTheme="minorEastAsia" w:hAnsiTheme="minorEastAsia"/>
                <w:sz w:val="18"/>
                <w:szCs w:val="18"/>
              </w:rPr>
              <w:t>Ri</w:t>
            </w:r>
            <w:r>
              <w:rPr>
                <w:rFonts w:hint="eastAsia" w:cs="宋体" w:asciiTheme="minorEastAsia" w:hAnsiTheme="minorEastAsia"/>
                <w:sz w:val="18"/>
                <w:szCs w:val="18"/>
              </w:rPr>
              <w:t>为最近第</w:t>
            </w:r>
            <w:r>
              <w:rPr>
                <w:rFonts w:cs="宋体" w:asciiTheme="minorEastAsia" w:hAnsiTheme="minorEastAsia"/>
                <w:sz w:val="18"/>
                <w:szCs w:val="18"/>
              </w:rPr>
              <w:t>i</w:t>
            </w:r>
            <w:r>
              <w:rPr>
                <w:rFonts w:hint="eastAsia" w:cs="宋体" w:asciiTheme="minorEastAsia" w:hAnsiTheme="minorEastAsia"/>
                <w:sz w:val="18"/>
                <w:szCs w:val="18"/>
              </w:rPr>
              <w:t>个自然日</w:t>
            </w:r>
            <w:r>
              <w:rPr>
                <w:rFonts w:cs="宋体" w:asciiTheme="minorEastAsia" w:hAnsiTheme="minorEastAsia"/>
                <w:sz w:val="18"/>
                <w:szCs w:val="18"/>
              </w:rPr>
              <w:t>(</w:t>
            </w:r>
            <w:r>
              <w:rPr>
                <w:rFonts w:hint="eastAsia" w:cs="宋体" w:asciiTheme="minorEastAsia" w:hAnsiTheme="minorEastAsia"/>
                <w:sz w:val="18"/>
                <w:szCs w:val="18"/>
              </w:rPr>
              <w:t>包括计算当日</w:t>
            </w:r>
            <w:r>
              <w:rPr>
                <w:rFonts w:cs="宋体" w:asciiTheme="minorEastAsia" w:hAnsiTheme="minorEastAsia"/>
                <w:sz w:val="18"/>
                <w:szCs w:val="18"/>
              </w:rPr>
              <w:t>)</w:t>
            </w:r>
            <w:r>
              <w:rPr>
                <w:rFonts w:hint="eastAsia" w:cs="宋体" w:asciiTheme="minorEastAsia" w:hAnsiTheme="minorEastAsia"/>
                <w:sz w:val="18"/>
                <w:szCs w:val="18"/>
              </w:rPr>
              <w:t>的每万份理财产品收益。</w:t>
            </w:r>
          </w:p>
          <w:p>
            <w:pPr>
              <w:spacing w:line="360" w:lineRule="auto"/>
              <w:jc w:val="left"/>
              <w:rPr>
                <w:rFonts w:cs="宋体" w:asciiTheme="majorEastAsia" w:hAnsiTheme="majorEastAsia" w:eastAsiaTheme="majorEastAsia"/>
                <w:bCs/>
                <w:sz w:val="18"/>
                <w:szCs w:val="18"/>
              </w:rPr>
            </w:pPr>
            <w:r>
              <w:rPr>
                <w:rFonts w:cs="宋体" w:asciiTheme="minorEastAsia" w:hAnsiTheme="minorEastAsia"/>
                <w:sz w:val="18"/>
                <w:szCs w:val="18"/>
              </w:rPr>
              <w:t>7日年化收益率</w:t>
            </w:r>
            <w:r>
              <w:rPr>
                <w:rFonts w:hint="eastAsia" w:cs="宋体" w:asciiTheme="minorEastAsia" w:hAnsiTheme="minorEastAsia"/>
                <w:sz w:val="18"/>
                <w:szCs w:val="18"/>
              </w:rPr>
              <w:t>采用四舍五入保留至百分号内小数点后第</w:t>
            </w:r>
            <w:r>
              <w:rPr>
                <w:rFonts w:hint="eastAsia" w:cs="宋体" w:asciiTheme="minorEastAsia" w:hAnsiTheme="minorEastAsia"/>
                <w:sz w:val="18"/>
                <w:szCs w:val="18"/>
                <w:lang w:val="en-US" w:eastAsia="zh-CN"/>
              </w:rPr>
              <w:t>4</w:t>
            </w:r>
            <w:r>
              <w:rPr>
                <w:rFonts w:cs="宋体" w:asciiTheme="minorEastAsia" w:hAnsiTheme="minorEastAsia"/>
                <w:sz w:val="18"/>
                <w:szCs w:val="18"/>
              </w:rPr>
              <w:t>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ascii="Calibri" w:hAnsi="Calibri" w:cs="宋体"/>
                <w:sz w:val="18"/>
                <w:szCs w:val="18"/>
              </w:rPr>
              <w:t>★</w:t>
            </w:r>
            <w:r>
              <w:rPr>
                <w:rFonts w:hint="eastAsia" w:cs="宋体"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ascii="宋体" w:hAnsi="宋体" w:cs="宋体"/>
                <w:bCs/>
                <w:sz w:val="18"/>
                <w:szCs w:val="18"/>
              </w:rPr>
            </w:pPr>
            <w:r>
              <w:rPr>
                <w:rFonts w:hint="eastAsia" w:ascii="宋体" w:hAnsi="宋体" w:cs="宋体"/>
                <w:bCs/>
                <w:sz w:val="18"/>
                <w:szCs w:val="18"/>
              </w:rPr>
              <w:t>（</w:t>
            </w:r>
            <w:r>
              <w:rPr>
                <w:rFonts w:hint="eastAsia" w:ascii="宋体" w:hAnsi="宋体" w:cs="宋体"/>
                <w:bCs/>
                <w:sz w:val="18"/>
                <w:szCs w:val="18"/>
                <w:lang w:eastAsia="zh-CN"/>
              </w:rPr>
              <w:t>适用【J】类份额</w:t>
            </w:r>
            <w:r>
              <w:rPr>
                <w:rFonts w:hint="eastAsia" w:ascii="宋体" w:hAnsi="宋体" w:cs="宋体"/>
                <w:bCs/>
                <w:sz w:val="18"/>
                <w:szCs w:val="18"/>
              </w:rPr>
              <w:t>）</w:t>
            </w:r>
          </w:p>
          <w:p>
            <w:pPr>
              <w:spacing w:line="360" w:lineRule="auto"/>
              <w:jc w:val="left"/>
              <w:rPr>
                <w:rFonts w:ascii="宋体" w:hAnsi="宋体" w:cs="宋体"/>
                <w:bCs/>
                <w:sz w:val="18"/>
                <w:szCs w:val="18"/>
              </w:rPr>
            </w:pPr>
            <w:r>
              <w:rPr>
                <w:rFonts w:hint="eastAsia" w:ascii="宋体" w:hAnsi="宋体" w:cs="宋体"/>
                <w:bCs/>
                <w:sz w:val="18"/>
                <w:szCs w:val="18"/>
              </w:rPr>
              <w:t>1.业绩比较基准的设置</w:t>
            </w:r>
          </w:p>
          <w:p>
            <w:pPr>
              <w:autoSpaceDE w:val="0"/>
              <w:autoSpaceDN w:val="0"/>
              <w:adjustRightInd w:val="0"/>
              <w:spacing w:line="360" w:lineRule="auto"/>
              <w:jc w:val="left"/>
              <w:rPr>
                <w:rFonts w:cs="宋体" w:asciiTheme="majorEastAsia" w:hAnsiTheme="majorEastAsia" w:eastAsiaTheme="majorEastAsia"/>
                <w:kern w:val="0"/>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kern w:val="0"/>
                <w:sz w:val="18"/>
                <w:szCs w:val="18"/>
              </w:rPr>
              <w:t xml:space="preserve"> </w:t>
            </w:r>
            <w:r>
              <w:rPr>
                <w:rFonts w:hint="eastAsia" w:cs="宋体" w:asciiTheme="majorEastAsia" w:hAnsiTheme="majorEastAsia" w:eastAsiaTheme="majorEastAsia"/>
                <w:kern w:val="0"/>
                <w:sz w:val="18"/>
                <w:szCs w:val="18"/>
              </w:rPr>
              <w:t>产品管理人设置业绩比较基准。</w:t>
            </w:r>
          </w:p>
          <w:p>
            <w:pPr>
              <w:spacing w:line="360" w:lineRule="auto"/>
              <w:jc w:val="left"/>
              <w:rPr>
                <w:rFonts w:cs="宋体" w:asciiTheme="majorEastAsia" w:hAnsiTheme="majorEastAsia"/>
                <w:bCs/>
                <w:sz w:val="18"/>
                <w:szCs w:val="18"/>
              </w:rPr>
            </w:pPr>
            <w:r>
              <w:rPr>
                <w:rFonts w:hint="eastAsia" w:ascii="宋体" w:hAnsi="宋体" w:cs="宋体"/>
                <w:bCs/>
                <w:sz w:val="18"/>
                <w:szCs w:val="18"/>
              </w:rPr>
              <w:t>（1）业绩比较基准的说明：【本产品主要投资于货币市场工具，根据货币市场工具当前以及未来一段时期的收益率水平预测，设定业绩比较基准</w:t>
            </w:r>
            <w:r>
              <w:rPr>
                <w:rFonts w:ascii="宋体" w:hAnsi="宋体" w:cs="宋体"/>
                <w:bCs/>
                <w:sz w:val="18"/>
                <w:szCs w:val="18"/>
              </w:rPr>
              <w:t>】</w:t>
            </w:r>
            <w:r>
              <w:rPr>
                <w:rFonts w:hint="eastAsia" w:ascii="宋体" w:hAnsi="宋体" w:cs="宋体"/>
                <w:bCs/>
                <w:sz w:val="18"/>
                <w:szCs w:val="18"/>
              </w:rPr>
              <w:t>。</w:t>
            </w:r>
          </w:p>
          <w:p>
            <w:pPr>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w:t>
            </w:r>
            <w:r>
              <w:rPr>
                <w:rFonts w:cs="宋体" w:asciiTheme="majorEastAsia" w:hAnsiTheme="majorEastAsia" w:eastAsiaTheme="majorEastAsia"/>
                <w:bCs/>
                <w:sz w:val="18"/>
                <w:szCs w:val="18"/>
              </w:rPr>
              <w:t>业绩比较基准的设定</w:t>
            </w:r>
            <w:r>
              <w:rPr>
                <w:rFonts w:hint="eastAsia" w:cs="宋体" w:asciiTheme="majorEastAsia" w:hAnsiTheme="majorEastAsia" w:eastAsiaTheme="majorEastAsia"/>
                <w:bCs/>
                <w:sz w:val="18"/>
                <w:szCs w:val="18"/>
              </w:rPr>
              <w:t>：</w:t>
            </w:r>
            <w:r>
              <w:rPr>
                <w:rFonts w:hint="eastAsia" w:cs="宋体" w:asciiTheme="majorEastAsia" w:hAnsiTheme="majorEastAsia"/>
                <w:sz w:val="18"/>
                <w:szCs w:val="22"/>
              </w:rPr>
              <w:t>管理人对</w:t>
            </w:r>
            <w:r>
              <w:rPr>
                <w:rFonts w:cs="宋体" w:asciiTheme="majorEastAsia" w:hAnsiTheme="majorEastAsia"/>
                <w:sz w:val="18"/>
                <w:szCs w:val="22"/>
              </w:rPr>
              <w:t>本产品设定</w:t>
            </w:r>
            <w:r>
              <w:rPr>
                <w:rFonts w:hint="eastAsia" w:cs="宋体" w:asciiTheme="majorEastAsia" w:hAnsiTheme="majorEastAsia"/>
                <w:sz w:val="18"/>
                <w:szCs w:val="22"/>
              </w:rPr>
              <w:t>业绩比较基准：</w:t>
            </w:r>
            <w:r>
              <w:rPr>
                <w:rFonts w:hint="eastAsia" w:ascii="宋体" w:hAnsi="宋体" w:cs="宋体"/>
                <w:bCs/>
                <w:sz w:val="18"/>
                <w:szCs w:val="18"/>
              </w:rPr>
              <w:t>【</w:t>
            </w:r>
            <w:r>
              <w:rPr>
                <w:rFonts w:hint="eastAsia" w:cs="宋体" w:asciiTheme="minorEastAsia" w:hAnsiTheme="minorEastAsia"/>
                <w:sz w:val="18"/>
                <w:szCs w:val="18"/>
              </w:rPr>
              <w:t>人民银行</w:t>
            </w:r>
            <w:r>
              <w:rPr>
                <w:rFonts w:cs="宋体" w:asciiTheme="minorEastAsia" w:hAnsiTheme="minorEastAsia"/>
                <w:sz w:val="18"/>
                <w:szCs w:val="18"/>
              </w:rPr>
              <w:t>7天通知存款利率</w:t>
            </w:r>
            <w:r>
              <w:rPr>
                <w:rFonts w:ascii="宋体" w:hAnsi="宋体" w:cs="宋体"/>
                <w:bCs/>
                <w:sz w:val="18"/>
                <w:szCs w:val="18"/>
              </w:rPr>
              <w:t>】</w:t>
            </w:r>
            <w:r>
              <w:rPr>
                <w:rFonts w:hint="eastAsia" w:ascii="宋体" w:hAnsi="宋体" w:cs="宋体"/>
                <w:bCs/>
                <w:sz w:val="18"/>
                <w:szCs w:val="18"/>
              </w:rPr>
              <w:t>。</w:t>
            </w:r>
          </w:p>
          <w:p>
            <w:pPr>
              <w:spacing w:line="360" w:lineRule="auto"/>
              <w:jc w:val="left"/>
              <w:rPr>
                <w:rFonts w:ascii="宋体" w:hAnsi="宋体" w:cs="宋体"/>
                <w:bCs/>
                <w:sz w:val="18"/>
                <w:szCs w:val="18"/>
              </w:rPr>
            </w:pPr>
            <w:r>
              <w:rPr>
                <w:rFonts w:hint="eastAsia" w:cs="宋体" w:asciiTheme="majorEastAsia" w:hAnsiTheme="majorEastAsia" w:eastAsiaTheme="majorEastAsia"/>
                <w:kern w:val="0"/>
                <w:sz w:val="18"/>
                <w:szCs w:val="18"/>
              </w:rPr>
              <w:t>□</w:t>
            </w:r>
            <w:r>
              <w:rPr>
                <w:rFonts w:cs="宋体" w:asciiTheme="majorEastAsia" w:hAnsiTheme="majorEastAsia" w:eastAsiaTheme="majorEastAsia"/>
                <w:kern w:val="0"/>
                <w:sz w:val="18"/>
                <w:szCs w:val="18"/>
              </w:rPr>
              <w:t xml:space="preserve"> </w:t>
            </w:r>
            <w:r>
              <w:rPr>
                <w:rFonts w:hint="eastAsia" w:cs="宋体" w:asciiTheme="majorEastAsia" w:hAnsiTheme="majorEastAsia" w:eastAsiaTheme="majorEastAsia"/>
                <w:kern w:val="0"/>
                <w:sz w:val="18"/>
                <w:szCs w:val="18"/>
              </w:rPr>
              <w:t>产品管理人不设置业绩比较基准。</w:t>
            </w:r>
          </w:p>
          <w:p>
            <w:pPr>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2.业绩</w:t>
            </w:r>
            <w:r>
              <w:rPr>
                <w:rFonts w:cs="宋体" w:asciiTheme="majorEastAsia" w:hAnsiTheme="majorEastAsia" w:eastAsiaTheme="majorEastAsia"/>
                <w:bCs/>
                <w:sz w:val="18"/>
                <w:szCs w:val="18"/>
              </w:rPr>
              <w:t>比较基准的提示：</w:t>
            </w:r>
          </w:p>
          <w:p>
            <w:pPr>
              <w:spacing w:line="360" w:lineRule="auto"/>
              <w:jc w:val="left"/>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cs="宋体" w:asciiTheme="majorEastAsia" w:hAnsiTheme="majorEastAsia" w:eastAsiaTheme="majorEastAsia"/>
                <w:b/>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2）</w:t>
            </w:r>
            <w:r>
              <w:rPr>
                <w:rFonts w:hint="eastAsia" w:cs="宋体"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cs="宋体"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业绩报酬计提基准</w:t>
            </w:r>
          </w:p>
        </w:tc>
        <w:tc>
          <w:tcPr>
            <w:tcW w:w="7699" w:type="dxa"/>
            <w:shd w:val="solid" w:color="FFFFFF" w:fill="FFFFFF"/>
            <w:vAlign w:val="center"/>
          </w:tcPr>
          <w:p>
            <w:pPr>
              <w:spacing w:line="360" w:lineRule="auto"/>
              <w:jc w:val="left"/>
              <w:rPr>
                <w:rFonts w:ascii="宋体" w:hAnsi="宋体" w:cs="宋体"/>
                <w:bCs/>
                <w:sz w:val="18"/>
                <w:szCs w:val="18"/>
              </w:rPr>
            </w:pPr>
            <w:r>
              <w:rPr>
                <w:rFonts w:hint="eastAsia" w:ascii="宋体" w:hAnsi="宋体" w:cs="宋体"/>
                <w:bCs/>
                <w:sz w:val="18"/>
                <w:szCs w:val="18"/>
              </w:rPr>
              <w:t>（适用【】类份额）</w:t>
            </w:r>
          </w:p>
          <w:p>
            <w:pPr>
              <w:spacing w:line="360" w:lineRule="auto"/>
              <w:jc w:val="left"/>
              <w:rPr>
                <w:rFonts w:ascii="宋体" w:hAnsi="宋体" w:cs="宋体"/>
                <w:bCs/>
                <w:sz w:val="18"/>
                <w:szCs w:val="18"/>
              </w:rPr>
            </w:pPr>
            <w:r>
              <w:rPr>
                <w:rFonts w:ascii="宋体" w:hAnsi="宋体" w:cs="宋体"/>
                <w:bCs/>
                <w:sz w:val="18"/>
                <w:szCs w:val="18"/>
              </w:rPr>
              <w:t>1.业绩报酬计提基准的设置</w:t>
            </w:r>
          </w:p>
          <w:p>
            <w:pPr>
              <w:autoSpaceDE w:val="0"/>
              <w:autoSpaceDN w:val="0"/>
              <w:adjustRightInd w:val="0"/>
              <w:spacing w:line="360" w:lineRule="auto"/>
              <w:jc w:val="left"/>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r>
              <w:rPr>
                <w:rFonts w:cs="宋体" w:asciiTheme="majorEastAsia" w:hAnsiTheme="majorEastAsia" w:eastAsiaTheme="majorEastAsia"/>
                <w:kern w:val="0"/>
                <w:sz w:val="18"/>
                <w:szCs w:val="18"/>
              </w:rPr>
              <w:t xml:space="preserve"> </w:t>
            </w:r>
            <w:r>
              <w:rPr>
                <w:rFonts w:hint="eastAsia" w:cs="宋体" w:asciiTheme="majorEastAsia" w:hAnsiTheme="majorEastAsia" w:eastAsiaTheme="majorEastAsia"/>
                <w:kern w:val="0"/>
                <w:sz w:val="18"/>
                <w:szCs w:val="18"/>
              </w:rPr>
              <w:t>产品管理人设置业绩报酬计提基准。</w:t>
            </w:r>
          </w:p>
          <w:p>
            <w:pPr>
              <w:spacing w:line="360" w:lineRule="auto"/>
              <w:jc w:val="left"/>
              <w:rPr>
                <w:rFonts w:ascii="宋体" w:hAnsi="宋体" w:cs="宋体"/>
                <w:sz w:val="18"/>
                <w:szCs w:val="22"/>
              </w:rPr>
            </w:pPr>
            <w:r>
              <w:rPr>
                <w:rFonts w:ascii="宋体" w:hAnsi="宋体" w:cs="宋体"/>
                <w:bCs/>
                <w:sz w:val="18"/>
                <w:szCs w:val="18"/>
              </w:rPr>
              <w:t>业绩报酬计提基准的</w:t>
            </w:r>
            <w:r>
              <w:rPr>
                <w:rFonts w:ascii="宋体" w:hAnsi="宋体" w:cs="宋体"/>
                <w:sz w:val="18"/>
                <w:szCs w:val="22"/>
              </w:rPr>
              <w:t>设定</w:t>
            </w:r>
            <w:r>
              <w:rPr>
                <w:rFonts w:hint="eastAsia" w:ascii="宋体" w:hAnsi="宋体" w:cs="宋体"/>
                <w:sz w:val="18"/>
                <w:szCs w:val="22"/>
              </w:rPr>
              <w:t>：管理人</w:t>
            </w:r>
            <w:r>
              <w:rPr>
                <w:rFonts w:ascii="宋体" w:hAnsi="宋体" w:cs="宋体"/>
                <w:sz w:val="18"/>
                <w:szCs w:val="22"/>
              </w:rPr>
              <w:t>对本产品设定</w:t>
            </w:r>
            <w:r>
              <w:rPr>
                <w:rFonts w:hint="eastAsia" w:ascii="宋体" w:hAnsi="宋体" w:cs="宋体"/>
                <w:sz w:val="18"/>
                <w:szCs w:val="22"/>
              </w:rPr>
              <w:t>业绩报酬计提基准：【】。</w:t>
            </w:r>
          </w:p>
          <w:p>
            <w:pPr>
              <w:spacing w:line="360" w:lineRule="auto"/>
              <w:jc w:val="left"/>
              <w:rPr>
                <w:rFonts w:ascii="宋体" w:hAnsi="宋体" w:cs="宋体"/>
                <w:bCs/>
                <w:sz w:val="18"/>
                <w:szCs w:val="18"/>
              </w:rPr>
            </w:pPr>
            <w:r>
              <w:rPr>
                <w:rFonts w:hint="eastAsia" w:cs="宋体" w:asciiTheme="majorEastAsia" w:hAnsiTheme="majorEastAsia" w:eastAsiaTheme="majorEastAsia"/>
                <w:bCs/>
                <w:sz w:val="18"/>
                <w:szCs w:val="18"/>
              </w:rPr>
              <w:t>■</w:t>
            </w:r>
            <w:r>
              <w:rPr>
                <w:rFonts w:hint="eastAsia" w:cs="宋体"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cs="宋体"/>
                <w:bCs/>
                <w:sz w:val="18"/>
                <w:szCs w:val="18"/>
              </w:rPr>
            </w:pPr>
            <w:r>
              <w:rPr>
                <w:rFonts w:hint="eastAsia" w:ascii="宋体" w:hAnsi="宋体" w:cs="宋体"/>
                <w:bCs/>
                <w:sz w:val="18"/>
                <w:szCs w:val="18"/>
              </w:rPr>
              <w:t>2</w:t>
            </w:r>
            <w:r>
              <w:rPr>
                <w:rFonts w:ascii="宋体" w:hAnsi="宋体" w:cs="宋体"/>
                <w:bCs/>
                <w:sz w:val="18"/>
                <w:szCs w:val="18"/>
              </w:rPr>
              <w:t>.业绩报酬计提基准的提示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宋体" w:hAnsi="宋体" w:cs="宋体"/>
                <w:b/>
                <w:bCs/>
                <w:sz w:val="18"/>
                <w:szCs w:val="18"/>
              </w:rPr>
            </w:pPr>
            <w:r>
              <w:rPr>
                <w:rFonts w:hint="eastAsia" w:ascii="宋体" w:hAnsi="宋体" w:cs="宋体"/>
                <w:bCs/>
                <w:sz w:val="18"/>
                <w:szCs w:val="18"/>
              </w:rPr>
              <w:t>（1）</w:t>
            </w:r>
            <w:r>
              <w:rPr>
                <w:rFonts w:hint="eastAsia" w:ascii="Calibri" w:hAnsi="Calibri" w:cs="宋体"/>
                <w:sz w:val="18"/>
                <w:szCs w:val="18"/>
              </w:rPr>
              <w:t>★</w:t>
            </w:r>
            <w:r>
              <w:rPr>
                <w:rFonts w:hint="eastAsia" w:ascii="黑体" w:hAnsi="黑体" w:eastAsia="黑体" w:cs="宋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99"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本产品</w:t>
            </w:r>
            <w:r>
              <w:rPr>
                <w:rFonts w:hint="eastAsia" w:cs="宋体" w:asciiTheme="minorEastAsia" w:hAnsiTheme="minorEastAsia" w:eastAsiaTheme="minorEastAsia"/>
                <w:sz w:val="18"/>
                <w:szCs w:val="18"/>
              </w:rPr>
              <w:t>每日进行收益分配，</w:t>
            </w:r>
            <w:r>
              <w:rPr>
                <w:rFonts w:hint="eastAsia" w:ascii="Calibri" w:hAnsi="宋体" w:cs="宋体"/>
                <w:bCs/>
                <w:sz w:val="18"/>
                <w:szCs w:val="18"/>
              </w:rPr>
              <w:t>收益分配方式为红利再投资，免收再投资的费用。</w:t>
            </w:r>
          </w:p>
          <w:p>
            <w:pPr>
              <w:spacing w:line="360" w:lineRule="auto"/>
              <w:jc w:val="left"/>
              <w:rPr>
                <w:rFonts w:ascii="Calibri" w:hAnsi="宋体" w:cs="宋体"/>
                <w:bCs/>
                <w:sz w:val="18"/>
                <w:szCs w:val="18"/>
              </w:rPr>
            </w:pPr>
            <w:r>
              <w:rPr>
                <w:rFonts w:ascii="Calibri" w:hAnsi="宋体" w:cs="宋体"/>
                <w:bCs/>
                <w:sz w:val="18"/>
                <w:szCs w:val="18"/>
              </w:rPr>
              <w:t>2.</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cs="宋体"/>
                <w:bCs/>
                <w:sz w:val="18"/>
                <w:szCs w:val="18"/>
              </w:rPr>
            </w:pPr>
            <w:r>
              <w:rPr>
                <w:rFonts w:ascii="Calibri" w:hAnsi="宋体" w:cs="宋体"/>
                <w:bCs/>
                <w:sz w:val="18"/>
                <w:szCs w:val="18"/>
              </w:rPr>
              <w:t>3.具体理财产品利益分配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ascii="Calibri" w:hAnsi="宋体" w:cs="宋体"/>
                <w:sz w:val="18"/>
                <w:szCs w:val="18"/>
              </w:rPr>
              <w:t>★</w:t>
            </w:r>
            <w:r>
              <w:rPr>
                <w:rFonts w:hint="eastAsia" w:cs="宋体"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w:t>
            </w:r>
            <w:r>
              <w:rPr>
                <w:rFonts w:hint="eastAsia" w:cs="宋体" w:asciiTheme="majorEastAsia" w:hAnsiTheme="majorEastAsia" w:eastAsiaTheme="majorEastAsia"/>
                <w:bCs/>
                <w:color w:val="000000" w:themeColor="text1"/>
                <w:sz w:val="18"/>
                <w:szCs w:val="18"/>
                <w:lang w:eastAsia="zh-CN"/>
                <w14:textFill>
                  <w14:solidFill>
                    <w14:schemeClr w14:val="tx1"/>
                  </w14:solidFill>
                </w14:textFill>
              </w:rPr>
              <w:t>适用【J】类份额</w:t>
            </w:r>
            <w:r>
              <w:rPr>
                <w:rFonts w:hint="eastAsia" w:cs="宋体"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ascii="黑体" w:hAnsi="黑体" w:eastAsia="黑体" w:cs="宋体"/>
                <w:bCs/>
                <w:color w:val="000000" w:themeColor="text1"/>
                <w:sz w:val="18"/>
                <w:szCs w:val="18"/>
                <w14:textFill>
                  <w14:solidFill>
                    <w14:schemeClr w14:val="tx1"/>
                  </w14:solidFill>
                </w14:textFill>
              </w:rPr>
              <w:t>1.</w:t>
            </w:r>
            <w:r>
              <w:rPr>
                <w:rFonts w:hint="eastAsia" w:ascii="黑体" w:hAnsi="黑体" w:eastAsia="黑体" w:cs="宋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（1）认购费：【</w:t>
            </w:r>
            <w:r>
              <w:rPr>
                <w:rFonts w:hint="eastAsia" w:ascii="黑体" w:hAnsi="黑体" w:eastAsia="黑体" w:cs="宋体"/>
                <w:bCs/>
                <w:color w:val="000000" w:themeColor="text1"/>
                <w:sz w:val="18"/>
                <w:szCs w:val="18"/>
                <w:lang w:val="en-US" w:eastAsia="zh-CN"/>
                <w14:textFill>
                  <w14:solidFill>
                    <w14:schemeClr w14:val="tx1"/>
                  </w14:solidFill>
                </w14:textFill>
              </w:rPr>
              <w:t>/</w:t>
            </w:r>
            <w:r>
              <w:rPr>
                <w:rFonts w:hint="eastAsia" w:ascii="黑体" w:hAnsi="黑体" w:eastAsia="黑体" w:cs="宋体"/>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（2）</w:t>
            </w:r>
            <w:r>
              <w:rPr>
                <w:rFonts w:ascii="黑体" w:hAnsi="黑体" w:eastAsia="黑体" w:cs="宋体"/>
                <w:bCs/>
                <w:color w:val="000000" w:themeColor="text1"/>
                <w:sz w:val="18"/>
                <w:szCs w:val="18"/>
                <w14:textFill>
                  <w14:solidFill>
                    <w14:schemeClr w14:val="tx1"/>
                  </w14:solidFill>
                </w14:textFill>
              </w:rPr>
              <w:t>申购费：</w:t>
            </w:r>
            <w:r>
              <w:rPr>
                <w:rFonts w:hint="eastAsia" w:ascii="黑体" w:hAnsi="黑体" w:eastAsia="黑体" w:cs="宋体"/>
                <w:bCs/>
                <w:color w:val="000000" w:themeColor="text1"/>
                <w:sz w:val="18"/>
                <w:szCs w:val="18"/>
                <w14:textFill>
                  <w14:solidFill>
                    <w14:schemeClr w14:val="tx1"/>
                  </w14:solidFill>
                </w14:textFill>
              </w:rPr>
              <w:t>【</w:t>
            </w:r>
            <w:r>
              <w:rPr>
                <w:rFonts w:hint="eastAsia" w:ascii="黑体" w:hAnsi="黑体" w:eastAsia="黑体" w:cs="宋体"/>
                <w:bCs/>
                <w:color w:val="000000" w:themeColor="text1"/>
                <w:sz w:val="18"/>
                <w:szCs w:val="18"/>
                <w:lang w:val="en-US" w:eastAsia="zh-CN"/>
                <w14:textFill>
                  <w14:solidFill>
                    <w14:schemeClr w14:val="tx1"/>
                  </w14:solidFill>
                </w14:textFill>
              </w:rPr>
              <w:t>/</w:t>
            </w:r>
            <w:r>
              <w:rPr>
                <w:rFonts w:hint="eastAsia" w:ascii="黑体" w:hAnsi="黑体" w:eastAsia="黑体" w:cs="宋体"/>
                <w:bCs/>
                <w:color w:val="000000" w:themeColor="text1"/>
                <w:sz w:val="18"/>
                <w:szCs w:val="18"/>
                <w14:textFill>
                  <w14:solidFill>
                    <w14:schemeClr w14:val="tx1"/>
                  </w14:solidFill>
                </w14:textFill>
              </w:rPr>
              <w:t>】</w:t>
            </w:r>
            <w:r>
              <w:rPr>
                <w:rFonts w:ascii="黑体" w:hAnsi="黑体" w:eastAsia="黑体" w:cs="宋体"/>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（3）赎回费：【</w:t>
            </w:r>
            <w:r>
              <w:rPr>
                <w:rFonts w:hint="eastAsia" w:ascii="黑体" w:hAnsi="黑体" w:eastAsia="黑体" w:cs="宋体"/>
                <w:bCs/>
                <w:color w:val="000000" w:themeColor="text1"/>
                <w:sz w:val="18"/>
                <w:szCs w:val="18"/>
                <w:lang w:val="en-US" w:eastAsia="zh-CN"/>
                <w14:textFill>
                  <w14:solidFill>
                    <w14:schemeClr w14:val="tx1"/>
                  </w14:solidFill>
                </w14:textFill>
              </w:rPr>
              <w:t>/</w:t>
            </w:r>
            <w:r>
              <w:rPr>
                <w:rFonts w:hint="eastAsia" w:ascii="黑体" w:hAnsi="黑体" w:eastAsia="黑体" w:cs="宋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w:t>
            </w:r>
            <w:r>
              <w:rPr>
                <w:rFonts w:ascii="黑体" w:hAnsi="黑体" w:eastAsia="黑体" w:cs="宋体"/>
                <w:bCs/>
                <w:color w:val="000000" w:themeColor="text1"/>
                <w:sz w:val="18"/>
                <w:szCs w:val="18"/>
                <w14:textFill>
                  <w14:solidFill>
                    <w14:schemeClr w14:val="tx1"/>
                  </w14:solidFill>
                </w14:textFill>
              </w:rPr>
              <w:t>4）</w:t>
            </w:r>
            <w:r>
              <w:rPr>
                <w:rFonts w:hint="eastAsia" w:ascii="黑体" w:hAnsi="黑体" w:eastAsia="黑体" w:cs="宋体"/>
                <w:sz w:val="18"/>
                <w:szCs w:val="18"/>
              </w:rPr>
              <w:t>★</w:t>
            </w:r>
            <w:r>
              <w:rPr>
                <w:rFonts w:ascii="黑体" w:hAnsi="黑体" w:eastAsia="黑体" w:cs="宋体"/>
                <w:bCs/>
                <w:color w:val="000000" w:themeColor="text1"/>
                <w:sz w:val="18"/>
                <w:szCs w:val="18"/>
                <w14:textFill>
                  <w14:solidFill>
                    <w14:schemeClr w14:val="tx1"/>
                  </w14:solidFill>
                </w14:textFill>
              </w:rPr>
              <w:t>强制赎回费</w:t>
            </w:r>
            <w:r>
              <w:rPr>
                <w:rFonts w:hint="eastAsia" w:ascii="黑体" w:hAnsi="黑体" w:eastAsia="黑体" w:cs="宋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cs="宋体"/>
                <w:kern w:val="0"/>
                <w:sz w:val="18"/>
                <w:szCs w:val="18"/>
              </w:rPr>
            </w:pPr>
            <w:r>
              <w:rPr>
                <w:rFonts w:ascii="黑体" w:hAnsi="黑体" w:eastAsia="黑体" w:cs="宋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）产品前</w:t>
            </w:r>
            <w:r>
              <w:rPr>
                <w:rFonts w:ascii="黑体" w:hAnsi="黑体" w:eastAsia="黑体" w:cs="宋体"/>
                <w:kern w:val="0"/>
                <w:sz w:val="18"/>
                <w:szCs w:val="18"/>
              </w:rPr>
              <w:t>10</w:t>
            </w:r>
            <w:r>
              <w:rPr>
                <w:rFonts w:hint="eastAsia" w:ascii="黑体" w:hAnsi="黑体" w:eastAsia="黑体" w:cs="宋体"/>
                <w:kern w:val="0"/>
                <w:sz w:val="18"/>
                <w:szCs w:val="18"/>
              </w:rPr>
              <w:t>名投资者的持有份额合计超过产品总份额</w:t>
            </w:r>
            <w:r>
              <w:rPr>
                <w:rFonts w:ascii="黑体" w:hAnsi="黑体" w:eastAsia="黑体" w:cs="宋体"/>
                <w:kern w:val="0"/>
                <w:sz w:val="18"/>
                <w:szCs w:val="18"/>
              </w:rPr>
              <w:t>50%</w:t>
            </w:r>
            <w:r>
              <w:rPr>
                <w:rFonts w:hint="eastAsia" w:ascii="黑体" w:hAnsi="黑体" w:eastAsia="黑体" w:cs="宋体"/>
                <w:kern w:val="0"/>
                <w:sz w:val="18"/>
                <w:szCs w:val="18"/>
              </w:rPr>
              <w:t>的，当投资组合中现金、国债、中央银行票据、政策性金融债券以及</w:t>
            </w:r>
            <w:r>
              <w:rPr>
                <w:rFonts w:ascii="黑体" w:hAnsi="黑体" w:eastAsia="黑体" w:cs="宋体"/>
                <w:kern w:val="0"/>
                <w:sz w:val="18"/>
                <w:szCs w:val="18"/>
              </w:rPr>
              <w:t>5</w:t>
            </w:r>
            <w:r>
              <w:rPr>
                <w:rFonts w:hint="eastAsia" w:ascii="黑体" w:hAnsi="黑体" w:eastAsia="黑体" w:cs="宋体"/>
                <w:kern w:val="0"/>
                <w:sz w:val="18"/>
                <w:szCs w:val="18"/>
              </w:rPr>
              <w:t>个交易日内到期的其他金融工具占该产品资产净值的比例合计低于</w:t>
            </w:r>
            <w:r>
              <w:rPr>
                <w:rFonts w:ascii="黑体" w:hAnsi="黑体" w:eastAsia="黑体" w:cs="宋体"/>
                <w:kern w:val="0"/>
                <w:sz w:val="18"/>
                <w:szCs w:val="18"/>
              </w:rPr>
              <w:t>10%</w:t>
            </w:r>
            <w:r>
              <w:rPr>
                <w:rFonts w:hint="eastAsia" w:ascii="黑体" w:hAnsi="黑体" w:eastAsia="黑体" w:cs="宋体"/>
                <w:kern w:val="0"/>
                <w:sz w:val="18"/>
                <w:szCs w:val="18"/>
              </w:rPr>
              <w:t>且偏离度为负时，产品管理人有权对投资者超过产品总份额</w:t>
            </w:r>
            <w:r>
              <w:rPr>
                <w:rFonts w:ascii="黑体" w:hAnsi="黑体" w:eastAsia="黑体" w:cs="宋体"/>
                <w:kern w:val="0"/>
                <w:sz w:val="18"/>
                <w:szCs w:val="18"/>
              </w:rPr>
              <w:t>1%</w:t>
            </w:r>
            <w:r>
              <w:rPr>
                <w:rFonts w:hint="eastAsia" w:ascii="黑体" w:hAnsi="黑体" w:eastAsia="黑体" w:cs="宋体"/>
                <w:kern w:val="0"/>
                <w:sz w:val="18"/>
                <w:szCs w:val="18"/>
              </w:rPr>
              <w:t>以上的赎回申请征收</w:t>
            </w:r>
            <w:r>
              <w:rPr>
                <w:rFonts w:ascii="黑体" w:hAnsi="黑体" w:eastAsia="黑体" w:cs="宋体"/>
                <w:kern w:val="0"/>
                <w:sz w:val="18"/>
                <w:szCs w:val="18"/>
              </w:rPr>
              <w:t>1%</w:t>
            </w:r>
            <w:r>
              <w:rPr>
                <w:rFonts w:hint="eastAsia" w:ascii="黑体" w:hAnsi="黑体" w:eastAsia="黑体" w:cs="宋体"/>
                <w:kern w:val="0"/>
                <w:sz w:val="18"/>
                <w:szCs w:val="18"/>
              </w:rPr>
              <w:t>的强制赎回费用。</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（5）</w:t>
            </w:r>
            <w:r>
              <w:rPr>
                <w:rFonts w:ascii="黑体" w:hAnsi="黑体" w:eastAsia="黑体" w:cs="宋体"/>
                <w:bCs/>
                <w:color w:val="000000" w:themeColor="text1"/>
                <w:sz w:val="18"/>
                <w:szCs w:val="18"/>
                <w14:textFill>
                  <w14:solidFill>
                    <w14:schemeClr w14:val="tx1"/>
                  </w14:solidFill>
                </w14:textFill>
              </w:rPr>
              <w:t>销售服</w:t>
            </w:r>
            <w:r>
              <w:rPr>
                <w:rFonts w:hint="eastAsia" w:ascii="黑体" w:hAnsi="黑体" w:eastAsia="黑体" w:cs="宋体"/>
                <w:bCs/>
                <w:color w:val="000000" w:themeColor="text1"/>
                <w:sz w:val="18"/>
                <w:szCs w:val="18"/>
                <w14:textFill>
                  <w14:solidFill>
                    <w14:schemeClr w14:val="tx1"/>
                  </w14:solidFill>
                </w14:textFill>
              </w:rPr>
              <w:t>务费：</w:t>
            </w:r>
            <w:r>
              <w:rPr>
                <w:rFonts w:hint="eastAsia" w:ascii="黑体" w:hAnsi="黑体" w:eastAsia="黑体" w:cs="宋体"/>
                <w:bCs/>
                <w:sz w:val="18"/>
                <w:szCs w:val="18"/>
              </w:rPr>
              <w:t>年化</w:t>
            </w:r>
            <w:r>
              <w:rPr>
                <w:rFonts w:ascii="黑体" w:hAnsi="黑体" w:eastAsia="黑体" w:cs="宋体"/>
                <w:bCs/>
                <w:sz w:val="18"/>
                <w:szCs w:val="18"/>
              </w:rPr>
              <w:t>费率</w:t>
            </w:r>
            <w:r>
              <w:rPr>
                <w:rFonts w:hint="eastAsia" w:ascii="黑体" w:hAnsi="黑体" w:eastAsia="黑体" w:cs="宋体"/>
                <w:sz w:val="18"/>
                <w:szCs w:val="18"/>
              </w:rPr>
              <w:t>【</w:t>
            </w:r>
            <w:r>
              <w:rPr>
                <w:rFonts w:hint="eastAsia" w:ascii="黑体" w:hAnsi="黑体" w:eastAsia="黑体" w:cs="宋体"/>
                <w:sz w:val="18"/>
                <w:szCs w:val="18"/>
                <w:lang w:val="en-US" w:eastAsia="zh-CN"/>
              </w:rPr>
              <w:t>0.30%</w:t>
            </w:r>
            <w:r>
              <w:rPr>
                <w:rFonts w:hint="eastAsia" w:ascii="黑体" w:hAnsi="黑体" w:eastAsia="黑体" w:cs="宋体"/>
                <w:sz w:val="18"/>
                <w:szCs w:val="18"/>
              </w:rPr>
              <w:t>】</w:t>
            </w:r>
            <w:r>
              <w:rPr>
                <w:rFonts w:hint="eastAsia" w:ascii="黑体" w:hAnsi="黑体" w:eastAsia="黑体" w:cs="宋体"/>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（6）投资管理费：</w:t>
            </w:r>
            <w:r>
              <w:rPr>
                <w:rFonts w:hint="eastAsia" w:ascii="黑体" w:hAnsi="黑体" w:eastAsia="黑体" w:cs="宋体"/>
                <w:bCs/>
                <w:sz w:val="18"/>
                <w:szCs w:val="18"/>
              </w:rPr>
              <w:t>年化</w:t>
            </w:r>
            <w:r>
              <w:rPr>
                <w:rFonts w:ascii="黑体" w:hAnsi="黑体" w:eastAsia="黑体" w:cs="宋体"/>
                <w:bCs/>
                <w:sz w:val="18"/>
                <w:szCs w:val="18"/>
              </w:rPr>
              <w:t>费率</w:t>
            </w:r>
            <w:r>
              <w:rPr>
                <w:rFonts w:hint="eastAsia" w:ascii="黑体" w:hAnsi="黑体" w:eastAsia="黑体" w:cs="宋体"/>
                <w:sz w:val="18"/>
                <w:szCs w:val="18"/>
              </w:rPr>
              <w:t>【</w:t>
            </w:r>
            <w:r>
              <w:rPr>
                <w:rFonts w:hint="eastAsia" w:ascii="黑体" w:hAnsi="黑体" w:eastAsia="黑体" w:cs="宋体"/>
                <w:sz w:val="18"/>
                <w:szCs w:val="18"/>
                <w:lang w:val="en-US" w:eastAsia="zh-CN"/>
              </w:rPr>
              <w:t>0.30%</w:t>
            </w:r>
            <w:r>
              <w:rPr>
                <w:rFonts w:ascii="黑体" w:hAnsi="黑体" w:eastAsia="黑体" w:cs="宋体"/>
                <w:sz w:val="18"/>
                <w:szCs w:val="18"/>
              </w:rPr>
              <w:t>】</w:t>
            </w:r>
            <w:r>
              <w:rPr>
                <w:rFonts w:hint="eastAsia" w:ascii="黑体" w:hAnsi="黑体" w:eastAsia="黑体" w:cs="宋体"/>
                <w:bCs/>
                <w:color w:val="000000" w:themeColor="text1"/>
                <w:sz w:val="18"/>
                <w:szCs w:val="18"/>
                <w14:textFill>
                  <w14:solidFill>
                    <w14:schemeClr w14:val="tx1"/>
                  </w14:solidFill>
                </w14:textFill>
              </w:rPr>
              <w:t>。</w:t>
            </w:r>
          </w:p>
          <w:p>
            <w:pPr>
              <w:spacing w:line="360" w:lineRule="auto"/>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（7）产品托管费：</w:t>
            </w:r>
            <w:r>
              <w:rPr>
                <w:rFonts w:hint="eastAsia" w:ascii="黑体" w:hAnsi="黑体" w:eastAsia="黑体" w:cs="宋体"/>
                <w:bCs/>
                <w:sz w:val="18"/>
                <w:szCs w:val="18"/>
              </w:rPr>
              <w:t>年化</w:t>
            </w:r>
            <w:r>
              <w:rPr>
                <w:rFonts w:ascii="黑体" w:hAnsi="黑体" w:eastAsia="黑体" w:cs="宋体"/>
                <w:bCs/>
                <w:sz w:val="18"/>
                <w:szCs w:val="18"/>
              </w:rPr>
              <w:t>费率</w:t>
            </w:r>
            <w:r>
              <w:rPr>
                <w:rFonts w:hint="eastAsia" w:ascii="黑体" w:hAnsi="黑体" w:eastAsia="黑体" w:cs="宋体"/>
                <w:sz w:val="18"/>
                <w:szCs w:val="18"/>
              </w:rPr>
              <w:t>【</w:t>
            </w:r>
            <w:r>
              <w:rPr>
                <w:rFonts w:hint="eastAsia" w:ascii="黑体" w:hAnsi="黑体" w:eastAsia="黑体" w:cs="宋体"/>
                <w:sz w:val="18"/>
                <w:szCs w:val="18"/>
                <w:lang w:val="en-US" w:eastAsia="zh-CN"/>
              </w:rPr>
              <w:t>0.03%</w:t>
            </w:r>
            <w:r>
              <w:rPr>
                <w:rFonts w:ascii="黑体" w:hAnsi="黑体" w:eastAsia="黑体" w:cs="宋体"/>
                <w:sz w:val="18"/>
                <w:szCs w:val="18"/>
              </w:rPr>
              <w:t>】</w:t>
            </w:r>
            <w:r>
              <w:rPr>
                <w:rFonts w:hint="eastAsia" w:ascii="黑体" w:hAnsi="黑体" w:eastAsia="黑体" w:cs="宋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cs="宋体"/>
                <w:bCs/>
                <w:color w:val="000000" w:themeColor="text1"/>
                <w:sz w:val="18"/>
                <w:szCs w:val="18"/>
                <w14:textFill>
                  <w14:solidFill>
                    <w14:schemeClr w14:val="tx1"/>
                  </w14:solidFill>
                </w14:textFill>
              </w:rPr>
            </w:pPr>
            <w:r>
              <w:rPr>
                <w:rFonts w:hint="eastAsia" w:ascii="黑体" w:hAnsi="黑体" w:eastAsia="黑体" w:cs="宋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cs="宋体"/>
                <w:kern w:val="0"/>
                <w:sz w:val="18"/>
                <w:szCs w:val="18"/>
              </w:rPr>
            </w:pPr>
            <w:r>
              <w:rPr>
                <w:rFonts w:ascii="宋体" w:hAnsi="宋体" w:cs="宋体"/>
                <w:sz w:val="18"/>
                <w:szCs w:val="18"/>
              </w:rPr>
              <w:t>本产品不收取超额业绩报酬</w:t>
            </w:r>
            <w:r>
              <w:rPr>
                <w:rFonts w:hint="eastAsia" w:ascii="宋体" w:hAnsi="宋体" w:cs="宋体"/>
                <w:sz w:val="18"/>
                <w:szCs w:val="18"/>
              </w:rPr>
              <w:t>。</w:t>
            </w:r>
          </w:p>
          <w:p>
            <w:pPr>
              <w:spacing w:line="360" w:lineRule="auto"/>
              <w:rPr>
                <w:rFonts w:ascii="黑体" w:hAnsi="黑体" w:eastAsia="黑体" w:cs="宋体"/>
                <w:bCs/>
                <w:sz w:val="18"/>
                <w:szCs w:val="18"/>
              </w:rPr>
            </w:pPr>
            <w:r>
              <w:rPr>
                <w:rFonts w:hint="eastAsia" w:ascii="宋体" w:hAnsi="宋体" w:cs="宋体"/>
                <w:bCs/>
                <w:sz w:val="18"/>
                <w:szCs w:val="18"/>
              </w:rPr>
              <w:t>2</w:t>
            </w:r>
            <w:r>
              <w:rPr>
                <w:rFonts w:hint="eastAsia" w:cs="宋体" w:asciiTheme="majorEastAsia" w:hAnsiTheme="majorEastAsia" w:eastAsiaTheme="majorEastAsia"/>
                <w:bCs/>
                <w:sz w:val="18"/>
                <w:szCs w:val="18"/>
              </w:rPr>
              <w:t>.</w:t>
            </w:r>
            <w:r>
              <w:rPr>
                <w:rFonts w:hint="eastAsia" w:ascii="Calibri" w:hAnsi="Calibri" w:cs="宋体"/>
                <w:sz w:val="18"/>
                <w:szCs w:val="18"/>
              </w:rPr>
              <w:t xml:space="preserve"> </w:t>
            </w:r>
            <w:r>
              <w:rPr>
                <w:rFonts w:hint="eastAsia" w:ascii="黑体" w:hAnsi="黑体" w:eastAsia="黑体" w:cs="宋体"/>
                <w:bCs/>
                <w:sz w:val="18"/>
                <w:szCs w:val="18"/>
              </w:rPr>
              <w:t>产品管理人</w:t>
            </w:r>
            <w:r>
              <w:rPr>
                <w:rFonts w:ascii="黑体" w:hAnsi="黑体" w:eastAsia="黑体" w:cs="宋体"/>
                <w:bCs/>
                <w:sz w:val="18"/>
                <w:szCs w:val="18"/>
              </w:rPr>
              <w:t>保留变更</w:t>
            </w:r>
            <w:r>
              <w:rPr>
                <w:rFonts w:hint="eastAsia" w:ascii="黑体" w:hAnsi="黑体" w:eastAsia="黑体" w:cs="宋体"/>
                <w:bCs/>
                <w:sz w:val="18"/>
                <w:szCs w:val="18"/>
              </w:rPr>
              <w:t>上述</w:t>
            </w:r>
            <w:r>
              <w:rPr>
                <w:rFonts w:ascii="黑体" w:hAnsi="黑体" w:eastAsia="黑体" w:cs="宋体"/>
                <w:bCs/>
                <w:sz w:val="18"/>
                <w:szCs w:val="18"/>
              </w:rPr>
              <w:t>理财产品</w:t>
            </w:r>
            <w:r>
              <w:rPr>
                <w:rFonts w:hint="eastAsia" w:ascii="黑体" w:hAnsi="黑体" w:eastAsia="黑体" w:cs="宋体"/>
                <w:bCs/>
                <w:sz w:val="18"/>
                <w:szCs w:val="18"/>
              </w:rPr>
              <w:t>收取</w:t>
            </w:r>
            <w:r>
              <w:rPr>
                <w:rFonts w:ascii="黑体" w:hAnsi="黑体" w:eastAsia="黑体" w:cs="宋体"/>
                <w:bCs/>
                <w:sz w:val="18"/>
                <w:szCs w:val="18"/>
              </w:rPr>
              <w:t>费率</w:t>
            </w:r>
            <w:r>
              <w:rPr>
                <w:rFonts w:hint="eastAsia" w:ascii="黑体" w:hAnsi="黑体" w:eastAsia="黑体" w:cs="宋体"/>
                <w:bCs/>
                <w:sz w:val="18"/>
                <w:szCs w:val="18"/>
              </w:rPr>
              <w:t>标准</w:t>
            </w:r>
            <w:r>
              <w:rPr>
                <w:rFonts w:ascii="黑体" w:hAnsi="黑体" w:eastAsia="黑体" w:cs="宋体"/>
                <w:bCs/>
                <w:sz w:val="18"/>
                <w:szCs w:val="18"/>
              </w:rPr>
              <w:t>的权利</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99" w:type="dxa"/>
            <w:shd w:val="solid" w:color="FFFFFF" w:fill="FFFFFF"/>
            <w:vAlign w:val="center"/>
          </w:tcPr>
          <w:p>
            <w:pPr>
              <w:spacing w:line="360" w:lineRule="auto"/>
              <w:rPr>
                <w:rFonts w:ascii="宋体" w:hAnsi="宋体" w:cs="宋体"/>
                <w:bCs/>
                <w:color w:val="000000" w:themeColor="text1"/>
                <w:sz w:val="18"/>
                <w:szCs w:val="18"/>
                <w14:textFill>
                  <w14:solidFill>
                    <w14:schemeClr w14:val="tx1"/>
                  </w14:solidFill>
                </w14:textFill>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cs="宋体"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cs="宋体" w:asciiTheme="majorEastAsia" w:hAnsiTheme="majorEastAsia" w:eastAsiaTheme="majorEastAsia"/>
                <w:b/>
                <w:sz w:val="18"/>
                <w:szCs w:val="18"/>
              </w:rPr>
            </w:pPr>
            <w:r>
              <w:rPr>
                <w:rFonts w:hint="eastAsia" w:cs="宋体"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2" w:name="_Toc176189280"/>
      <w:bookmarkStart w:id="73" w:name="_Toc3800"/>
      <w:bookmarkStart w:id="74" w:name="_Toc79154666"/>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5" w:name="_Toc79392573"/>
      <w:r>
        <w:rPr>
          <w:rFonts w:hint="eastAsia" w:ascii="Times New Roman" w:hAnsi="Calibri" w:eastAsia="宋体" w:cs="宋体"/>
          <w:b/>
          <w:bCs/>
          <w:kern w:val="44"/>
          <w:sz w:val="30"/>
          <w:szCs w:val="44"/>
          <w:lang w:val="en-US" w:eastAsia="zh-CN" w:bidi="ar-SA"/>
        </w:rPr>
        <w:t>理财产品的认购</w:t>
      </w:r>
      <w:bookmarkEnd w:id="72"/>
      <w:bookmarkEnd w:id="73"/>
      <w:bookmarkEnd w:id="74"/>
    </w:p>
    <w:p>
      <w:pPr>
        <w:spacing w:line="360" w:lineRule="auto"/>
        <w:ind w:firstLine="361" w:firstLineChars="200"/>
        <w:rPr>
          <w:rFonts w:cs="宋体" w:asciiTheme="minorEastAsia" w:hAnsiTheme="minorEastAsia"/>
          <w:b/>
          <w:bCs/>
          <w:sz w:val="18"/>
          <w:szCs w:val="18"/>
        </w:rPr>
      </w:pPr>
      <w:bookmarkStart w:id="76" w:name="_Hlt88031774"/>
      <w:bookmarkEnd w:id="76"/>
      <w:bookmarkStart w:id="77" w:name="_Hlt88031741"/>
      <w:r>
        <w:rPr>
          <w:rFonts w:hint="eastAsia" w:cs="宋体" w:asciiTheme="minorEastAsia" w:hAnsiTheme="minorEastAsia"/>
          <w:b/>
          <w:bCs/>
          <w:sz w:val="18"/>
          <w:szCs w:val="18"/>
        </w:rPr>
        <w:t>（一）理财产品的认购</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1.</w:t>
      </w:r>
      <w:r>
        <w:rPr>
          <w:rFonts w:hint="eastAsia" w:cs="宋体" w:asciiTheme="minorEastAsia" w:hAnsiTheme="minorEastAsia"/>
          <w:b/>
          <w:bCs/>
          <w:sz w:val="18"/>
          <w:szCs w:val="18"/>
        </w:rPr>
        <w:t>认购的时间</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本产品认购期/募集期详见《产品说明书》“第二条 理财产品基本情况”。</w:t>
      </w:r>
      <w:r>
        <w:rPr>
          <w:rFonts w:cs="宋体" w:asciiTheme="minorEastAsia" w:hAnsiTheme="minorEastAsia" w:eastAsiaTheme="minorEastAsia"/>
          <w:color w:val="auto"/>
          <w:sz w:val="18"/>
          <w:szCs w:val="18"/>
          <w:lang w:val="en-US" w:eastAsia="zh-CN" w:bidi="ar-SA"/>
        </w:rPr>
        <w:t>产品管理人有权根据实际募集情况提前或延后产品成立日期，并</w:t>
      </w:r>
      <w:r>
        <w:rPr>
          <w:rFonts w:hint="eastAsia" w:cs="宋体" w:asciiTheme="minorEastAsia" w:hAnsiTheme="minorEastAsia" w:eastAsiaTheme="minorEastAsia"/>
          <w:color w:val="auto"/>
          <w:sz w:val="18"/>
          <w:szCs w:val="18"/>
          <w:lang w:val="en-US" w:eastAsia="zh-CN" w:bidi="ar-SA"/>
        </w:rPr>
        <w:t>相应调整其他产品要素，</w:t>
      </w:r>
      <w:r>
        <w:rPr>
          <w:rFonts w:cs="宋体" w:asciiTheme="minorEastAsia" w:hAnsiTheme="minorEastAsia" w:eastAsiaTheme="minorEastAsia"/>
          <w:color w:val="auto"/>
          <w:sz w:val="18"/>
          <w:szCs w:val="18"/>
          <w:lang w:val="en-US" w:eastAsia="zh-CN" w:bidi="ar-SA"/>
        </w:rPr>
        <w:t>将依约</w:t>
      </w:r>
      <w:r>
        <w:rPr>
          <w:rFonts w:hint="eastAsia" w:cs="宋体" w:asciiTheme="minorEastAsia" w:hAnsiTheme="minorEastAsia" w:eastAsiaTheme="minorEastAsia"/>
          <w:color w:val="auto"/>
          <w:sz w:val="18"/>
          <w:szCs w:val="18"/>
          <w:lang w:val="en-US" w:eastAsia="zh-CN" w:bidi="ar-SA"/>
        </w:rPr>
        <w:t>定进行公告。</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2.认购</w:t>
      </w:r>
      <w:r>
        <w:rPr>
          <w:rFonts w:hint="eastAsia" w:cs="宋体" w:asciiTheme="minorEastAsia" w:hAnsiTheme="minorEastAsia"/>
          <w:b/>
          <w:bCs/>
          <w:sz w:val="18"/>
          <w:szCs w:val="18"/>
        </w:rPr>
        <w:t>的方式</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产品成立之前</w:t>
      </w:r>
      <w:r>
        <w:rPr>
          <w:rFonts w:hint="eastAsia" w:cs="宋体" w:asciiTheme="minorEastAsia" w:hAnsiTheme="minorEastAsia" w:eastAsiaTheme="minorEastAsia"/>
          <w:color w:val="auto"/>
          <w:sz w:val="18"/>
          <w:szCs w:val="18"/>
          <w:lang w:val="en-US" w:eastAsia="zh-CN" w:bidi="ar-SA"/>
        </w:rPr>
        <w:t>，</w:t>
      </w:r>
      <w:r>
        <w:rPr>
          <w:rFonts w:cs="宋体" w:asciiTheme="minorEastAsia" w:hAnsiTheme="minorEastAsia" w:eastAsiaTheme="minorEastAsia"/>
          <w:color w:val="auto"/>
          <w:sz w:val="18"/>
          <w:szCs w:val="18"/>
          <w:lang w:val="en-US" w:eastAsia="zh-CN" w:bidi="ar-SA"/>
        </w:rPr>
        <w:t>投资者可通过</w:t>
      </w:r>
      <w:r>
        <w:rPr>
          <w:rFonts w:hint="eastAsia" w:cs="宋体" w:asciiTheme="minorEastAsia" w:hAnsiTheme="minorEastAsia" w:eastAsiaTheme="minorEastAsia"/>
          <w:color w:val="auto"/>
          <w:sz w:val="18"/>
          <w:szCs w:val="18"/>
          <w:lang w:val="en-US" w:eastAsia="zh-CN" w:bidi="ar-SA"/>
        </w:rPr>
        <w:t>销售机构销售</w:t>
      </w:r>
      <w:r>
        <w:rPr>
          <w:rFonts w:cs="宋体" w:asciiTheme="minorEastAsia" w:hAnsiTheme="minorEastAsia" w:eastAsiaTheme="minorEastAsia"/>
          <w:color w:val="auto"/>
          <w:sz w:val="18"/>
          <w:szCs w:val="18"/>
          <w:lang w:val="en-US" w:eastAsia="zh-CN" w:bidi="ar-SA"/>
        </w:rPr>
        <w:t>渠道</w:t>
      </w:r>
      <w:r>
        <w:rPr>
          <w:rFonts w:hint="eastAsia" w:cs="宋体" w:asciiTheme="minorEastAsia" w:hAnsiTheme="minorEastAsia" w:eastAsiaTheme="minorEastAsia"/>
          <w:color w:val="auto"/>
          <w:sz w:val="18"/>
          <w:szCs w:val="18"/>
          <w:lang w:val="en-US" w:eastAsia="zh-CN" w:bidi="ar-SA"/>
        </w:rPr>
        <w:t>认购</w:t>
      </w:r>
      <w:r>
        <w:rPr>
          <w:rFonts w:cs="宋体" w:asciiTheme="minorEastAsia" w:hAnsiTheme="minorEastAsia" w:eastAsiaTheme="minorEastAsia"/>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投资者通过</w:t>
      </w:r>
      <w:r>
        <w:rPr>
          <w:rFonts w:hint="eastAsia" w:cs="宋体" w:asciiTheme="minorEastAsia" w:hAnsiTheme="minorEastAsia" w:eastAsiaTheme="minorEastAsia"/>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投资者通过</w:t>
      </w:r>
      <w:r>
        <w:rPr>
          <w:rFonts w:hint="eastAsia" w:cs="宋体" w:asciiTheme="minorEastAsia" w:hAnsiTheme="minorEastAsia" w:eastAsiaTheme="minorEastAsia"/>
          <w:color w:val="auto"/>
          <w:sz w:val="18"/>
          <w:szCs w:val="18"/>
          <w:lang w:val="en-US" w:eastAsia="zh-CN" w:bidi="ar-SA"/>
        </w:rPr>
        <w:t>销售机构线上渠道认购的，</w:t>
      </w:r>
      <w:r>
        <w:rPr>
          <w:rFonts w:hint="eastAsia" w:eastAsia="宋体" w:cs="宋体" w:asciiTheme="minorEastAsia" w:hAnsiTheme="minorEastAsia"/>
          <w:bCs/>
          <w:color w:val="auto"/>
          <w:sz w:val="18"/>
          <w:szCs w:val="18"/>
          <w:lang w:val="en-US" w:eastAsia="zh-CN" w:bidi="ar-SA"/>
        </w:rPr>
        <w:t>应根据</w:t>
      </w:r>
      <w:r>
        <w:rPr>
          <w:rFonts w:hint="eastAsia" w:cs="宋体" w:asciiTheme="minorEastAsia" w:hAnsiTheme="minorEastAsia" w:eastAsiaTheme="minorEastAsia"/>
          <w:color w:val="auto"/>
          <w:sz w:val="18"/>
          <w:szCs w:val="18"/>
          <w:lang w:val="en-US" w:eastAsia="zh-CN" w:bidi="ar-SA"/>
        </w:rPr>
        <w:t>销售机构</w:t>
      </w:r>
      <w:r>
        <w:rPr>
          <w:rFonts w:hint="eastAsia" w:eastAsia="宋体" w:cs="宋体" w:asciiTheme="minorEastAsia" w:hAnsiTheme="minorEastAsia"/>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eastAsia="宋体" w:cs="宋体" w:asciiTheme="minorEastAsia" w:hAnsiTheme="minorEastAsia"/>
          <w:b/>
          <w:bCs/>
          <w:color w:val="auto"/>
          <w:sz w:val="18"/>
          <w:szCs w:val="18"/>
          <w:lang w:val="en-US" w:eastAsia="zh-CN" w:bidi="ar-SA"/>
        </w:rPr>
        <w:t>3.</w:t>
      </w:r>
      <w:r>
        <w:rPr>
          <w:rFonts w:hint="eastAsia" w:eastAsia="宋体" w:cs="宋体" w:asciiTheme="minorEastAsia" w:hAnsiTheme="minorEastAsia"/>
          <w:b/>
          <w:bCs/>
          <w:color w:val="auto"/>
          <w:sz w:val="18"/>
          <w:szCs w:val="18"/>
          <w:lang w:val="en-US" w:eastAsia="zh-CN" w:bidi="ar-SA"/>
        </w:rPr>
        <w:t>认购的确认</w:t>
      </w:r>
    </w:p>
    <w:tbl>
      <w:tblPr>
        <w:tblStyle w:val="9"/>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cs="宋体"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cs="宋体"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cs="宋体"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cs="宋体"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cs="宋体"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cs="宋体"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认购期/募集期内投资者可提交认购申请。</w:t>
      </w:r>
      <w:r>
        <w:rPr>
          <w:rFonts w:hint="eastAsia" w:cs="宋体" w:asciiTheme="majorEastAsia" w:hAnsiTheme="majorEastAsia" w:eastAsiaTheme="majorEastAsia"/>
          <w:color w:val="000000"/>
          <w:sz w:val="18"/>
          <w:szCs w:val="18"/>
          <w:lang w:val="en-US" w:eastAsia="zh-CN" w:bidi="ar-SA"/>
        </w:rPr>
        <w:t>提交</w:t>
      </w:r>
      <w:r>
        <w:rPr>
          <w:rFonts w:cs="宋体" w:asciiTheme="majorEastAsia" w:hAnsiTheme="majorEastAsia" w:eastAsiaTheme="majorEastAsia"/>
          <w:color w:val="000000"/>
          <w:sz w:val="18"/>
          <w:szCs w:val="18"/>
          <w:lang w:val="en-US" w:eastAsia="zh-CN" w:bidi="ar-SA"/>
        </w:rPr>
        <w:t>认购</w:t>
      </w:r>
      <w:r>
        <w:rPr>
          <w:rFonts w:hint="eastAsia" w:cs="宋体" w:asciiTheme="majorEastAsia" w:hAnsiTheme="majorEastAsia" w:eastAsiaTheme="majorEastAsia"/>
          <w:color w:val="000000"/>
          <w:sz w:val="18"/>
          <w:szCs w:val="18"/>
          <w:lang w:val="en-US" w:eastAsia="zh-CN" w:bidi="ar-SA"/>
        </w:rPr>
        <w:t>申请并不代表认购成功，产品管理人将在认购确认日确认投资者是否认购成功，是否成功以管理人的确认结果为准</w:t>
      </w:r>
      <w:r>
        <w:rPr>
          <w:rFonts w:hint="eastAsia" w:cs="宋体" w:asciiTheme="minorEastAsia" w:hAnsiTheme="minorEastAsia" w:eastAsiaTheme="minorEastAsia"/>
          <w:color w:val="000000"/>
          <w:sz w:val="18"/>
          <w:szCs w:val="18"/>
          <w:lang w:val="en-US" w:eastAsia="zh-CN" w:bidi="ar-SA"/>
        </w:rPr>
        <w:t>。</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4</w:t>
      </w:r>
      <w:r>
        <w:rPr>
          <w:rFonts w:hint="eastAsia" w:cs="宋体" w:asciiTheme="minorEastAsia" w:hAnsiTheme="minorEastAsia"/>
          <w:b/>
          <w:bCs/>
          <w:sz w:val="18"/>
          <w:szCs w:val="18"/>
        </w:rPr>
        <w:t>.</w:t>
      </w:r>
      <w:r>
        <w:rPr>
          <w:rFonts w:cs="宋体" w:asciiTheme="minorEastAsia" w:hAnsiTheme="minorEastAsia"/>
          <w:b/>
          <w:bCs/>
          <w:sz w:val="18"/>
          <w:szCs w:val="18"/>
        </w:rPr>
        <w:t>认购的价格</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本产品的认购价格为每份理财份额人民币</w:t>
      </w:r>
      <w:r>
        <w:rPr>
          <w:rFonts w:cs="宋体" w:asciiTheme="minorEastAsia" w:hAnsiTheme="minorEastAsia" w:eastAsiaTheme="minorEastAsia"/>
          <w:color w:val="auto"/>
          <w:sz w:val="18"/>
          <w:szCs w:val="18"/>
          <w:lang w:val="en-US" w:eastAsia="zh-CN" w:bidi="ar-SA"/>
        </w:rPr>
        <w:t>1.00</w:t>
      </w:r>
      <w:r>
        <w:rPr>
          <w:rFonts w:hint="eastAsia" w:cs="宋体" w:asciiTheme="minorEastAsia" w:hAnsiTheme="minorEastAsia" w:eastAsiaTheme="minorEastAsia"/>
          <w:color w:val="auto"/>
          <w:sz w:val="18"/>
          <w:szCs w:val="18"/>
          <w:lang w:val="en-US" w:eastAsia="zh-CN" w:bidi="ar-SA"/>
        </w:rPr>
        <w:t>元。</w:t>
      </w:r>
    </w:p>
    <w:p>
      <w:pPr>
        <w:widowControl w:val="0"/>
        <w:autoSpaceDE w:val="0"/>
        <w:autoSpaceDN w:val="0"/>
        <w:adjustRightInd w:val="0"/>
        <w:spacing w:line="360" w:lineRule="auto"/>
        <w:ind w:firstLine="361" w:firstLineChars="200"/>
        <w:rPr>
          <w:rFonts w:cs="宋体" w:asciiTheme="minorEastAsia" w:hAnsiTheme="minorEastAsia" w:eastAsiaTheme="minorEastAsia"/>
          <w:b/>
          <w:color w:val="auto"/>
          <w:sz w:val="18"/>
          <w:szCs w:val="18"/>
          <w:lang w:val="en-US" w:eastAsia="zh-CN" w:bidi="ar-SA"/>
        </w:rPr>
      </w:pPr>
      <w:r>
        <w:rPr>
          <w:rFonts w:cs="宋体" w:asciiTheme="minorEastAsia" w:hAnsiTheme="minorEastAsia" w:eastAsiaTheme="minorEastAsia"/>
          <w:b/>
          <w:color w:val="auto"/>
          <w:sz w:val="18"/>
          <w:szCs w:val="18"/>
          <w:lang w:val="en-US" w:eastAsia="zh-CN" w:bidi="ar-SA"/>
        </w:rPr>
        <w:t>5</w:t>
      </w:r>
      <w:r>
        <w:rPr>
          <w:rFonts w:hint="eastAsia" w:cs="宋体" w:asciiTheme="minorEastAsia" w:hAnsiTheme="minorEastAsia" w:eastAsiaTheme="minorEastAsia"/>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cs="宋体" w:asciiTheme="minorEastAsia" w:hAnsiTheme="minorEastAsia"/>
          <w:sz w:val="18"/>
          <w:szCs w:val="18"/>
        </w:rPr>
        <w:t>详见</w:t>
      </w:r>
      <w:r>
        <w:rPr>
          <w:rFonts w:hint="eastAsia" w:cs="宋体" w:asciiTheme="minorEastAsia" w:hAnsiTheme="minorEastAsia" w:eastAsiaTheme="minorEastAsia"/>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6.认购份额的计算</w:t>
      </w:r>
      <w:r>
        <w:rPr>
          <w:rFonts w:hint="eastAsia" w:cs="宋体" w:asciiTheme="minorEastAsia" w:hAnsiTheme="minorEastAsia"/>
          <w:b/>
          <w:bCs/>
          <w:sz w:val="18"/>
          <w:szCs w:val="18"/>
        </w:rPr>
        <w:t xml:space="preserve"> </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18"/>
          <w:lang w:val="en-US" w:eastAsia="zh-CN" w:bidi="ar-SA"/>
        </w:rPr>
      </w:pPr>
      <w:r>
        <w:rPr>
          <w:rFonts w:hint="eastAsia" w:eastAsia="宋体" w:cs="宋体" w:asciiTheme="minorEastAsia" w:hAnsiTheme="minorEastAsia"/>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18"/>
          <w:lang w:val="en-US" w:eastAsia="zh-CN" w:bidi="ar-SA"/>
        </w:rPr>
      </w:pPr>
      <w:r>
        <w:rPr>
          <w:rFonts w:hint="eastAsia" w:eastAsia="宋体" w:cs="宋体" w:asciiTheme="minorEastAsia" w:hAnsiTheme="minorEastAsia"/>
          <w:color w:val="auto"/>
          <w:sz w:val="18"/>
          <w:szCs w:val="18"/>
          <w:lang w:val="en-US" w:eastAsia="zh-CN" w:bidi="ar-SA"/>
        </w:rPr>
        <w:t>净认购金额</w:t>
      </w:r>
      <w:r>
        <w:rPr>
          <w:rFonts w:eastAsia="宋体" w:cs="宋体" w:asciiTheme="minorEastAsia" w:hAnsiTheme="minorEastAsia"/>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18"/>
          <w:lang w:val="en-US" w:eastAsia="zh-CN" w:bidi="ar-SA"/>
        </w:rPr>
      </w:pPr>
      <w:r>
        <w:rPr>
          <w:rFonts w:hint="eastAsia" w:eastAsia="宋体" w:cs="宋体" w:asciiTheme="minorEastAsia" w:hAnsiTheme="minorEastAsia"/>
          <w:color w:val="auto"/>
          <w:sz w:val="18"/>
          <w:szCs w:val="18"/>
          <w:lang w:val="en-US" w:eastAsia="zh-CN" w:bidi="ar-SA"/>
        </w:rPr>
        <w:t>认购费用</w:t>
      </w:r>
      <w:r>
        <w:rPr>
          <w:rFonts w:eastAsia="宋体" w:cs="宋体" w:asciiTheme="minorEastAsia" w:hAnsiTheme="minorEastAsia"/>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18"/>
          <w:lang w:val="en-US" w:eastAsia="zh-CN" w:bidi="ar-SA"/>
        </w:rPr>
      </w:pPr>
      <w:r>
        <w:rPr>
          <w:rFonts w:hint="eastAsia" w:eastAsia="宋体" w:cs="宋体" w:asciiTheme="minorEastAsia" w:hAnsiTheme="minorEastAsia"/>
          <w:color w:val="auto"/>
          <w:sz w:val="18"/>
          <w:szCs w:val="18"/>
          <w:lang w:val="en-US" w:eastAsia="zh-CN" w:bidi="ar-SA"/>
        </w:rPr>
        <w:t>认购份额</w:t>
      </w:r>
      <w:r>
        <w:rPr>
          <w:rFonts w:eastAsia="宋体" w:cs="宋体" w:asciiTheme="minorEastAsia" w:hAnsiTheme="minorEastAsia"/>
          <w:color w:val="auto"/>
          <w:sz w:val="18"/>
          <w:szCs w:val="18"/>
          <w:lang w:val="en-US" w:eastAsia="zh-CN" w:bidi="ar-SA"/>
        </w:rPr>
        <w:t>=净认购金额/</w:t>
      </w:r>
      <w:r>
        <w:rPr>
          <w:rFonts w:cs="宋体" w:asciiTheme="minorEastAsia" w:hAnsiTheme="minorEastAsia" w:eastAsiaTheme="minorEastAsia"/>
          <w:color w:val="auto"/>
          <w:sz w:val="18"/>
          <w:szCs w:val="18"/>
          <w:lang w:val="en-US" w:eastAsia="zh-CN" w:bidi="ar-SA"/>
        </w:rPr>
        <w:t>1.00</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上述计算结果均按四舍五入方法，保留到小数点后</w:t>
      </w:r>
      <w:r>
        <w:rPr>
          <w:rFonts w:eastAsia="宋体" w:cs="宋体" w:asciiTheme="minorEastAsia" w:hAnsiTheme="minorEastAsia"/>
          <w:bCs/>
          <w:color w:val="auto"/>
          <w:sz w:val="18"/>
          <w:szCs w:val="18"/>
          <w:lang w:val="en-US" w:eastAsia="zh-CN" w:bidi="ar-SA"/>
        </w:rPr>
        <w:t>2</w:t>
      </w:r>
      <w:r>
        <w:rPr>
          <w:rFonts w:hint="eastAsia" w:eastAsia="宋体" w:cs="宋体" w:asciiTheme="minorEastAsia" w:hAnsiTheme="minorEastAsia"/>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cs="宋体" w:asciiTheme="majorEastAsia" w:hAnsiTheme="majorEastAsia" w:eastAsiaTheme="majorEastAsia"/>
          <w:b/>
          <w:color w:val="auto"/>
          <w:sz w:val="18"/>
          <w:szCs w:val="18"/>
          <w:lang w:val="en-US" w:eastAsia="zh-CN" w:bidi="ar-SA"/>
        </w:rPr>
        <w:t>7</w:t>
      </w:r>
      <w:r>
        <w:rPr>
          <w:rFonts w:hint="eastAsia" w:cs="宋体" w:asciiTheme="majorEastAsia" w:hAnsiTheme="majorEastAsia" w:eastAsiaTheme="majorEastAsia"/>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cs="宋体" w:asciiTheme="minorEastAsia" w:hAnsiTheme="minorEastAsia" w:eastAsiaTheme="minorEastAsia"/>
          <w:b/>
          <w:color w:val="auto"/>
          <w:sz w:val="18"/>
          <w:szCs w:val="18"/>
          <w:lang w:val="en-US" w:eastAsia="zh-CN" w:bidi="ar-SA"/>
        </w:rPr>
      </w:pPr>
      <w:r>
        <w:rPr>
          <w:rFonts w:cs="宋体" w:asciiTheme="minorEastAsia" w:hAnsiTheme="minorEastAsia" w:eastAsiaTheme="minorEastAsia"/>
          <w:b/>
          <w:color w:val="auto"/>
          <w:sz w:val="18"/>
          <w:szCs w:val="18"/>
          <w:lang w:val="en-US" w:eastAsia="zh-CN" w:bidi="ar-SA"/>
        </w:rPr>
        <w:t>8.认购的数量限制</w:t>
      </w:r>
    </w:p>
    <w:p>
      <w:pPr>
        <w:spacing w:line="360" w:lineRule="auto"/>
        <w:ind w:firstLine="360" w:firstLineChars="20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详见《产品说明书》“第二条 理财产品基本情况”。</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9.募集期认购资金利息的处理</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投资者认购资金在产品认购期内产生的利息不作为理财资金进入运作，不计算理财利益。</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inorEastAsia" w:hAnsiTheme="minorEastAsia" w:eastAsiaTheme="minorEastAsia"/>
          <w:b/>
          <w:color w:val="auto"/>
          <w:sz w:val="18"/>
          <w:szCs w:val="18"/>
          <w:lang w:val="en-US" w:eastAsia="zh-CN" w:bidi="ar-SA"/>
        </w:rPr>
        <w:t>（二）认购</w:t>
      </w:r>
      <w:r>
        <w:rPr>
          <w:rFonts w:hint="eastAsia" w:cs="宋体" w:asciiTheme="majorEastAsia" w:hAnsiTheme="majorEastAsia" w:eastAsiaTheme="majorEastAsia"/>
          <w:b/>
          <w:color w:val="auto"/>
          <w:sz w:val="18"/>
          <w:szCs w:val="18"/>
          <w:lang w:val="en-US" w:eastAsia="zh-CN" w:bidi="ar-SA"/>
        </w:rPr>
        <w:t>的原则</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1.</w:t>
      </w:r>
      <w:r>
        <w:rPr>
          <w:rFonts w:cs="宋体" w:asciiTheme="majorEastAsia" w:hAnsiTheme="majorEastAsia" w:eastAsiaTheme="majorEastAsia"/>
          <w:color w:val="auto"/>
          <w:sz w:val="18"/>
          <w:szCs w:val="18"/>
          <w:lang w:val="en-US" w:eastAsia="zh-CN" w:bidi="ar-SA"/>
        </w:rPr>
        <w:t>“</w:t>
      </w:r>
      <w:r>
        <w:rPr>
          <w:rFonts w:hint="eastAsia" w:cs="宋体" w:asciiTheme="majorEastAsia" w:hAnsiTheme="majorEastAsia" w:eastAsiaTheme="majorEastAsia"/>
          <w:color w:val="auto"/>
          <w:sz w:val="18"/>
          <w:szCs w:val="18"/>
          <w:lang w:val="en-US" w:eastAsia="zh-CN" w:bidi="ar-SA"/>
        </w:rPr>
        <w:t>金额认购</w:t>
      </w:r>
      <w:r>
        <w:rPr>
          <w:rFonts w:cs="宋体" w:asciiTheme="majorEastAsia" w:hAnsiTheme="majorEastAsia" w:eastAsiaTheme="majorEastAsia"/>
          <w:color w:val="auto"/>
          <w:sz w:val="18"/>
          <w:szCs w:val="18"/>
          <w:lang w:val="en-US" w:eastAsia="zh-CN" w:bidi="ar-SA"/>
        </w:rPr>
        <w:t>”</w:t>
      </w:r>
      <w:r>
        <w:rPr>
          <w:rFonts w:hint="eastAsia" w:cs="宋体" w:asciiTheme="majorEastAsia" w:hAnsiTheme="majorEastAsia" w:eastAsiaTheme="majorEastAsia"/>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.认购</w:t>
      </w:r>
      <w:r>
        <w:rPr>
          <w:rFonts w:cs="宋体" w:asciiTheme="majorEastAsia" w:hAnsiTheme="majorEastAsia" w:eastAsiaTheme="majorEastAsia"/>
          <w:color w:val="auto"/>
          <w:sz w:val="18"/>
          <w:szCs w:val="18"/>
          <w:lang w:val="en-US" w:eastAsia="zh-CN" w:bidi="ar-SA"/>
        </w:rPr>
        <w:t>申请可以在对应认购期截止前撤销，最终申</w:t>
      </w:r>
      <w:r>
        <w:rPr>
          <w:rFonts w:hint="eastAsia" w:cs="宋体" w:asciiTheme="majorEastAsia" w:hAnsiTheme="majorEastAsia" w:eastAsiaTheme="majorEastAsia"/>
          <w:color w:val="auto"/>
          <w:sz w:val="18"/>
          <w:szCs w:val="18"/>
          <w:lang w:val="en-US" w:eastAsia="zh-CN" w:bidi="ar-SA"/>
        </w:rPr>
        <w:t>请</w:t>
      </w:r>
      <w:r>
        <w:rPr>
          <w:rFonts w:cs="宋体" w:asciiTheme="majorEastAsia" w:hAnsiTheme="majorEastAsia" w:eastAsiaTheme="majorEastAsia"/>
          <w:color w:val="auto"/>
          <w:sz w:val="18"/>
          <w:szCs w:val="18"/>
          <w:lang w:val="en-US" w:eastAsia="zh-CN" w:bidi="ar-SA"/>
        </w:rPr>
        <w:t>确认情况以投资者在</w:t>
      </w:r>
      <w:r>
        <w:rPr>
          <w:rFonts w:hint="eastAsia" w:cs="宋体" w:asciiTheme="majorEastAsia" w:hAnsiTheme="majorEastAsia" w:eastAsiaTheme="majorEastAsia"/>
          <w:color w:val="auto"/>
          <w:sz w:val="18"/>
          <w:szCs w:val="18"/>
          <w:lang w:val="en-US" w:eastAsia="zh-CN" w:bidi="ar-SA"/>
        </w:rPr>
        <w:t>销售机构线下渠道</w:t>
      </w:r>
      <w:r>
        <w:rPr>
          <w:rFonts w:cs="宋体" w:asciiTheme="majorEastAsia" w:hAnsiTheme="majorEastAsia" w:eastAsiaTheme="majorEastAsia"/>
          <w:color w:val="auto"/>
          <w:sz w:val="18"/>
          <w:szCs w:val="18"/>
          <w:lang w:val="en-US" w:eastAsia="zh-CN" w:bidi="ar-SA"/>
        </w:rPr>
        <w:t>或线上渠道确认的结果为准。</w:t>
      </w:r>
    </w:p>
    <w:p>
      <w:pPr>
        <w:spacing w:line="360" w:lineRule="auto"/>
        <w:ind w:firstLine="271" w:firstLineChars="150"/>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（三）拒绝或暂停认购的情形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发生下列情况时，产品管理人可拒绝或暂停接受投资者的认购</w:t>
      </w:r>
      <w:r>
        <w:rPr>
          <w:rFonts w:cs="宋体" w:asciiTheme="majorEastAsia" w:hAnsiTheme="majorEastAsia" w:eastAsiaTheme="majorEastAsia"/>
          <w:color w:val="auto"/>
          <w:sz w:val="18"/>
          <w:szCs w:val="18"/>
          <w:lang w:val="en-US" w:eastAsia="zh-CN" w:bidi="ar-SA"/>
        </w:rPr>
        <w:t>申请：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1</w:t>
      </w:r>
      <w:r>
        <w:rPr>
          <w:rFonts w:hint="eastAsia" w:cs="宋体" w:asciiTheme="majorEastAsia" w:hAnsiTheme="majorEastAsia" w:eastAsiaTheme="majorEastAsia"/>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3</w:t>
      </w:r>
      <w:r>
        <w:rPr>
          <w:rFonts w:hint="eastAsia" w:cs="宋体" w:asciiTheme="majorEastAsia" w:hAnsiTheme="majorEastAsia" w:eastAsiaTheme="majorEastAsia"/>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前述日期（包括但不限于认购期及</w:t>
      </w:r>
      <w:r>
        <w:rPr>
          <w:rFonts w:cs="宋体" w:asciiTheme="majorEastAsia" w:hAnsiTheme="majorEastAsia" w:eastAsiaTheme="majorEastAsia"/>
          <w:color w:val="auto"/>
          <w:sz w:val="18"/>
          <w:szCs w:val="18"/>
          <w:lang w:val="en-US" w:eastAsia="zh-CN" w:bidi="ar-SA"/>
        </w:rPr>
        <w:t>认购确认日</w:t>
      </w:r>
      <w:r>
        <w:rPr>
          <w:rFonts w:hint="eastAsia" w:cs="宋体" w:asciiTheme="majorEastAsia" w:hAnsiTheme="majorEastAsia" w:eastAsiaTheme="majorEastAsia"/>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hint="eastAsia" w:eastAsia="宋体" w:cs="宋体" w:asciiTheme="minorEastAsia" w:hAnsiTheme="minorEastAsia"/>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产品管理人有权决定理财份额持有人持有本产品的最高限额、最低限额和本产品的总规模限额。</w:t>
      </w:r>
    </w:p>
    <w:p>
      <w:pPr>
        <w:spacing w:line="360" w:lineRule="auto"/>
        <w:ind w:firstLine="360" w:firstLineChars="200"/>
        <w:rPr>
          <w:rFonts w:cs="宋体" w:asciiTheme="minorEastAsia" w:hAnsiTheme="minorEastAsia"/>
          <w:bCs/>
          <w:sz w:val="18"/>
          <w:szCs w:val="18"/>
        </w:rPr>
      </w:pPr>
    </w:p>
    <w:p>
      <w:pPr>
        <w:widowControl/>
        <w:spacing w:line="360" w:lineRule="auto"/>
        <w:jc w:val="left"/>
        <w:rPr>
          <w:rFonts w:cs="宋体" w:asciiTheme="minorEastAsia" w:hAnsiTheme="minorEastAsia"/>
          <w:bCs/>
          <w:sz w:val="18"/>
          <w:szCs w:val="18"/>
        </w:rPr>
      </w:pPr>
      <w:r>
        <w:rPr>
          <w:rFonts w:cs="宋体" w:asciiTheme="minorEastAsia" w:hAnsiTheme="minorEastAsia"/>
          <w:bCs/>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8" w:name="_Toc79154667"/>
      <w:bookmarkStart w:id="79" w:name="_Toc176189281"/>
      <w:bookmarkStart w:id="80" w:name="_Toc28773"/>
      <w:r>
        <w:rPr>
          <w:rFonts w:hint="eastAsia" w:ascii="Times New Roman" w:hAnsi="Calibri" w:eastAsia="宋体" w:cs="宋体"/>
          <w:b/>
          <w:bCs/>
          <w:kern w:val="44"/>
          <w:sz w:val="30"/>
          <w:szCs w:val="44"/>
          <w:lang w:val="en-US" w:eastAsia="zh-CN" w:bidi="ar-SA"/>
        </w:rPr>
        <w:t xml:space="preserve">第四条 </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8"/>
      <w:bookmarkEnd w:id="79"/>
      <w:bookmarkEnd w:id="80"/>
    </w:p>
    <w:bookmarkEnd w:id="77"/>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hint="eastAsia" w:eastAsia="宋体" w:cs="宋体" w:asciiTheme="minorEastAsia" w:hAnsiTheme="minorEastAsia"/>
          <w:b/>
          <w:bCs/>
          <w:color w:val="auto"/>
          <w:sz w:val="18"/>
          <w:szCs w:val="18"/>
          <w:lang w:val="en-US" w:eastAsia="zh-CN" w:bidi="ar-SA"/>
        </w:rPr>
        <w:t>（一）理财产品的申购</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eastAsia="宋体" w:cs="宋体" w:asciiTheme="minorEastAsia" w:hAnsiTheme="minorEastAsia"/>
          <w:b/>
          <w:bCs/>
          <w:color w:val="auto"/>
          <w:sz w:val="18"/>
          <w:szCs w:val="18"/>
          <w:lang w:val="en-US" w:eastAsia="zh-CN" w:bidi="ar-SA"/>
        </w:rPr>
        <w:t>1.</w:t>
      </w:r>
      <w:r>
        <w:rPr>
          <w:rFonts w:hint="eastAsia" w:eastAsia="宋体" w:cs="宋体" w:asciiTheme="minorEastAsia" w:hAnsiTheme="minorEastAsia"/>
          <w:b/>
          <w:bCs/>
          <w:color w:val="auto"/>
          <w:sz w:val="18"/>
          <w:szCs w:val="18"/>
          <w:lang w:val="en-US" w:eastAsia="zh-CN" w:bidi="ar-SA"/>
        </w:rPr>
        <w:t>申购的时间</w:t>
      </w:r>
    </w:p>
    <w:p>
      <w:pPr>
        <w:widowControl w:val="0"/>
        <w:autoSpaceDE w:val="0"/>
        <w:autoSpaceDN w:val="0"/>
        <w:adjustRightInd w:val="0"/>
        <w:spacing w:line="360" w:lineRule="auto"/>
        <w:ind w:firstLine="360" w:firstLineChars="200"/>
        <w:rPr>
          <w:rFonts w:eastAsia="宋体" w:cs="宋体" w:asciiTheme="majorEastAsia" w:hAnsiTheme="majorEastAsia"/>
          <w:color w:val="000000"/>
          <w:sz w:val="18"/>
          <w:szCs w:val="24"/>
          <w:lang w:val="en-US" w:eastAsia="zh-CN" w:bidi="ar-SA"/>
        </w:rPr>
      </w:pPr>
      <w:r>
        <w:rPr>
          <w:rFonts w:hint="eastAsia" w:eastAsia="宋体" w:cs="宋体" w:asciiTheme="majorEastAsia" w:hAnsiTheme="majorEastAsia"/>
          <w:color w:val="auto"/>
          <w:sz w:val="18"/>
          <w:szCs w:val="24"/>
          <w:lang w:val="en-US" w:eastAsia="zh-CN" w:bidi="ar-SA"/>
        </w:rPr>
        <w:t>本产品设置开放期，</w:t>
      </w:r>
      <w:r>
        <w:rPr>
          <w:rFonts w:hint="eastAsia" w:cs="宋体" w:asciiTheme="majorEastAsia" w:hAnsiTheme="majorEastAsia" w:eastAsiaTheme="majorEastAsia"/>
          <w:bCs/>
          <w:color w:val="auto"/>
          <w:sz w:val="18"/>
          <w:szCs w:val="18"/>
          <w:lang w:val="en-US" w:eastAsia="zh-CN" w:bidi="ar-SA"/>
        </w:rPr>
        <w:t>具体的申购时间以</w:t>
      </w:r>
      <w:r>
        <w:rPr>
          <w:rFonts w:hint="eastAsia" w:cs="宋体" w:asciiTheme="minorEastAsia" w:hAnsiTheme="minorEastAsia" w:eastAsiaTheme="minorEastAsia"/>
          <w:color w:val="auto"/>
          <w:sz w:val="18"/>
          <w:szCs w:val="18"/>
          <w:lang w:val="en-US" w:eastAsia="zh-CN" w:bidi="ar-SA"/>
        </w:rPr>
        <w:t>《产品说明书》“第二条 理财产品基本情况”</w:t>
      </w:r>
      <w:r>
        <w:rPr>
          <w:rFonts w:hint="eastAsia" w:cs="宋体" w:asciiTheme="majorEastAsia" w:hAnsiTheme="majorEastAsia" w:eastAsiaTheme="majorEastAsia"/>
          <w:bCs/>
          <w:color w:val="auto"/>
          <w:sz w:val="18"/>
          <w:szCs w:val="18"/>
          <w:lang w:val="en-US" w:eastAsia="zh-CN" w:bidi="ar-SA"/>
        </w:rPr>
        <w:t>为准。</w:t>
      </w:r>
      <w:r>
        <w:rPr>
          <w:rFonts w:hint="eastAsia" w:eastAsia="宋体" w:cs="宋体" w:asciiTheme="minorEastAsia" w:hAnsiTheme="minorEastAsia"/>
          <w:color w:val="000000"/>
          <w:sz w:val="18"/>
          <w:szCs w:val="18"/>
          <w:lang w:val="en-US" w:eastAsia="zh-CN" w:bidi="ar-SA"/>
        </w:rPr>
        <w:t>投资者可于开放日内申购，产品管理人公告暂停开放的日期除外</w:t>
      </w:r>
      <w:r>
        <w:rPr>
          <w:rFonts w:hint="eastAsia" w:cs="宋体" w:asciiTheme="majorEastAsia" w:hAnsiTheme="majorEastAsia" w:eastAsiaTheme="majorEastAsia"/>
          <w:bCs/>
          <w:color w:val="000000"/>
          <w:sz w:val="18"/>
          <w:szCs w:val="18"/>
          <w:lang w:val="en-US" w:eastAsia="zh-CN" w:bidi="ar-SA"/>
        </w:rPr>
        <w:t>。</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hint="eastAsia" w:eastAsia="宋体" w:cs="宋体" w:asciiTheme="minorEastAsia" w:hAnsiTheme="minorEastAsia"/>
          <w:b/>
          <w:bCs/>
          <w:color w:val="auto"/>
          <w:sz w:val="18"/>
          <w:szCs w:val="18"/>
          <w:lang w:val="en-US" w:eastAsia="zh-CN" w:bidi="ar-SA"/>
        </w:rPr>
        <w:t>2.申购的方式</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eastAsia="宋体" w:cs="宋体" w:asciiTheme="minorEastAsia" w:hAnsiTheme="minorEastAsia"/>
          <w:bCs/>
          <w:color w:val="auto"/>
          <w:sz w:val="18"/>
          <w:szCs w:val="18"/>
          <w:lang w:val="en-US" w:eastAsia="zh-CN" w:bidi="ar-SA"/>
        </w:rPr>
        <w:t>投资者可通过</w:t>
      </w:r>
      <w:r>
        <w:rPr>
          <w:rFonts w:hint="eastAsia" w:eastAsia="宋体" w:cs="宋体" w:asciiTheme="minorEastAsia" w:hAnsiTheme="minorEastAsia"/>
          <w:bCs/>
          <w:color w:val="auto"/>
          <w:sz w:val="18"/>
          <w:szCs w:val="18"/>
          <w:lang w:val="en-US" w:eastAsia="zh-CN" w:bidi="ar-SA"/>
        </w:rPr>
        <w:t>销售机构的销售</w:t>
      </w:r>
      <w:r>
        <w:rPr>
          <w:rFonts w:eastAsia="宋体" w:cs="宋体" w:asciiTheme="minorEastAsia" w:hAnsiTheme="minorEastAsia"/>
          <w:bCs/>
          <w:color w:val="auto"/>
          <w:sz w:val="18"/>
          <w:szCs w:val="18"/>
          <w:lang w:val="en-US" w:eastAsia="zh-CN" w:bidi="ar-SA"/>
        </w:rPr>
        <w:t>渠道</w:t>
      </w:r>
      <w:r>
        <w:rPr>
          <w:rFonts w:hint="eastAsia" w:eastAsia="宋体" w:cs="宋体" w:asciiTheme="minorEastAsia" w:hAnsiTheme="minorEastAsia"/>
          <w:bCs/>
          <w:color w:val="auto"/>
          <w:sz w:val="18"/>
          <w:szCs w:val="18"/>
          <w:lang w:val="en-US" w:eastAsia="zh-CN" w:bidi="ar-SA"/>
        </w:rPr>
        <w:t>申购。不同销售机构</w:t>
      </w:r>
      <w:r>
        <w:rPr>
          <w:rFonts w:eastAsia="宋体" w:cs="宋体" w:asciiTheme="minorEastAsia" w:hAnsiTheme="minorEastAsia"/>
          <w:bCs/>
          <w:color w:val="auto"/>
          <w:sz w:val="18"/>
          <w:szCs w:val="18"/>
          <w:lang w:val="en-US" w:eastAsia="zh-CN" w:bidi="ar-SA"/>
        </w:rPr>
        <w:t>的销售</w:t>
      </w:r>
      <w:r>
        <w:rPr>
          <w:rFonts w:hint="eastAsia" w:eastAsia="宋体" w:cs="宋体" w:asciiTheme="minorEastAsia" w:hAnsiTheme="minorEastAsia"/>
          <w:bCs/>
          <w:color w:val="auto"/>
          <w:sz w:val="18"/>
          <w:szCs w:val="18"/>
          <w:lang w:val="en-US" w:eastAsia="zh-CN" w:bidi="ar-SA"/>
        </w:rPr>
        <w:t>渠道，申购确认时效可能存在</w:t>
      </w:r>
      <w:r>
        <w:rPr>
          <w:rFonts w:eastAsia="宋体" w:cs="宋体" w:asciiTheme="minorEastAsia" w:hAnsiTheme="minorEastAsia"/>
          <w:bCs/>
          <w:color w:val="auto"/>
          <w:sz w:val="18"/>
          <w:szCs w:val="18"/>
          <w:lang w:val="en-US" w:eastAsia="zh-CN" w:bidi="ar-SA"/>
        </w:rPr>
        <w:t>差异</w:t>
      </w:r>
      <w:r>
        <w:rPr>
          <w:rFonts w:hint="eastAsia" w:eastAsia="宋体" w:cs="宋体" w:asciiTheme="minorEastAsia" w:hAnsiTheme="min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eastAsia="宋体" w:cs="宋体" w:asciiTheme="minorEastAsia" w:hAnsiTheme="minorEastAsia"/>
          <w:bCs/>
          <w:color w:val="auto"/>
          <w:sz w:val="18"/>
          <w:szCs w:val="18"/>
          <w:lang w:val="en-US" w:eastAsia="zh-CN" w:bidi="ar-SA"/>
        </w:rPr>
        <w:t>投资者通过</w:t>
      </w:r>
      <w:r>
        <w:rPr>
          <w:rFonts w:hint="eastAsia" w:eastAsia="宋体" w:cs="宋体" w:asciiTheme="minorEastAsia" w:hAnsiTheme="minorEastAsia"/>
          <w:bCs/>
          <w:color w:val="auto"/>
          <w:sz w:val="18"/>
          <w:szCs w:val="18"/>
          <w:lang w:val="en-US" w:eastAsia="zh-CN" w:bidi="ar-SA"/>
        </w:rPr>
        <w:t>销售机构线下</w:t>
      </w:r>
      <w:r>
        <w:rPr>
          <w:rFonts w:eastAsia="宋体" w:cs="宋体" w:asciiTheme="minorEastAsia" w:hAnsiTheme="minorEastAsia"/>
          <w:bCs/>
          <w:color w:val="auto"/>
          <w:sz w:val="18"/>
          <w:szCs w:val="18"/>
          <w:lang w:val="en-US" w:eastAsia="zh-CN" w:bidi="ar-SA"/>
        </w:rPr>
        <w:t>渠道申购</w:t>
      </w:r>
      <w:r>
        <w:rPr>
          <w:rFonts w:hint="eastAsia" w:eastAsia="宋体" w:cs="宋体" w:asciiTheme="minorEastAsia" w:hAnsiTheme="minorEastAsia"/>
          <w:bCs/>
          <w:color w:val="auto"/>
          <w:sz w:val="18"/>
          <w:szCs w:val="18"/>
          <w:lang w:val="en-US" w:eastAsia="zh-CN" w:bidi="ar-SA"/>
        </w:rPr>
        <w:t>的，应签署有关理财产品销售文件。</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投资者通过销售机构线上渠道申购的，应根据销售机构线上渠道的具体要求执行。</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eastAsia="宋体" w:cs="宋体" w:asciiTheme="minorEastAsia" w:hAnsiTheme="minorEastAsia"/>
          <w:b/>
          <w:bCs/>
          <w:color w:val="auto"/>
          <w:sz w:val="18"/>
          <w:szCs w:val="18"/>
          <w:lang w:val="en-US" w:eastAsia="zh-CN" w:bidi="ar-SA"/>
        </w:rPr>
        <w:t>3.</w:t>
      </w:r>
      <w:r>
        <w:rPr>
          <w:rFonts w:hint="eastAsia" w:eastAsia="宋体" w:cs="宋体" w:asciiTheme="minorEastAsia" w:hAnsiTheme="minorEastAsia"/>
          <w:b/>
          <w:bCs/>
          <w:color w:val="auto"/>
          <w:sz w:val="18"/>
          <w:szCs w:val="18"/>
          <w:lang w:val="en-US" w:eastAsia="zh-CN" w:bidi="ar-SA"/>
        </w:rPr>
        <w:t>申购的确认</w:t>
      </w:r>
    </w:p>
    <w:p>
      <w:pPr>
        <w:spacing w:line="360" w:lineRule="auto"/>
        <w:ind w:firstLine="360" w:firstLineChars="200"/>
        <w:rPr>
          <w:rFonts w:cs="宋体" w:asciiTheme="minorEastAsia" w:hAnsiTheme="minorEastAsia"/>
          <w:bCs/>
          <w:sz w:val="18"/>
          <w:szCs w:val="18"/>
        </w:rPr>
      </w:pPr>
      <w:r>
        <w:rPr>
          <w:rFonts w:hint="eastAsia" w:cs="宋体" w:asciiTheme="minorEastAsia" w:hAnsiTheme="minorEastAsia"/>
          <w:sz w:val="18"/>
          <w:szCs w:val="18"/>
        </w:rPr>
        <w:t>详见《产品说明书》“第二条 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0" w:firstLineChars="200"/>
        <w:rPr>
          <w:rFonts w:eastAsia="宋体" w:cs="宋体" w:asciiTheme="minorEastAsia" w:hAnsiTheme="minorEastAsia"/>
          <w:color w:val="auto"/>
          <w:sz w:val="18"/>
          <w:szCs w:val="24"/>
          <w:lang w:val="en-US" w:eastAsia="zh-CN" w:bidi="ar-SA"/>
        </w:rPr>
      </w:pPr>
      <w:r>
        <w:rPr>
          <w:rFonts w:hint="eastAsia" w:cs="宋体" w:asciiTheme="majorEastAsia" w:hAnsiTheme="majorEastAsia" w:eastAsiaTheme="majorEastAsia"/>
          <w:color w:val="auto"/>
          <w:sz w:val="18"/>
          <w:szCs w:val="18"/>
          <w:lang w:val="en-US" w:eastAsia="zh-CN" w:bidi="ar-SA"/>
        </w:rPr>
        <w:t>提交申购申请并不代表申购成功，产品管理人将在申购确认日确认投资者是否申购成功，是否成功以管理人的确认结果为准</w:t>
      </w:r>
      <w:r>
        <w:rPr>
          <w:rFonts w:hint="eastAsia" w:cs="宋体" w:asciiTheme="minorEastAsia" w:hAnsiTheme="minorEastAsia" w:eastAsiaTheme="minorEastAsia"/>
          <w:color w:val="auto"/>
          <w:sz w:val="18"/>
          <w:szCs w:val="18"/>
          <w:lang w:val="en-US" w:eastAsia="zh-CN" w:bidi="ar-SA"/>
        </w:rPr>
        <w:t>。</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4</w:t>
      </w:r>
      <w:r>
        <w:rPr>
          <w:rFonts w:hint="eastAsia" w:cs="宋体" w:asciiTheme="minorEastAsia" w:hAnsiTheme="minorEastAsia"/>
          <w:b/>
          <w:bCs/>
          <w:sz w:val="18"/>
          <w:szCs w:val="18"/>
        </w:rPr>
        <w:t>.申购</w:t>
      </w:r>
      <w:r>
        <w:rPr>
          <w:rFonts w:cs="宋体" w:asciiTheme="minorEastAsia" w:hAnsiTheme="minorEastAsia"/>
          <w:b/>
          <w:bCs/>
          <w:sz w:val="18"/>
          <w:szCs w:val="18"/>
        </w:rPr>
        <w:t>的价格</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本产品的申购价格为每份理财份额人民币</w:t>
      </w:r>
      <w:r>
        <w:rPr>
          <w:rFonts w:cs="宋体" w:asciiTheme="minorEastAsia" w:hAnsiTheme="minorEastAsia" w:eastAsiaTheme="minorEastAsia"/>
          <w:color w:val="auto"/>
          <w:sz w:val="18"/>
          <w:szCs w:val="18"/>
          <w:lang w:val="en-US" w:eastAsia="zh-CN" w:bidi="ar-SA"/>
        </w:rPr>
        <w:t>1.00</w:t>
      </w:r>
      <w:r>
        <w:rPr>
          <w:rFonts w:hint="eastAsia" w:cs="宋体" w:asciiTheme="minorEastAsia" w:hAnsiTheme="minorEastAsia" w:eastAsiaTheme="minorEastAsia"/>
          <w:color w:val="auto"/>
          <w:sz w:val="18"/>
          <w:szCs w:val="18"/>
          <w:lang w:val="en-US" w:eastAsia="zh-CN" w:bidi="ar-SA"/>
        </w:rPr>
        <w:t>元。</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5.</w:t>
      </w:r>
      <w:r>
        <w:rPr>
          <w:rFonts w:hint="eastAsia" w:cs="宋体" w:asciiTheme="minorEastAsia" w:hAnsiTheme="minorEastAsia"/>
          <w:b/>
          <w:bCs/>
          <w:sz w:val="18"/>
          <w:szCs w:val="18"/>
        </w:rPr>
        <w:t>申购的</w:t>
      </w:r>
      <w:r>
        <w:rPr>
          <w:rFonts w:cs="宋体" w:asciiTheme="minorEastAsia" w:hAnsiTheme="minorEastAsia"/>
          <w:b/>
          <w:bCs/>
          <w:sz w:val="18"/>
          <w:szCs w:val="18"/>
        </w:rPr>
        <w:t>费用</w:t>
      </w:r>
    </w:p>
    <w:p>
      <w:pPr>
        <w:spacing w:line="360" w:lineRule="auto"/>
        <w:ind w:firstLine="360" w:firstLineChars="200"/>
        <w:rPr>
          <w:rFonts w:ascii="Calibri" w:hAnsi="Calibri" w:cs="宋体"/>
          <w:bCs/>
          <w:sz w:val="18"/>
          <w:szCs w:val="18"/>
        </w:rPr>
      </w:pPr>
      <w:r>
        <w:rPr>
          <w:rFonts w:hint="eastAsia" w:cs="宋体" w:asciiTheme="minorEastAsia" w:hAnsiTheme="minorEastAsia"/>
          <w:sz w:val="18"/>
          <w:szCs w:val="18"/>
        </w:rPr>
        <w:t>详见</w:t>
      </w:r>
      <w:r>
        <w:rPr>
          <w:rFonts w:hint="eastAsia" w:cs="宋体" w:asciiTheme="minorEastAsia" w:hAnsiTheme="minorEastAsia" w:eastAsiaTheme="minorEastAsia"/>
          <w:sz w:val="18"/>
          <w:szCs w:val="18"/>
        </w:rPr>
        <w:t>《产品说明书》“第二条 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eastAsia="宋体" w:cs="宋体" w:asciiTheme="minorEastAsia" w:hAnsiTheme="minorEastAsia"/>
          <w:b/>
          <w:bCs/>
          <w:color w:val="auto"/>
          <w:sz w:val="18"/>
          <w:szCs w:val="18"/>
          <w:lang w:val="en-US" w:eastAsia="zh-CN" w:bidi="ar-SA"/>
        </w:rPr>
        <w:t>6.</w:t>
      </w:r>
      <w:r>
        <w:rPr>
          <w:rFonts w:hint="eastAsia" w:eastAsia="宋体" w:cs="宋体" w:asciiTheme="minorEastAsia" w:hAnsiTheme="minorEastAsia"/>
          <w:b/>
          <w:bCs/>
          <w:color w:val="000000"/>
          <w:sz w:val="18"/>
          <w:szCs w:val="18"/>
          <w:lang w:val="en-US" w:eastAsia="zh-CN" w:bidi="ar-SA"/>
        </w:rPr>
        <w:t>申购份额计算</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本产品的申购金额包括申购费用和净申购金额。申购份额的计算公式为：</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净申购金额=申购金额/（1+申购费率）</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申购费用=申购金额－净申购金额</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申购份额=净申购金额/</w:t>
      </w:r>
      <w:r>
        <w:rPr>
          <w:rFonts w:cs="宋体" w:asciiTheme="minorEastAsia" w:hAnsiTheme="minorEastAsia" w:eastAsiaTheme="minorEastAsia"/>
          <w:color w:val="auto"/>
          <w:sz w:val="18"/>
          <w:szCs w:val="18"/>
          <w:lang w:val="en-US" w:eastAsia="zh-CN" w:bidi="ar-SA"/>
        </w:rPr>
        <w:t>1.00</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上述计算结果均按四舍五入方法，保留到小数点后2位，由此产生的收益或损失由理财产品承担。</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cs="宋体" w:asciiTheme="majorEastAsia" w:hAnsiTheme="majorEastAsia" w:eastAsiaTheme="majorEastAsia"/>
          <w:b/>
          <w:color w:val="auto"/>
          <w:sz w:val="18"/>
          <w:szCs w:val="18"/>
          <w:lang w:val="en-US" w:eastAsia="zh-CN" w:bidi="ar-SA"/>
        </w:rPr>
        <w:t>7.</w:t>
      </w:r>
      <w:r>
        <w:rPr>
          <w:rFonts w:hint="eastAsia" w:cs="宋体" w:asciiTheme="majorEastAsia" w:hAnsiTheme="majorEastAsia" w:eastAsiaTheme="majorEastAsia"/>
          <w:b/>
          <w:color w:val="auto"/>
          <w:sz w:val="18"/>
          <w:szCs w:val="18"/>
          <w:lang w:val="en-US" w:eastAsia="zh-CN" w:bidi="ar-SA"/>
        </w:rPr>
        <w:t>申购的起点和递增金额</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cs="宋体" w:asciiTheme="minorEastAsia" w:hAnsiTheme="minorEastAsia" w:eastAsiaTheme="minorEastAsia"/>
          <w:b/>
          <w:color w:val="auto"/>
          <w:sz w:val="18"/>
          <w:szCs w:val="18"/>
          <w:lang w:val="en-US" w:eastAsia="zh-CN" w:bidi="ar-SA"/>
        </w:rPr>
      </w:pPr>
      <w:r>
        <w:rPr>
          <w:rFonts w:cs="宋体" w:asciiTheme="minorEastAsia" w:hAnsiTheme="minorEastAsia" w:eastAsiaTheme="minorEastAsia"/>
          <w:b/>
          <w:color w:val="auto"/>
          <w:sz w:val="18"/>
          <w:szCs w:val="18"/>
          <w:lang w:val="en-US" w:eastAsia="zh-CN" w:bidi="ar-SA"/>
        </w:rPr>
        <w:t>8.</w:t>
      </w:r>
      <w:r>
        <w:rPr>
          <w:rFonts w:hint="eastAsia" w:cs="宋体" w:asciiTheme="minorEastAsia" w:hAnsiTheme="minorEastAsia" w:eastAsiaTheme="minorEastAsia"/>
          <w:b/>
          <w:color w:val="auto"/>
          <w:sz w:val="18"/>
          <w:szCs w:val="18"/>
          <w:lang w:val="en-US" w:eastAsia="zh-CN" w:bidi="ar-SA"/>
        </w:rPr>
        <w:t>申购</w:t>
      </w:r>
      <w:r>
        <w:rPr>
          <w:rFonts w:cs="宋体" w:asciiTheme="minorEastAsia" w:hAnsiTheme="minorEastAsia" w:eastAsiaTheme="minorEastAsia"/>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（二）理财产品的赎回</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eastAsia="宋体" w:cs="宋体" w:asciiTheme="minorEastAsia" w:hAnsiTheme="minorEastAsia"/>
          <w:b/>
          <w:bCs/>
          <w:color w:val="auto"/>
          <w:sz w:val="18"/>
          <w:szCs w:val="18"/>
          <w:lang w:val="en-US" w:eastAsia="zh-CN" w:bidi="ar-SA"/>
        </w:rPr>
        <w:t>1.</w:t>
      </w:r>
      <w:r>
        <w:rPr>
          <w:rFonts w:hint="eastAsia" w:eastAsia="宋体" w:cs="宋体" w:asciiTheme="minorEastAsia" w:hAnsiTheme="minorEastAsia"/>
          <w:b/>
          <w:bCs/>
          <w:color w:val="auto"/>
          <w:sz w:val="18"/>
          <w:szCs w:val="18"/>
          <w:lang w:val="en-US" w:eastAsia="zh-CN" w:bidi="ar-SA"/>
        </w:rPr>
        <w:t>赎回的时间</w:t>
      </w:r>
    </w:p>
    <w:p>
      <w:pPr>
        <w:widowControl w:val="0"/>
        <w:autoSpaceDE w:val="0"/>
        <w:autoSpaceDN w:val="0"/>
        <w:adjustRightInd w:val="0"/>
        <w:spacing w:line="360" w:lineRule="auto"/>
        <w:ind w:firstLine="360" w:firstLineChars="200"/>
        <w:rPr>
          <w:rFonts w:eastAsia="宋体" w:cs="宋体" w:asciiTheme="majorEastAsia" w:hAnsiTheme="majorEastAsia"/>
          <w:color w:val="auto"/>
          <w:sz w:val="18"/>
          <w:szCs w:val="24"/>
          <w:lang w:val="en-US" w:eastAsia="zh-CN" w:bidi="ar-SA"/>
        </w:rPr>
      </w:pPr>
      <w:r>
        <w:rPr>
          <w:rFonts w:hint="eastAsia" w:eastAsia="宋体" w:cs="宋体" w:asciiTheme="majorEastAsia" w:hAnsiTheme="majorEastAsia"/>
          <w:color w:val="auto"/>
          <w:sz w:val="18"/>
          <w:szCs w:val="24"/>
          <w:lang w:val="en-US" w:eastAsia="zh-CN" w:bidi="ar-SA"/>
        </w:rPr>
        <w:t>本产品设置开放期，</w:t>
      </w:r>
      <w:r>
        <w:rPr>
          <w:rFonts w:hint="eastAsia" w:cs="宋体" w:asciiTheme="majorEastAsia" w:hAnsiTheme="majorEastAsia" w:eastAsiaTheme="majorEastAsia"/>
          <w:bCs/>
          <w:color w:val="auto"/>
          <w:sz w:val="18"/>
          <w:szCs w:val="18"/>
          <w:lang w:val="en-US" w:eastAsia="zh-CN" w:bidi="ar-SA"/>
        </w:rPr>
        <w:t>具体的赎回时间以</w:t>
      </w:r>
      <w:r>
        <w:rPr>
          <w:rFonts w:hint="eastAsia" w:cs="宋体" w:asciiTheme="minorEastAsia" w:hAnsiTheme="minorEastAsia" w:eastAsiaTheme="minorEastAsia"/>
          <w:color w:val="auto"/>
          <w:sz w:val="18"/>
          <w:szCs w:val="18"/>
          <w:lang w:val="en-US" w:eastAsia="zh-CN" w:bidi="ar-SA"/>
        </w:rPr>
        <w:t>《产品说明书》“第二条 理财产品基本情况”</w:t>
      </w:r>
      <w:r>
        <w:rPr>
          <w:rFonts w:hint="eastAsia" w:cs="宋体" w:asciiTheme="majorEastAsia" w:hAnsiTheme="majorEastAsia" w:eastAsiaTheme="majorEastAsia"/>
          <w:bCs/>
          <w:color w:val="auto"/>
          <w:sz w:val="18"/>
          <w:szCs w:val="18"/>
          <w:lang w:val="en-US" w:eastAsia="zh-CN" w:bidi="ar-SA"/>
        </w:rPr>
        <w:t>为准。</w:t>
      </w:r>
      <w:r>
        <w:rPr>
          <w:rFonts w:hint="eastAsia" w:eastAsia="宋体" w:cs="宋体" w:asciiTheme="minorEastAsia" w:hAnsiTheme="minorEastAsia"/>
          <w:color w:val="000000"/>
          <w:sz w:val="18"/>
          <w:szCs w:val="18"/>
          <w:lang w:val="en-US" w:eastAsia="zh-CN" w:bidi="ar-SA"/>
        </w:rPr>
        <w:t>投资者可于开放日内赎回，产品管理人公告暂停开放的日期除外</w:t>
      </w:r>
      <w:r>
        <w:rPr>
          <w:rFonts w:hint="eastAsia" w:cs="宋体" w:asciiTheme="majorEastAsia" w:hAnsiTheme="majorEastAsia" w:eastAsiaTheme="majorEastAsia"/>
          <w:bCs/>
          <w:color w:val="000000"/>
          <w:sz w:val="18"/>
          <w:szCs w:val="18"/>
          <w:lang w:val="en-US" w:eastAsia="zh-CN" w:bidi="ar-SA"/>
        </w:rPr>
        <w:t>。</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hint="eastAsia" w:eastAsia="宋体" w:cs="宋体" w:asciiTheme="minorEastAsia" w:hAnsiTheme="minorEastAsia"/>
          <w:b/>
          <w:bCs/>
          <w:color w:val="auto"/>
          <w:sz w:val="18"/>
          <w:szCs w:val="18"/>
          <w:lang w:val="en-US" w:eastAsia="zh-CN" w:bidi="ar-SA"/>
        </w:rPr>
        <w:t>2.赎回的方式</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投资者可通过</w:t>
      </w:r>
      <w:r>
        <w:rPr>
          <w:rFonts w:hint="eastAsia" w:cs="宋体" w:asciiTheme="majorEastAsia" w:hAnsiTheme="majorEastAsia" w:eastAsiaTheme="majorEastAsia"/>
          <w:color w:val="auto"/>
          <w:sz w:val="18"/>
          <w:szCs w:val="18"/>
          <w:lang w:val="en-US" w:eastAsia="zh-CN" w:bidi="ar-SA"/>
        </w:rPr>
        <w:t>销售机构的销售</w:t>
      </w:r>
      <w:r>
        <w:rPr>
          <w:rFonts w:cs="宋体" w:asciiTheme="majorEastAsia" w:hAnsiTheme="majorEastAsia" w:eastAsiaTheme="majorEastAsia"/>
          <w:color w:val="auto"/>
          <w:sz w:val="18"/>
          <w:szCs w:val="18"/>
          <w:lang w:val="en-US" w:eastAsia="zh-CN" w:bidi="ar-SA"/>
        </w:rPr>
        <w:t>渠道</w:t>
      </w:r>
      <w:r>
        <w:rPr>
          <w:rFonts w:hint="eastAsia" w:cs="宋体" w:asciiTheme="majorEastAsia" w:hAnsiTheme="majorEastAsia" w:eastAsiaTheme="majorEastAsia"/>
          <w:color w:val="auto"/>
          <w:sz w:val="18"/>
          <w:szCs w:val="18"/>
          <w:lang w:val="en-US" w:eastAsia="zh-CN" w:bidi="ar-SA"/>
        </w:rPr>
        <w:t>赎回</w:t>
      </w:r>
      <w:r>
        <w:rPr>
          <w:rFonts w:cs="宋体" w:asciiTheme="majorEastAsia" w:hAnsiTheme="majorEastAsia" w:eastAsiaTheme="majorEastAsia"/>
          <w:color w:val="auto"/>
          <w:sz w:val="18"/>
          <w:szCs w:val="18"/>
          <w:lang w:val="en-US" w:eastAsia="zh-CN" w:bidi="ar-SA"/>
        </w:rPr>
        <w:t>。</w:t>
      </w:r>
      <w:r>
        <w:rPr>
          <w:rFonts w:hint="eastAsia" w:eastAsia="宋体" w:cs="宋体" w:asciiTheme="minorEastAsia" w:hAnsiTheme="minorEastAsia"/>
          <w:bCs/>
          <w:color w:val="auto"/>
          <w:sz w:val="18"/>
          <w:szCs w:val="18"/>
          <w:lang w:val="en-US" w:eastAsia="zh-CN" w:bidi="ar-SA"/>
        </w:rPr>
        <w:t>不同销售机构</w:t>
      </w:r>
      <w:r>
        <w:rPr>
          <w:rFonts w:eastAsia="宋体" w:cs="宋体" w:asciiTheme="minorEastAsia" w:hAnsiTheme="minorEastAsia"/>
          <w:bCs/>
          <w:color w:val="auto"/>
          <w:sz w:val="18"/>
          <w:szCs w:val="18"/>
          <w:lang w:val="en-US" w:eastAsia="zh-CN" w:bidi="ar-SA"/>
        </w:rPr>
        <w:t>的销售</w:t>
      </w:r>
      <w:r>
        <w:rPr>
          <w:rFonts w:hint="eastAsia" w:eastAsia="宋体" w:cs="宋体" w:asciiTheme="minorEastAsia" w:hAnsiTheme="minorEastAsia"/>
          <w:bCs/>
          <w:color w:val="auto"/>
          <w:sz w:val="18"/>
          <w:szCs w:val="18"/>
          <w:lang w:val="en-US" w:eastAsia="zh-CN" w:bidi="ar-SA"/>
        </w:rPr>
        <w:t>渠道，赎回确认时效可能存在</w:t>
      </w:r>
      <w:r>
        <w:rPr>
          <w:rFonts w:eastAsia="宋体" w:cs="宋体" w:asciiTheme="minorEastAsia" w:hAnsiTheme="minorEastAsia"/>
          <w:bCs/>
          <w:color w:val="auto"/>
          <w:sz w:val="18"/>
          <w:szCs w:val="18"/>
          <w:lang w:val="en-US" w:eastAsia="zh-CN" w:bidi="ar-SA"/>
        </w:rPr>
        <w:t>差异</w:t>
      </w:r>
      <w:r>
        <w:rPr>
          <w:rFonts w:hint="eastAsia" w:eastAsia="宋体" w:cs="宋体" w:asciiTheme="minorEastAsia" w:hAnsiTheme="min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投资者通过</w:t>
      </w:r>
      <w:r>
        <w:rPr>
          <w:rFonts w:hint="eastAsia" w:cs="宋体" w:asciiTheme="minorEastAsia" w:hAnsiTheme="minorEastAsia" w:eastAsiaTheme="minorEastAsia"/>
          <w:color w:val="auto"/>
          <w:sz w:val="18"/>
          <w:szCs w:val="18"/>
          <w:lang w:val="en-US" w:eastAsia="zh-CN" w:bidi="ar-SA"/>
        </w:rPr>
        <w:t>销售机构线下</w:t>
      </w:r>
      <w:r>
        <w:rPr>
          <w:rFonts w:cs="宋体" w:asciiTheme="minorEastAsia" w:hAnsiTheme="minorEastAsia" w:eastAsiaTheme="minorEastAsia"/>
          <w:color w:val="auto"/>
          <w:sz w:val="18"/>
          <w:szCs w:val="18"/>
          <w:lang w:val="en-US" w:eastAsia="zh-CN" w:bidi="ar-SA"/>
        </w:rPr>
        <w:t>渠道赎回的</w:t>
      </w:r>
      <w:r>
        <w:rPr>
          <w:rFonts w:hint="eastAsia" w:cs="宋体" w:asciiTheme="majorEastAsia" w:hAnsiTheme="majorEastAsia" w:eastAsiaTheme="majorEastAsia"/>
          <w:color w:val="auto"/>
          <w:sz w:val="18"/>
          <w:szCs w:val="18"/>
          <w:lang w:val="en-US" w:eastAsia="zh-CN" w:bidi="ar-SA"/>
        </w:rPr>
        <w:t>，应签署</w:t>
      </w:r>
      <w:r>
        <w:rPr>
          <w:rFonts w:hint="eastAsia" w:eastAsia="宋体" w:cs="宋体" w:asciiTheme="minorEastAsia" w:hAnsiTheme="minorEastAsia"/>
          <w:bCs/>
          <w:color w:val="auto"/>
          <w:sz w:val="18"/>
          <w:szCs w:val="18"/>
          <w:lang w:val="en-US" w:eastAsia="zh-CN" w:bidi="ar-SA"/>
        </w:rPr>
        <w:t>有关理财产品销售文件</w:t>
      </w:r>
      <w:r>
        <w:rPr>
          <w:rFonts w:hint="eastAsia" w:cs="宋体" w:asciiTheme="majorEastAsia" w:hAnsiTheme="majorEastAsia" w:eastAsiaTheme="majorEastAsia"/>
          <w:color w:val="auto"/>
          <w:sz w:val="18"/>
          <w:szCs w:val="18"/>
          <w:lang w:val="en-US" w:eastAsia="zh-CN" w:bidi="ar-SA"/>
        </w:rPr>
        <w:t>。</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投资者通过销售机构线上渠道</w:t>
      </w:r>
      <w:r>
        <w:rPr>
          <w:rFonts w:hint="eastAsia" w:cs="宋体" w:asciiTheme="minorEastAsia" w:hAnsiTheme="minorEastAsia" w:eastAsiaTheme="minorEastAsia"/>
          <w:color w:val="auto"/>
          <w:sz w:val="18"/>
          <w:szCs w:val="18"/>
          <w:lang w:val="en-US" w:eastAsia="zh-CN" w:bidi="ar-SA"/>
        </w:rPr>
        <w:t>赎回的，</w:t>
      </w:r>
      <w:r>
        <w:rPr>
          <w:rFonts w:hint="eastAsia" w:eastAsia="宋体" w:cs="宋体" w:asciiTheme="minorEastAsia" w:hAnsiTheme="minorEastAsia"/>
          <w:bCs/>
          <w:color w:val="auto"/>
          <w:sz w:val="18"/>
          <w:szCs w:val="18"/>
          <w:lang w:val="en-US" w:eastAsia="zh-CN" w:bidi="ar-SA"/>
        </w:rPr>
        <w:t>应根据销售机构线上渠道的具体要求执行。</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eastAsia="宋体" w:cs="宋体" w:asciiTheme="minorEastAsia" w:hAnsiTheme="minorEastAsia"/>
          <w:b/>
          <w:bCs/>
          <w:color w:val="auto"/>
          <w:sz w:val="18"/>
          <w:szCs w:val="18"/>
          <w:lang w:val="en-US" w:eastAsia="zh-CN" w:bidi="ar-SA"/>
        </w:rPr>
        <w:t>3.</w:t>
      </w:r>
      <w:r>
        <w:rPr>
          <w:rFonts w:hint="eastAsia" w:eastAsia="宋体" w:cs="宋体" w:asciiTheme="minorEastAsia" w:hAnsiTheme="minorEastAsia"/>
          <w:b/>
          <w:bCs/>
          <w:color w:val="auto"/>
          <w:sz w:val="18"/>
          <w:szCs w:val="18"/>
          <w:lang w:val="en-US" w:eastAsia="zh-CN" w:bidi="ar-SA"/>
        </w:rPr>
        <w:t>赎回的确认</w:t>
      </w:r>
    </w:p>
    <w:p>
      <w:pPr>
        <w:spacing w:line="360" w:lineRule="auto"/>
        <w:ind w:firstLine="360" w:firstLineChars="200"/>
        <w:rPr>
          <w:rFonts w:cs="宋体" w:asciiTheme="minorEastAsia" w:hAnsiTheme="minorEastAsia"/>
          <w:bCs/>
          <w:sz w:val="18"/>
          <w:szCs w:val="18"/>
        </w:rPr>
      </w:pPr>
      <w:r>
        <w:rPr>
          <w:rFonts w:hint="eastAsia" w:cs="宋体" w:asciiTheme="minorEastAsia" w:hAnsiTheme="minorEastAsia"/>
          <w:sz w:val="18"/>
          <w:szCs w:val="18"/>
        </w:rPr>
        <w:t>详见《产品说明书》“第二条 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提交赎回申请并不代表赎回成功，产品管理人将在赎回确认日确认投资者是否赎回成功，是否成功以管理人的确认结果为准</w:t>
      </w:r>
      <w:r>
        <w:rPr>
          <w:rFonts w:hint="eastAsia" w:cs="宋体" w:asciiTheme="minorEastAsia" w:hAnsiTheme="minorEastAsia" w:eastAsiaTheme="minorEastAsia"/>
          <w:color w:val="auto"/>
          <w:sz w:val="18"/>
          <w:szCs w:val="18"/>
          <w:lang w:val="en-US" w:eastAsia="zh-CN" w:bidi="ar-SA"/>
        </w:rPr>
        <w:t>。</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4</w:t>
      </w:r>
      <w:r>
        <w:rPr>
          <w:rFonts w:hint="eastAsia" w:cs="宋体" w:asciiTheme="minorEastAsia" w:hAnsiTheme="minorEastAsia"/>
          <w:b/>
          <w:bCs/>
          <w:sz w:val="18"/>
          <w:szCs w:val="18"/>
        </w:rPr>
        <w:t>.赎回</w:t>
      </w:r>
      <w:r>
        <w:rPr>
          <w:rFonts w:cs="宋体" w:asciiTheme="minorEastAsia" w:hAnsiTheme="minorEastAsia"/>
          <w:b/>
          <w:bCs/>
          <w:sz w:val="18"/>
          <w:szCs w:val="18"/>
        </w:rPr>
        <w:t>的价格</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本产品的赎回价格为每份理财份额人民币</w:t>
      </w:r>
      <w:r>
        <w:rPr>
          <w:rFonts w:cs="宋体" w:asciiTheme="minorEastAsia" w:hAnsiTheme="minorEastAsia" w:eastAsiaTheme="minorEastAsia"/>
          <w:color w:val="auto"/>
          <w:sz w:val="18"/>
          <w:szCs w:val="18"/>
          <w:lang w:val="en-US" w:eastAsia="zh-CN" w:bidi="ar-SA"/>
        </w:rPr>
        <w:t>1.00</w:t>
      </w:r>
      <w:r>
        <w:rPr>
          <w:rFonts w:hint="eastAsia" w:cs="宋体" w:asciiTheme="minorEastAsia" w:hAnsiTheme="minorEastAsia" w:eastAsiaTheme="minorEastAsia"/>
          <w:color w:val="auto"/>
          <w:sz w:val="18"/>
          <w:szCs w:val="18"/>
          <w:lang w:val="en-US" w:eastAsia="zh-CN" w:bidi="ar-SA"/>
        </w:rPr>
        <w:t>元。</w:t>
      </w:r>
    </w:p>
    <w:p>
      <w:pPr>
        <w:spacing w:line="360" w:lineRule="auto"/>
        <w:ind w:firstLine="361" w:firstLineChars="200"/>
        <w:rPr>
          <w:rFonts w:cs="宋体" w:asciiTheme="minorEastAsia" w:hAnsiTheme="minorEastAsia"/>
          <w:b/>
          <w:bCs/>
          <w:sz w:val="18"/>
          <w:szCs w:val="18"/>
        </w:rPr>
      </w:pPr>
      <w:r>
        <w:rPr>
          <w:rFonts w:cs="宋体" w:asciiTheme="minorEastAsia" w:hAnsiTheme="minorEastAsia"/>
          <w:b/>
          <w:bCs/>
          <w:sz w:val="18"/>
          <w:szCs w:val="18"/>
        </w:rPr>
        <w:t>5.</w:t>
      </w:r>
      <w:r>
        <w:rPr>
          <w:rFonts w:hint="eastAsia" w:cs="宋体" w:asciiTheme="minorEastAsia" w:hAnsiTheme="minorEastAsia"/>
          <w:b/>
          <w:bCs/>
          <w:sz w:val="18"/>
          <w:szCs w:val="18"/>
        </w:rPr>
        <w:t>赎回的</w:t>
      </w:r>
      <w:r>
        <w:rPr>
          <w:rFonts w:cs="宋体" w:asciiTheme="minorEastAsia" w:hAnsiTheme="minorEastAsia"/>
          <w:b/>
          <w:bCs/>
          <w:sz w:val="18"/>
          <w:szCs w:val="18"/>
        </w:rPr>
        <w:t>费用</w:t>
      </w:r>
    </w:p>
    <w:p>
      <w:pPr>
        <w:spacing w:line="360" w:lineRule="auto"/>
        <w:ind w:firstLine="360" w:firstLineChars="200"/>
        <w:rPr>
          <w:rFonts w:ascii="Calibri" w:hAnsi="Calibri" w:cs="宋体"/>
          <w:bCs/>
          <w:sz w:val="18"/>
          <w:szCs w:val="18"/>
        </w:rPr>
      </w:pPr>
      <w:r>
        <w:rPr>
          <w:rFonts w:hint="eastAsia" w:cs="宋体" w:asciiTheme="minorEastAsia" w:hAnsiTheme="minorEastAsia"/>
          <w:sz w:val="18"/>
          <w:szCs w:val="18"/>
        </w:rPr>
        <w:t>详见</w:t>
      </w:r>
      <w:r>
        <w:rPr>
          <w:rFonts w:hint="eastAsia" w:cs="宋体" w:asciiTheme="minorEastAsia" w:hAnsiTheme="minorEastAsia" w:eastAsiaTheme="minorEastAsia"/>
          <w:sz w:val="18"/>
          <w:szCs w:val="18"/>
        </w:rPr>
        <w:t>《产品说明书》“第二条 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eastAsia="宋体" w:cs="宋体" w:asciiTheme="minorEastAsia" w:hAnsiTheme="minorEastAsia"/>
          <w:b/>
          <w:bCs/>
          <w:color w:val="auto"/>
          <w:sz w:val="18"/>
          <w:szCs w:val="18"/>
          <w:lang w:val="en-US" w:eastAsia="zh-CN" w:bidi="ar-SA"/>
        </w:rPr>
        <w:t>6.</w:t>
      </w:r>
      <w:r>
        <w:rPr>
          <w:rFonts w:hint="eastAsia" w:eastAsia="宋体" w:cs="宋体" w:asciiTheme="minorEastAsia" w:hAnsiTheme="minorEastAsia"/>
          <w:b/>
          <w:bCs/>
          <w:color w:val="auto"/>
          <w:sz w:val="18"/>
          <w:szCs w:val="18"/>
          <w:lang w:val="en-US" w:eastAsia="zh-CN" w:bidi="ar-SA"/>
        </w:rPr>
        <w:t>赎回</w:t>
      </w:r>
      <w:r>
        <w:rPr>
          <w:rFonts w:hint="eastAsia" w:eastAsia="宋体" w:cs="宋体" w:asciiTheme="minorEastAsia" w:hAnsiTheme="minorEastAsia"/>
          <w:b/>
          <w:bCs/>
          <w:color w:val="000000"/>
          <w:sz w:val="18"/>
          <w:szCs w:val="18"/>
          <w:lang w:val="en-US" w:eastAsia="zh-CN" w:bidi="ar-SA"/>
        </w:rPr>
        <w:t>金额计算</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本产品赎回</w:t>
      </w:r>
      <w:r>
        <w:rPr>
          <w:rFonts w:eastAsia="宋体" w:cs="宋体" w:asciiTheme="minorEastAsia" w:hAnsiTheme="minorEastAsia"/>
          <w:bCs/>
          <w:color w:val="auto"/>
          <w:sz w:val="18"/>
          <w:szCs w:val="18"/>
          <w:lang w:val="en-US" w:eastAsia="zh-CN" w:bidi="ar-SA"/>
        </w:rPr>
        <w:t>金额</w:t>
      </w:r>
      <w:r>
        <w:rPr>
          <w:rFonts w:hint="eastAsia" w:eastAsia="宋体" w:cs="宋体" w:asciiTheme="minorEastAsia" w:hAnsiTheme="minorEastAsia"/>
          <w:bCs/>
          <w:color w:val="auto"/>
          <w:sz w:val="18"/>
          <w:szCs w:val="18"/>
          <w:lang w:val="en-US" w:eastAsia="zh-CN" w:bidi="ar-SA"/>
        </w:rPr>
        <w:t>的计算公式如下：</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赎回总金额=赎回份额×1</w:t>
      </w:r>
      <w:r>
        <w:rPr>
          <w:rFonts w:cs="宋体" w:asciiTheme="majorEastAsia" w:hAnsiTheme="majorEastAsia" w:eastAsiaTheme="majorEastAsia"/>
          <w:color w:val="auto"/>
          <w:sz w:val="18"/>
          <w:szCs w:val="18"/>
          <w:lang w:val="en-US" w:eastAsia="zh-CN" w:bidi="ar-SA"/>
        </w:rPr>
        <w:t>.00</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赎回费用=赎回总金额×赎回费率</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净赎回金额=赎回总金额-赎回费用</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上述计算结果均按四舍五入方法，保留到小数点后</w:t>
      </w: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cs="宋体" w:asciiTheme="minorEastAsia" w:hAnsiTheme="minorEastAsia" w:eastAsiaTheme="minorEastAsia"/>
          <w:b/>
          <w:color w:val="auto"/>
          <w:sz w:val="18"/>
          <w:szCs w:val="18"/>
          <w:lang w:val="en-US" w:eastAsia="zh-CN" w:bidi="ar-SA"/>
        </w:rPr>
      </w:pPr>
      <w:r>
        <w:rPr>
          <w:rFonts w:cs="宋体" w:asciiTheme="minorEastAsia" w:hAnsiTheme="minorEastAsia" w:eastAsiaTheme="minorEastAsia"/>
          <w:b/>
          <w:color w:val="auto"/>
          <w:sz w:val="18"/>
          <w:szCs w:val="18"/>
          <w:lang w:val="en-US" w:eastAsia="zh-CN" w:bidi="ar-SA"/>
        </w:rPr>
        <w:t>7.</w:t>
      </w:r>
      <w:r>
        <w:rPr>
          <w:rFonts w:hint="eastAsia" w:eastAsia="宋体" w:cs="宋体" w:asciiTheme="minorEastAsia" w:hAnsiTheme="minorEastAsia"/>
          <w:b/>
          <w:bCs/>
          <w:color w:val="auto"/>
          <w:sz w:val="18"/>
          <w:szCs w:val="18"/>
          <w:lang w:val="en-US" w:eastAsia="zh-CN" w:bidi="ar-SA"/>
        </w:rPr>
        <w:t>赎回</w:t>
      </w:r>
      <w:r>
        <w:rPr>
          <w:rFonts w:cs="宋体" w:asciiTheme="minorEastAsia" w:hAnsiTheme="minorEastAsia" w:eastAsiaTheme="minorEastAsia"/>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inorEastAsia" w:hAnsiTheme="minorEastAsia" w:eastAsiaTheme="minorEastAsia"/>
          <w:b/>
          <w:color w:val="auto"/>
          <w:sz w:val="18"/>
          <w:szCs w:val="18"/>
          <w:lang w:val="en-US" w:eastAsia="zh-CN" w:bidi="ar-SA"/>
        </w:rPr>
        <w:t>（三）</w:t>
      </w:r>
      <w:r>
        <w:rPr>
          <w:rFonts w:hint="eastAsia" w:cs="宋体" w:asciiTheme="majorEastAsia" w:hAnsiTheme="majorEastAsia" w:eastAsiaTheme="majorEastAsia"/>
          <w:b/>
          <w:color w:val="auto"/>
          <w:sz w:val="18"/>
          <w:szCs w:val="18"/>
          <w:lang w:val="en-US" w:eastAsia="zh-CN" w:bidi="ar-SA"/>
        </w:rPr>
        <w:t>申购与赎回的原则</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1.</w:t>
      </w:r>
      <w:r>
        <w:rPr>
          <w:rFonts w:cs="宋体" w:asciiTheme="majorEastAsia" w:hAnsiTheme="majorEastAsia" w:eastAsiaTheme="majorEastAsia"/>
          <w:color w:val="auto"/>
          <w:sz w:val="18"/>
          <w:szCs w:val="18"/>
          <w:lang w:val="en-US" w:eastAsia="zh-CN" w:bidi="ar-SA"/>
        </w:rPr>
        <w:t>“</w:t>
      </w:r>
      <w:r>
        <w:rPr>
          <w:rFonts w:hint="eastAsia" w:cs="宋体" w:asciiTheme="majorEastAsia" w:hAnsiTheme="majorEastAsia" w:eastAsiaTheme="majorEastAsia"/>
          <w:color w:val="auto"/>
          <w:sz w:val="18"/>
          <w:szCs w:val="18"/>
          <w:lang w:val="en-US" w:eastAsia="zh-CN" w:bidi="ar-SA"/>
        </w:rPr>
        <w:t>金额申购、份额赎回</w:t>
      </w:r>
      <w:r>
        <w:rPr>
          <w:rFonts w:cs="宋体" w:asciiTheme="majorEastAsia" w:hAnsiTheme="majorEastAsia" w:eastAsiaTheme="majorEastAsia"/>
          <w:color w:val="auto"/>
          <w:sz w:val="18"/>
          <w:szCs w:val="18"/>
          <w:lang w:val="en-US" w:eastAsia="zh-CN" w:bidi="ar-SA"/>
        </w:rPr>
        <w:t>”</w:t>
      </w:r>
      <w:r>
        <w:rPr>
          <w:rFonts w:hint="eastAsia" w:cs="宋体" w:asciiTheme="majorEastAsia" w:hAnsiTheme="majorEastAsia" w:eastAsiaTheme="majorEastAsia"/>
          <w:color w:val="auto"/>
          <w:sz w:val="18"/>
          <w:szCs w:val="18"/>
          <w:lang w:val="en-US" w:eastAsia="zh-CN" w:bidi="ar-SA"/>
        </w:rPr>
        <w:t>原则，即申购以金额申请，赎回以份额申请。</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cs="宋体" w:asciiTheme="majorEastAsia" w:hAnsiTheme="majorEastAsia" w:eastAsiaTheme="majorEastAsia"/>
          <w:bCs/>
          <w:color w:val="auto"/>
          <w:sz w:val="18"/>
          <w:szCs w:val="18"/>
          <w:lang w:val="en-US" w:eastAsia="zh-CN" w:bidi="ar-SA"/>
        </w:rPr>
        <w:t>申购和赎回采用</w:t>
      </w:r>
      <w:r>
        <w:rPr>
          <w:rFonts w:hint="eastAsia" w:cs="宋体" w:asciiTheme="majorEastAsia" w:hAnsiTheme="majorEastAsia" w:eastAsiaTheme="majorEastAsia"/>
          <w:bCs/>
          <w:color w:val="auto"/>
          <w:sz w:val="18"/>
          <w:szCs w:val="18"/>
          <w:lang w:val="en-US" w:eastAsia="zh-CN" w:bidi="ar-SA"/>
        </w:rPr>
        <w:t>“确定价</w:t>
      </w:r>
      <w:r>
        <w:rPr>
          <w:rFonts w:cs="宋体" w:asciiTheme="majorEastAsia" w:hAnsiTheme="majorEastAsia" w:eastAsiaTheme="majorEastAsia"/>
          <w:bCs/>
          <w:color w:val="auto"/>
          <w:sz w:val="18"/>
          <w:szCs w:val="18"/>
          <w:lang w:val="en-US" w:eastAsia="zh-CN" w:bidi="ar-SA"/>
        </w:rPr>
        <w:t>”</w:t>
      </w:r>
      <w:r>
        <w:rPr>
          <w:rFonts w:hint="eastAsia" w:cs="宋体" w:asciiTheme="majorEastAsia" w:hAnsiTheme="majorEastAsia" w:eastAsiaTheme="majorEastAsia"/>
          <w:bCs/>
          <w:color w:val="auto"/>
          <w:sz w:val="18"/>
          <w:szCs w:val="18"/>
          <w:lang w:val="en-US" w:eastAsia="zh-CN" w:bidi="ar-SA"/>
        </w:rPr>
        <w:t>原则，即本产品申购申请和赎回申请提交时，适用的产品份额净值都是</w:t>
      </w:r>
      <w:r>
        <w:rPr>
          <w:rFonts w:hint="eastAsia" w:cs="宋体" w:asciiTheme="minorEastAsia" w:hAnsiTheme="minorEastAsia" w:eastAsiaTheme="minorEastAsia"/>
          <w:color w:val="auto"/>
          <w:sz w:val="18"/>
          <w:szCs w:val="18"/>
          <w:lang w:val="en-US" w:eastAsia="zh-CN" w:bidi="ar-SA"/>
        </w:rPr>
        <w:t>人民币</w:t>
      </w:r>
      <w:r>
        <w:rPr>
          <w:rFonts w:cs="宋体" w:asciiTheme="minorEastAsia" w:hAnsiTheme="minorEastAsia" w:eastAsiaTheme="minorEastAsia"/>
          <w:color w:val="auto"/>
          <w:sz w:val="18"/>
          <w:szCs w:val="18"/>
          <w:lang w:val="en-US" w:eastAsia="zh-CN" w:bidi="ar-SA"/>
        </w:rPr>
        <w:t>1.00</w:t>
      </w:r>
      <w:r>
        <w:rPr>
          <w:rFonts w:hint="eastAsia" w:cs="宋体" w:asciiTheme="minorEastAsia" w:hAnsiTheme="minorEastAsia" w:eastAsiaTheme="minorEastAsia"/>
          <w:color w:val="auto"/>
          <w:sz w:val="18"/>
          <w:szCs w:val="18"/>
          <w:lang w:val="en-US" w:eastAsia="zh-CN" w:bidi="ar-SA"/>
        </w:rPr>
        <w:t>元</w:t>
      </w:r>
      <w:r>
        <w:rPr>
          <w:rFonts w:hint="eastAsia" w:cs="宋体" w:asciiTheme="majorEastAsia" w:hAnsiTheme="majorEastAsia" w:eastAsiaTheme="majorEastAsia"/>
          <w:bCs/>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3.</w:t>
      </w:r>
      <w:r>
        <w:rPr>
          <w:rFonts w:cs="宋体" w:asciiTheme="majorEastAsia" w:hAnsiTheme="majorEastAsia" w:eastAsiaTheme="majorEastAsia"/>
          <w:color w:val="auto"/>
          <w:sz w:val="18"/>
          <w:szCs w:val="18"/>
          <w:lang w:val="en-US" w:eastAsia="zh-CN" w:bidi="ar-SA"/>
        </w:rPr>
        <w:t>申购</w:t>
      </w:r>
      <w:r>
        <w:rPr>
          <w:rFonts w:hint="eastAsia" w:cs="宋体" w:asciiTheme="majorEastAsia" w:hAnsiTheme="majorEastAsia" w:eastAsiaTheme="majorEastAsia"/>
          <w:color w:val="auto"/>
          <w:sz w:val="18"/>
          <w:szCs w:val="18"/>
          <w:lang w:val="en-US" w:eastAsia="zh-CN" w:bidi="ar-SA"/>
        </w:rPr>
        <w:t>、赎回</w:t>
      </w:r>
      <w:r>
        <w:rPr>
          <w:rFonts w:cs="宋体" w:asciiTheme="majorEastAsia" w:hAnsiTheme="majorEastAsia" w:eastAsiaTheme="majorEastAsia"/>
          <w:color w:val="auto"/>
          <w:sz w:val="18"/>
          <w:szCs w:val="18"/>
          <w:lang w:val="en-US" w:eastAsia="zh-CN" w:bidi="ar-SA"/>
        </w:rPr>
        <w:t>申请可以在对应</w:t>
      </w:r>
      <w:r>
        <w:rPr>
          <w:rFonts w:hint="eastAsia" w:cs="宋体" w:asciiTheme="majorEastAsia" w:hAnsiTheme="majorEastAsia" w:eastAsiaTheme="majorEastAsia"/>
          <w:color w:val="auto"/>
          <w:sz w:val="18"/>
          <w:szCs w:val="18"/>
          <w:lang w:val="en-US" w:eastAsia="zh-CN" w:bidi="ar-SA"/>
        </w:rPr>
        <w:t>开放日【17:00】</w:t>
      </w:r>
      <w:r>
        <w:rPr>
          <w:rFonts w:cs="宋体" w:asciiTheme="majorEastAsia" w:hAnsiTheme="majorEastAsia" w:eastAsiaTheme="majorEastAsia"/>
          <w:color w:val="auto"/>
          <w:sz w:val="18"/>
          <w:szCs w:val="18"/>
          <w:lang w:val="en-US" w:eastAsia="zh-CN" w:bidi="ar-SA"/>
        </w:rPr>
        <w:t>截止前撤销</w:t>
      </w:r>
      <w:r>
        <w:rPr>
          <w:rFonts w:hint="eastAsia" w:cs="宋体" w:asciiTheme="majorEastAsia" w:hAnsiTheme="majorEastAsia" w:eastAsiaTheme="majorEastAsia"/>
          <w:color w:val="auto"/>
          <w:sz w:val="18"/>
          <w:szCs w:val="18"/>
          <w:lang w:val="en-US" w:eastAsia="zh-CN" w:bidi="ar-SA"/>
        </w:rPr>
        <w:t>，</w:t>
      </w:r>
      <w:r>
        <w:rPr>
          <w:rFonts w:cs="宋体" w:asciiTheme="majorEastAsia" w:hAnsiTheme="majorEastAsia" w:eastAsiaTheme="majorEastAsia"/>
          <w:color w:val="auto"/>
          <w:sz w:val="18"/>
          <w:szCs w:val="18"/>
          <w:lang w:val="en-US" w:eastAsia="zh-CN" w:bidi="ar-SA"/>
        </w:rPr>
        <w:t>最终申</w:t>
      </w:r>
      <w:r>
        <w:rPr>
          <w:rFonts w:hint="eastAsia" w:cs="宋体" w:asciiTheme="majorEastAsia" w:hAnsiTheme="majorEastAsia" w:eastAsiaTheme="majorEastAsia"/>
          <w:color w:val="auto"/>
          <w:sz w:val="18"/>
          <w:szCs w:val="18"/>
          <w:lang w:val="en-US" w:eastAsia="zh-CN" w:bidi="ar-SA"/>
        </w:rPr>
        <w:t>请</w:t>
      </w:r>
      <w:r>
        <w:rPr>
          <w:rFonts w:cs="宋体" w:asciiTheme="majorEastAsia" w:hAnsiTheme="majorEastAsia" w:eastAsiaTheme="majorEastAsia"/>
          <w:color w:val="auto"/>
          <w:sz w:val="18"/>
          <w:szCs w:val="18"/>
          <w:lang w:val="en-US" w:eastAsia="zh-CN" w:bidi="ar-SA"/>
        </w:rPr>
        <w:t>确认情况以投资者在</w:t>
      </w:r>
      <w:r>
        <w:rPr>
          <w:rFonts w:hint="eastAsia" w:cs="宋体" w:asciiTheme="majorEastAsia" w:hAnsiTheme="majorEastAsia" w:eastAsiaTheme="majorEastAsia"/>
          <w:color w:val="auto"/>
          <w:sz w:val="18"/>
          <w:szCs w:val="18"/>
          <w:lang w:val="en-US" w:eastAsia="zh-CN" w:bidi="ar-SA"/>
        </w:rPr>
        <w:t>销售机构线下渠道</w:t>
      </w:r>
      <w:r>
        <w:rPr>
          <w:rFonts w:cs="宋体" w:asciiTheme="majorEastAsia" w:hAnsiTheme="majorEastAsia" w:eastAsiaTheme="majorEastAsia"/>
          <w:color w:val="auto"/>
          <w:sz w:val="18"/>
          <w:szCs w:val="18"/>
          <w:lang w:val="en-US" w:eastAsia="zh-CN" w:bidi="ar-SA"/>
        </w:rPr>
        <w:t>或线上渠道确认的结果为准。</w:t>
      </w:r>
    </w:p>
    <w:p>
      <w:pPr>
        <w:spacing w:line="360" w:lineRule="auto"/>
        <w:ind w:firstLine="271" w:firstLineChars="150"/>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（四）拒绝或暂停申购的情形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发生下列情况时，产品管理人可拒绝或暂停接受投资者的</w:t>
      </w:r>
      <w:r>
        <w:rPr>
          <w:rFonts w:cs="宋体" w:asciiTheme="majorEastAsia" w:hAnsiTheme="majorEastAsia" w:eastAsiaTheme="majorEastAsia"/>
          <w:color w:val="auto"/>
          <w:sz w:val="18"/>
          <w:szCs w:val="18"/>
          <w:lang w:val="en-US" w:eastAsia="zh-CN" w:bidi="ar-SA"/>
        </w:rPr>
        <w:t>申购申请：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1</w:t>
      </w:r>
      <w:r>
        <w:rPr>
          <w:rFonts w:hint="eastAsia" w:cs="宋体" w:asciiTheme="majorEastAsia" w:hAnsiTheme="majorEastAsia" w:eastAsiaTheme="majorEastAsia"/>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.发生暂停理财资产估值情况时，产品管理人可暂停接受投资者的申购申请。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3</w:t>
      </w:r>
      <w:r>
        <w:rPr>
          <w:rFonts w:hint="eastAsia" w:cs="宋体" w:asciiTheme="majorEastAsia" w:hAnsiTheme="majorEastAsia" w:eastAsiaTheme="majorEastAsia"/>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4</w:t>
      </w:r>
      <w:r>
        <w:rPr>
          <w:rFonts w:hint="eastAsia" w:cs="宋体" w:asciiTheme="majorEastAsia" w:hAnsiTheme="majorEastAsia" w:eastAsiaTheme="majorEastAsia"/>
          <w:color w:val="auto"/>
          <w:sz w:val="18"/>
          <w:szCs w:val="18"/>
          <w:lang w:val="en-US" w:eastAsia="zh-CN" w:bidi="ar-SA"/>
        </w:rPr>
        <w:t>.本产品出现当日净收益小于零的情形，为保护持有人的权益，产品管理人可暂停本产品的申购。</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5</w:t>
      </w:r>
      <w:r>
        <w:rPr>
          <w:rFonts w:hint="eastAsia" w:cs="宋体" w:asciiTheme="majorEastAsia" w:hAnsiTheme="majorEastAsia" w:eastAsiaTheme="majorEastAsia"/>
          <w:color w:val="auto"/>
          <w:sz w:val="18"/>
          <w:szCs w:val="18"/>
          <w:lang w:val="en-US" w:eastAsia="zh-CN" w:bidi="ar-SA"/>
        </w:rPr>
        <w:t>.产品管理人认为接受某笔或某些申购申请可能会影响或损害现有理财份额持有人权益时。</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6</w:t>
      </w:r>
      <w:r>
        <w:rPr>
          <w:rFonts w:hint="eastAsia" w:cs="宋体" w:asciiTheme="majorEastAsia" w:hAnsiTheme="majorEastAsia" w:eastAsiaTheme="majorEastAsia"/>
          <w:color w:val="auto"/>
          <w:sz w:val="18"/>
          <w:szCs w:val="18"/>
          <w:lang w:val="en-US" w:eastAsia="zh-CN" w:bidi="ar-SA"/>
        </w:rPr>
        <w:t>.理财产品规模过大，产品管理人无法找到合适的投资品种，或其他可能对理财业绩产生负面影响，从而损害现有理财份额持有人权益的情形。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7</w:t>
      </w:r>
      <w:r>
        <w:rPr>
          <w:rFonts w:hint="eastAsia" w:cs="宋体" w:asciiTheme="majorEastAsia" w:hAnsiTheme="majorEastAsia" w:eastAsiaTheme="majorEastAsia"/>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8</w:t>
      </w:r>
      <w:r>
        <w:rPr>
          <w:rFonts w:hint="eastAsia" w:cs="宋体" w:asciiTheme="majorEastAsia" w:hAnsiTheme="majorEastAsia" w:eastAsiaTheme="majorEastAsia"/>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如果投资者的申购申请被拒绝，被拒绝的申购款项将退还给投资者。在暂停申购的情况消除时，产品管理人应及时恢复申购业务的办理。</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（五）暂停赎回或延缓支付赎回款项的情形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发生下列情形时，产品管理人可暂停接受投资者的赎回申请或延缓支付赎回款项：</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1</w:t>
      </w:r>
      <w:r>
        <w:rPr>
          <w:rFonts w:hint="eastAsia" w:cs="宋体" w:asciiTheme="majorEastAsia" w:hAnsiTheme="majorEastAsia" w:eastAsiaTheme="majorEastAsia"/>
          <w:color w:val="auto"/>
          <w:sz w:val="18"/>
          <w:szCs w:val="18"/>
          <w:lang w:val="en-US" w:eastAsia="zh-CN" w:bidi="ar-SA"/>
        </w:rPr>
        <w:t>.因不可抗力导致产品管理人不能支付赎回款项。</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.发生暂停理财资产估值情况时，产品管理人可暂停接受投资者的赎回申请或延缓支付赎回款项。</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3</w:t>
      </w:r>
      <w:r>
        <w:rPr>
          <w:rFonts w:hint="eastAsia" w:cs="宋体" w:asciiTheme="majorEastAsia" w:hAnsiTheme="majorEastAsia" w:eastAsiaTheme="majorEastAsia"/>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4</w:t>
      </w:r>
      <w:r>
        <w:rPr>
          <w:rFonts w:hint="eastAsia" w:cs="宋体" w:asciiTheme="majorEastAsia" w:hAnsiTheme="majorEastAsia" w:eastAsiaTheme="majorEastAsia"/>
          <w:color w:val="auto"/>
          <w:sz w:val="18"/>
          <w:szCs w:val="18"/>
          <w:lang w:val="en-US" w:eastAsia="zh-CN" w:bidi="ar-SA"/>
        </w:rPr>
        <w:t>.</w:t>
      </w:r>
      <w:r>
        <w:rPr>
          <w:rFonts w:cs="宋体" w:asciiTheme="majorEastAsia" w:hAnsiTheme="majorEastAsia" w:eastAsiaTheme="majorEastAsia"/>
          <w:color w:val="auto"/>
          <w:sz w:val="18"/>
          <w:szCs w:val="18"/>
          <w:lang w:val="en-US" w:eastAsia="zh-CN" w:bidi="ar-SA"/>
        </w:rPr>
        <w:t>证券交易所或银行间市场出现异常市场情况，管理人无法</w:t>
      </w:r>
      <w:r>
        <w:rPr>
          <w:rFonts w:hint="eastAsia" w:cs="宋体" w:asciiTheme="majorEastAsia" w:hAnsiTheme="majorEastAsia" w:eastAsiaTheme="majorEastAsia"/>
          <w:color w:val="auto"/>
          <w:sz w:val="18"/>
          <w:szCs w:val="18"/>
          <w:lang w:val="en-US" w:eastAsia="zh-CN" w:bidi="ar-SA"/>
        </w:rPr>
        <w:t>开展产品的</w:t>
      </w:r>
      <w:r>
        <w:rPr>
          <w:rFonts w:cs="宋体" w:asciiTheme="majorEastAsia" w:hAnsiTheme="majorEastAsia" w:eastAsiaTheme="majorEastAsia"/>
          <w:color w:val="auto"/>
          <w:sz w:val="18"/>
          <w:szCs w:val="18"/>
          <w:lang w:val="en-US" w:eastAsia="zh-CN" w:bidi="ar-SA"/>
        </w:rPr>
        <w:t>流动性</w:t>
      </w:r>
      <w:r>
        <w:rPr>
          <w:rFonts w:hint="eastAsia" w:cs="宋体" w:asciiTheme="majorEastAsia" w:hAnsiTheme="majorEastAsia" w:eastAsiaTheme="majorEastAsia"/>
          <w:color w:val="auto"/>
          <w:sz w:val="18"/>
          <w:szCs w:val="18"/>
          <w:lang w:val="en-US" w:eastAsia="zh-CN" w:bidi="ar-SA"/>
        </w:rPr>
        <w:t>管理</w:t>
      </w:r>
      <w:r>
        <w:rPr>
          <w:rFonts w:cs="宋体" w:asciiTheme="majorEastAsia" w:hAnsiTheme="majorEastAsia" w:eastAsiaTheme="majorEastAsia"/>
          <w:color w:val="auto"/>
          <w:sz w:val="18"/>
          <w:szCs w:val="18"/>
          <w:lang w:val="en-US" w:eastAsia="zh-CN" w:bidi="ar-SA"/>
        </w:rPr>
        <w:t>。</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5</w:t>
      </w:r>
      <w:r>
        <w:rPr>
          <w:rFonts w:hint="eastAsia" w:cs="宋体" w:asciiTheme="majorEastAsia" w:hAnsiTheme="majorEastAsia" w:eastAsiaTheme="majorEastAsia"/>
          <w:color w:val="auto"/>
          <w:sz w:val="18"/>
          <w:szCs w:val="18"/>
          <w:lang w:val="en-US" w:eastAsia="zh-CN" w:bidi="ar-SA"/>
        </w:rPr>
        <w:t>.本产品出现当日净收益小于零的情形，为保护持有人的权益，产品管理人可暂停本产品的赎回。</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6</w:t>
      </w:r>
      <w:r>
        <w:rPr>
          <w:rFonts w:hint="eastAsia" w:cs="宋体" w:asciiTheme="majorEastAsia" w:hAnsiTheme="majorEastAsia" w:eastAsiaTheme="majorEastAsia"/>
          <w:color w:val="auto"/>
          <w:sz w:val="18"/>
          <w:szCs w:val="18"/>
          <w:lang w:val="en-US" w:eastAsia="zh-CN" w:bidi="ar-SA"/>
        </w:rPr>
        <w:t>.发生单个投资者在赎回日申请赎回的理财产品份额超过限额的。</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7.发生巨额赎回。</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8.产品管理人和产品托管人的技术保障等异常情况导致理财销售系统或会计系统无法正常运行。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9.证券交易所或银行间市场数据传输延迟、通讯系统故障、银行系统故障或其他非产品管理人及产品托管人所能控制的因素影响了产品运作流程。</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10.法律法规规定或监管机构认定的其他情形。</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bCs/>
          <w:color w:val="000000"/>
          <w:sz w:val="18"/>
          <w:szCs w:val="18"/>
          <w:lang w:val="en-US" w:eastAsia="zh-CN" w:bidi="ar-SA"/>
        </w:rPr>
        <w:t>延缓支付赎回款项</w:t>
      </w:r>
      <w:r>
        <w:rPr>
          <w:rFonts w:hint="eastAsia" w:cs="宋体" w:asciiTheme="majorEastAsia" w:hAnsiTheme="majorEastAsia" w:eastAsiaTheme="majorEastAsia"/>
          <w:bCs/>
          <w:color w:val="000000"/>
          <w:sz w:val="18"/>
          <w:szCs w:val="18"/>
          <w:lang w:val="en-US" w:eastAsia="zh-CN" w:bidi="ar-SA"/>
        </w:rPr>
        <w:t>的</w:t>
      </w:r>
      <w:r>
        <w:rPr>
          <w:rFonts w:cs="宋体" w:asciiTheme="majorEastAsia" w:hAnsiTheme="majorEastAsia" w:eastAsiaTheme="majorEastAsia"/>
          <w:bCs/>
          <w:color w:val="000000"/>
          <w:sz w:val="18"/>
          <w:szCs w:val="18"/>
          <w:lang w:val="en-US" w:eastAsia="zh-CN" w:bidi="ar-SA"/>
        </w:rPr>
        <w:t>，</w:t>
      </w:r>
      <w:r>
        <w:rPr>
          <w:rFonts w:hint="eastAsia" w:cs="宋体" w:asciiTheme="majorEastAsia" w:hAnsiTheme="majorEastAsia" w:eastAsiaTheme="majorEastAsia"/>
          <w:bCs/>
          <w:color w:val="000000"/>
          <w:sz w:val="18"/>
          <w:szCs w:val="18"/>
          <w:lang w:val="en-US" w:eastAsia="zh-CN" w:bidi="ar-SA"/>
        </w:rPr>
        <w:t>已经确认</w:t>
      </w:r>
      <w:r>
        <w:rPr>
          <w:rFonts w:cs="宋体" w:asciiTheme="majorEastAsia" w:hAnsiTheme="majorEastAsia" w:eastAsiaTheme="majorEastAsia"/>
          <w:bCs/>
          <w:color w:val="000000"/>
          <w:sz w:val="18"/>
          <w:szCs w:val="18"/>
          <w:lang w:val="en-US" w:eastAsia="zh-CN" w:bidi="ar-SA"/>
        </w:rPr>
        <w:t>的赎回申请的</w:t>
      </w:r>
      <w:r>
        <w:rPr>
          <w:rFonts w:hint="eastAsia" w:cs="宋体" w:asciiTheme="majorEastAsia" w:hAnsiTheme="majorEastAsia" w:eastAsiaTheme="majorEastAsia"/>
          <w:bCs/>
          <w:color w:val="000000"/>
          <w:sz w:val="18"/>
          <w:szCs w:val="18"/>
          <w:lang w:val="en-US" w:eastAsia="zh-CN" w:bidi="ar-SA"/>
        </w:rPr>
        <w:t>相应赎回</w:t>
      </w:r>
      <w:r>
        <w:rPr>
          <w:rFonts w:cs="宋体" w:asciiTheme="majorEastAsia" w:hAnsiTheme="majorEastAsia" w:eastAsiaTheme="majorEastAsia"/>
          <w:bCs/>
          <w:color w:val="000000"/>
          <w:sz w:val="18"/>
          <w:szCs w:val="18"/>
          <w:lang w:val="en-US" w:eastAsia="zh-CN" w:bidi="ar-SA"/>
        </w:rPr>
        <w:t>款项将会在不超过20个工作日内支付</w:t>
      </w:r>
      <w:r>
        <w:rPr>
          <w:rFonts w:hint="eastAsia" w:cs="宋体" w:asciiTheme="majorEastAsia" w:hAnsiTheme="majorEastAsia" w:eastAsiaTheme="majorEastAsia"/>
          <w:bCs/>
          <w:color w:val="000000"/>
          <w:sz w:val="18"/>
          <w:szCs w:val="18"/>
          <w:lang w:val="en-US" w:eastAsia="zh-CN" w:bidi="ar-SA"/>
        </w:rPr>
        <w:t>至</w:t>
      </w:r>
      <w:r>
        <w:rPr>
          <w:rFonts w:cs="宋体" w:asciiTheme="majorEastAsia" w:hAnsiTheme="majorEastAsia" w:eastAsiaTheme="majorEastAsia"/>
          <w:bCs/>
          <w:color w:val="000000"/>
          <w:sz w:val="18"/>
          <w:szCs w:val="18"/>
          <w:lang w:val="en-US" w:eastAsia="zh-CN" w:bidi="ar-SA"/>
        </w:rPr>
        <w:t>投资者</w:t>
      </w:r>
      <w:r>
        <w:rPr>
          <w:rFonts w:hint="eastAsia" w:cs="宋体" w:asciiTheme="majorEastAsia" w:hAnsiTheme="majorEastAsia" w:eastAsiaTheme="majorEastAsia"/>
          <w:bCs/>
          <w:color w:val="000000"/>
          <w:sz w:val="18"/>
          <w:szCs w:val="18"/>
          <w:lang w:val="en-US" w:eastAsia="zh-CN" w:bidi="ar-SA"/>
        </w:rPr>
        <w:t>。</w:t>
      </w:r>
      <w:r>
        <w:rPr>
          <w:rFonts w:hint="eastAsia" w:cs="宋体" w:asciiTheme="majorEastAsia" w:hAnsiTheme="majorEastAsia" w:eastAsiaTheme="majorEastAsia"/>
          <w:color w:val="auto"/>
          <w:sz w:val="18"/>
          <w:szCs w:val="18"/>
          <w:lang w:val="en-US" w:eastAsia="zh-CN" w:bidi="ar-SA"/>
        </w:rPr>
        <w:t>在暂停赎回或延缓支付赎回款项的情况消除时，产品管理人应及时恢复赎回或支付业务赎回款项的办理。</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（六）巨额赎回的情形及</w:t>
      </w:r>
      <w:r>
        <w:rPr>
          <w:rFonts w:cs="宋体" w:asciiTheme="majorEastAsia" w:hAnsiTheme="majorEastAsia" w:eastAsiaTheme="majorEastAsia"/>
          <w:b/>
          <w:color w:val="auto"/>
          <w:sz w:val="18"/>
          <w:szCs w:val="18"/>
          <w:lang w:val="en-US" w:eastAsia="zh-CN" w:bidi="ar-SA"/>
        </w:rPr>
        <w:t>处理方式</w:t>
      </w:r>
    </w:p>
    <w:p>
      <w:pPr>
        <w:widowControl/>
        <w:spacing w:line="360" w:lineRule="auto"/>
        <w:ind w:firstLine="360" w:firstLineChars="200"/>
        <w:jc w:val="left"/>
        <w:rPr>
          <w:rFonts w:cs="宋体" w:asciiTheme="majorEastAsia" w:hAnsiTheme="majorEastAsia" w:eastAsiaTheme="majorEastAsia"/>
          <w:bCs/>
          <w:sz w:val="18"/>
          <w:szCs w:val="18"/>
        </w:rPr>
      </w:pPr>
      <w:r>
        <w:rPr>
          <w:rFonts w:cs="宋体" w:asciiTheme="majorEastAsia" w:hAnsiTheme="majorEastAsia" w:eastAsiaTheme="majorEastAsia"/>
          <w:bCs/>
          <w:sz w:val="18"/>
          <w:szCs w:val="18"/>
        </w:rPr>
        <w:t>1</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巨额赎回的认定</w:t>
      </w:r>
    </w:p>
    <w:p>
      <w:pPr>
        <w:widowControl/>
        <w:spacing w:line="360" w:lineRule="auto"/>
        <w:ind w:firstLine="360" w:firstLineChars="200"/>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cs="宋体" w:asciiTheme="majorEastAsia" w:hAnsiTheme="majorEastAsia" w:eastAsiaTheme="majorEastAsia"/>
          <w:bCs/>
          <w:sz w:val="18"/>
          <w:szCs w:val="18"/>
        </w:rPr>
      </w:pPr>
      <w:r>
        <w:rPr>
          <w:rFonts w:cs="宋体" w:asciiTheme="majorEastAsia" w:hAnsiTheme="majorEastAsia" w:eastAsiaTheme="majorEastAsia"/>
          <w:bCs/>
          <w:sz w:val="18"/>
          <w:szCs w:val="18"/>
        </w:rPr>
        <w:t>2</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巨额赎回的处理方式</w:t>
      </w:r>
    </w:p>
    <w:p>
      <w:pPr>
        <w:widowControl/>
        <w:spacing w:line="360" w:lineRule="auto"/>
        <w:ind w:firstLine="360" w:firstLineChars="200"/>
        <w:jc w:val="left"/>
        <w:rPr>
          <w:rFonts w:cs="宋体" w:asciiTheme="minorEastAsia" w:hAnsiTheme="minorEastAsia"/>
          <w:bCs/>
          <w:sz w:val="18"/>
          <w:szCs w:val="18"/>
        </w:rPr>
      </w:pPr>
      <w:r>
        <w:rPr>
          <w:rFonts w:hint="eastAsia" w:cs="宋体" w:asciiTheme="majorEastAsia" w:hAnsiTheme="majorEastAsia" w:eastAsiaTheme="majorEastAsia"/>
          <w:bCs/>
          <w:sz w:val="18"/>
          <w:szCs w:val="18"/>
        </w:rPr>
        <w:t>出现巨额赎回时，产品管理人有权决定：（1）申购申请不得撤销；（2）</w:t>
      </w:r>
      <w:r>
        <w:rPr>
          <w:rFonts w:cs="宋体" w:asciiTheme="majorEastAsia" w:hAnsiTheme="majorEastAsia" w:eastAsiaTheme="majorEastAsia"/>
          <w:bCs/>
          <w:sz w:val="18"/>
          <w:szCs w:val="18"/>
        </w:rPr>
        <w:t>不接受</w:t>
      </w:r>
      <w:r>
        <w:rPr>
          <w:rFonts w:hint="eastAsia" w:cs="宋体" w:asciiTheme="majorEastAsia" w:hAnsiTheme="majorEastAsia" w:eastAsiaTheme="majorEastAsia"/>
          <w:bCs/>
          <w:sz w:val="18"/>
          <w:szCs w:val="18"/>
        </w:rPr>
        <w:t>超出部分的净赎回申请，但投资者可于下一开放日重新进行赎回申请；（</w:t>
      </w:r>
      <w:r>
        <w:rPr>
          <w:rFonts w:cs="宋体" w:asciiTheme="majorEastAsia" w:hAnsiTheme="majorEastAsia" w:eastAsiaTheme="majorEastAsia"/>
          <w:bCs/>
          <w:sz w:val="18"/>
          <w:szCs w:val="18"/>
        </w:rPr>
        <w:t>3）延缓支付赎回款项</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如产品管理人认为有必要，</w:t>
      </w:r>
      <w:r>
        <w:rPr>
          <w:rFonts w:hint="eastAsia" w:cs="宋体" w:asciiTheme="majorEastAsia" w:hAnsiTheme="majorEastAsia" w:eastAsiaTheme="majorEastAsia"/>
          <w:bCs/>
          <w:sz w:val="18"/>
          <w:szCs w:val="18"/>
        </w:rPr>
        <w:t>针对</w:t>
      </w:r>
      <w:r>
        <w:rPr>
          <w:rFonts w:cs="宋体" w:asciiTheme="majorEastAsia" w:hAnsiTheme="majorEastAsia" w:eastAsiaTheme="majorEastAsia"/>
          <w:bCs/>
          <w:sz w:val="18"/>
          <w:szCs w:val="18"/>
        </w:rPr>
        <w:t>已经</w:t>
      </w:r>
      <w:r>
        <w:rPr>
          <w:rFonts w:hint="eastAsia" w:cs="宋体" w:asciiTheme="majorEastAsia" w:hAnsiTheme="majorEastAsia" w:eastAsiaTheme="majorEastAsia"/>
          <w:bCs/>
          <w:sz w:val="18"/>
          <w:szCs w:val="18"/>
        </w:rPr>
        <w:t>确认</w:t>
      </w:r>
      <w:r>
        <w:rPr>
          <w:rFonts w:cs="宋体" w:asciiTheme="majorEastAsia" w:hAnsiTheme="majorEastAsia" w:eastAsiaTheme="majorEastAsia"/>
          <w:bCs/>
          <w:sz w:val="18"/>
          <w:szCs w:val="18"/>
        </w:rPr>
        <w:t>的赎回申请</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可以延缓支付赎回款项。延缓支付赎回款项</w:t>
      </w:r>
      <w:r>
        <w:rPr>
          <w:rFonts w:hint="eastAsia" w:cs="宋体" w:asciiTheme="majorEastAsia" w:hAnsiTheme="majorEastAsia" w:eastAsiaTheme="majorEastAsia"/>
          <w:bCs/>
          <w:sz w:val="18"/>
          <w:szCs w:val="18"/>
        </w:rPr>
        <w:t>的</w:t>
      </w:r>
      <w:r>
        <w:rPr>
          <w:rFonts w:cs="宋体" w:asciiTheme="majorEastAsia" w:hAnsiTheme="majorEastAsia" w:eastAsiaTheme="majorEastAsia"/>
          <w:bCs/>
          <w:sz w:val="18"/>
          <w:szCs w:val="18"/>
        </w:rPr>
        <w:t>，</w:t>
      </w:r>
      <w:r>
        <w:rPr>
          <w:rFonts w:hint="eastAsia" w:cs="宋体" w:asciiTheme="majorEastAsia" w:hAnsiTheme="majorEastAsia" w:eastAsiaTheme="majorEastAsia"/>
          <w:bCs/>
          <w:sz w:val="18"/>
          <w:szCs w:val="18"/>
        </w:rPr>
        <w:t>已经确认</w:t>
      </w:r>
      <w:r>
        <w:rPr>
          <w:rFonts w:cs="宋体" w:asciiTheme="majorEastAsia" w:hAnsiTheme="majorEastAsia" w:eastAsiaTheme="majorEastAsia"/>
          <w:bCs/>
          <w:sz w:val="18"/>
          <w:szCs w:val="18"/>
        </w:rPr>
        <w:t>的赎回申请的</w:t>
      </w:r>
      <w:r>
        <w:rPr>
          <w:rFonts w:hint="eastAsia" w:cs="宋体" w:asciiTheme="majorEastAsia" w:hAnsiTheme="majorEastAsia" w:eastAsiaTheme="majorEastAsia"/>
          <w:bCs/>
          <w:sz w:val="18"/>
          <w:szCs w:val="18"/>
        </w:rPr>
        <w:t>相应赎回</w:t>
      </w:r>
      <w:r>
        <w:rPr>
          <w:rFonts w:cs="宋体" w:asciiTheme="majorEastAsia" w:hAnsiTheme="majorEastAsia" w:eastAsiaTheme="majorEastAsia"/>
          <w:bCs/>
          <w:sz w:val="18"/>
          <w:szCs w:val="18"/>
        </w:rPr>
        <w:t>款项将会在不超过20个工作日内支付</w:t>
      </w:r>
      <w:r>
        <w:rPr>
          <w:rFonts w:hint="eastAsia" w:cs="宋体" w:asciiTheme="majorEastAsia" w:hAnsiTheme="majorEastAsia" w:eastAsiaTheme="majorEastAsia"/>
          <w:bCs/>
          <w:sz w:val="18"/>
          <w:szCs w:val="18"/>
        </w:rPr>
        <w:t>至</w:t>
      </w:r>
      <w:r>
        <w:rPr>
          <w:rFonts w:cs="宋体" w:asciiTheme="majorEastAsia" w:hAnsiTheme="majorEastAsia" w:eastAsiaTheme="majorEastAsia"/>
          <w:bCs/>
          <w:sz w:val="18"/>
          <w:szCs w:val="18"/>
        </w:rPr>
        <w:t>投资者</w:t>
      </w:r>
      <w:r>
        <w:rPr>
          <w:rFonts w:hint="eastAsia" w:cs="宋体" w:asciiTheme="majorEastAsia" w:hAnsiTheme="majorEastAsia" w:eastAsiaTheme="majorEastAsia"/>
          <w:bCs/>
          <w:sz w:val="18"/>
          <w:szCs w:val="18"/>
        </w:rPr>
        <w:t>；</w:t>
      </w:r>
      <w:r>
        <w:rPr>
          <w:rFonts w:hint="eastAsia" w:cs="宋体"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cs="宋体"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cs="宋体" w:asciiTheme="majorEastAsia" w:hAnsiTheme="majorEastAsia" w:eastAsiaTheme="majorEastAsia"/>
          <w:bCs/>
          <w:sz w:val="18"/>
          <w:szCs w:val="18"/>
        </w:rPr>
      </w:pPr>
      <w:r>
        <w:rPr>
          <w:rFonts w:cs="宋体" w:asciiTheme="majorEastAsia" w:hAnsiTheme="majorEastAsia" w:eastAsiaTheme="majorEastAsia"/>
          <w:bCs/>
          <w:sz w:val="18"/>
          <w:szCs w:val="18"/>
        </w:rPr>
        <w:t>3</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巨额赎回的公告</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在发生巨额赎回产品管理人暂停接受投资者赎回申请时，产品管理人将依约定发布相关公告信息。</w:t>
      </w:r>
    </w:p>
    <w:p>
      <w:pPr>
        <w:widowControl w:val="0"/>
        <w:autoSpaceDE w:val="0"/>
        <w:autoSpaceDN w:val="0"/>
        <w:adjustRightInd w:val="0"/>
        <w:spacing w:line="360" w:lineRule="auto"/>
        <w:ind w:left="210" w:leftChars="100" w:firstLine="181" w:firstLineChars="1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（七）日期遇非工作日的调整</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eastAsia="宋体" w:cs="宋体" w:asciiTheme="minorEastAsia" w:hAnsiTheme="minorEastAsia"/>
          <w:b/>
          <w:bCs/>
          <w:color w:val="auto"/>
          <w:sz w:val="18"/>
          <w:szCs w:val="18"/>
          <w:lang w:val="en-US" w:eastAsia="zh-CN" w:bidi="ar-SA"/>
        </w:rPr>
      </w:pPr>
      <w:r>
        <w:rPr>
          <w:rFonts w:hint="eastAsia" w:eastAsia="宋体" w:cs="宋体" w:asciiTheme="minorEastAsia" w:hAnsiTheme="minorEastAsia"/>
          <w:b/>
          <w:bCs/>
          <w:color w:val="auto"/>
          <w:sz w:val="18"/>
          <w:szCs w:val="18"/>
          <w:lang w:val="en-US" w:eastAsia="zh-CN" w:bidi="ar-SA"/>
        </w:rPr>
        <w:t>（八）投资者持有理财份额的限额和理财产品总规模限额</w:t>
      </w:r>
    </w:p>
    <w:p>
      <w:pPr>
        <w:widowControl w:val="0"/>
        <w:autoSpaceDE w:val="0"/>
        <w:autoSpaceDN w:val="0"/>
        <w:adjustRightInd w:val="0"/>
        <w:spacing w:line="360" w:lineRule="auto"/>
        <w:ind w:firstLine="360" w:firstLineChars="200"/>
        <w:rPr>
          <w:rFonts w:eastAsia="宋体" w:cs="宋体" w:asciiTheme="minorEastAsia" w:hAnsiTheme="minorEastAsia"/>
          <w:bCs/>
          <w:color w:val="auto"/>
          <w:sz w:val="18"/>
          <w:szCs w:val="18"/>
          <w:lang w:val="en-US" w:eastAsia="zh-CN" w:bidi="ar-SA"/>
        </w:rPr>
      </w:pPr>
      <w:r>
        <w:rPr>
          <w:rFonts w:hint="eastAsia" w:eastAsia="宋体" w:cs="宋体" w:asciiTheme="minorEastAsia" w:hAnsiTheme="minorEastAsia"/>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cs="宋体" w:asciiTheme="minorEastAsia" w:hAnsiTheme="minorEastAsia"/>
          <w:bCs/>
          <w:kern w:val="0"/>
          <w:sz w:val="18"/>
          <w:szCs w:val="18"/>
        </w:rPr>
      </w:pPr>
      <w:r>
        <w:rPr>
          <w:rFonts w:cs="宋体" w:asciiTheme="minorEastAsia" w:hAnsiTheme="minorEastAsia"/>
          <w:bCs/>
          <w:sz w:val="18"/>
          <w:szCs w:val="18"/>
        </w:rPr>
        <w:br w:type="page"/>
      </w:r>
    </w:p>
    <w:bookmarkEnd w:id="75"/>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81" w:name="_Toc6714"/>
      <w:bookmarkStart w:id="82" w:name="_Toc79154668"/>
      <w:bookmarkStart w:id="83" w:name="_Toc176189282"/>
      <w:bookmarkStart w:id="84" w:name="_Toc22074"/>
      <w:bookmarkStart w:id="85" w:name="_Toc74065741"/>
      <w:bookmarkStart w:id="86" w:name="_Toc90742390"/>
      <w:bookmarkStart w:id="87" w:name="_Toc27189"/>
      <w:bookmarkStart w:id="88" w:name="_Toc90742321"/>
      <w:bookmarkStart w:id="89" w:name="_Toc2561"/>
      <w:bookmarkStart w:id="90" w:name="_Toc7151"/>
      <w:bookmarkStart w:id="91" w:name="_Toc3266"/>
      <w:bookmarkStart w:id="92" w:name="_Toc29948"/>
      <w:bookmarkStart w:id="93" w:name="_Toc15203"/>
      <w:bookmarkStart w:id="94" w:name="_Toc29784"/>
      <w:bookmarkStart w:id="95" w:name="_Toc90742688"/>
      <w:bookmarkStart w:id="96" w:name="_Toc27226"/>
      <w:bookmarkStart w:id="97" w:name="_Toc1626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五条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hint="eastAsia" w:cs="宋体" w:asciiTheme="majorEastAsia" w:hAnsiTheme="majorEastAsia" w:eastAsiaTheme="majorEastAsia"/>
          <w:color w:val="auto"/>
          <w:sz w:val="18"/>
          <w:szCs w:val="18"/>
          <w:lang w:val="en-US" w:eastAsia="zh-CN" w:bidi="ar-SA"/>
        </w:rPr>
        <w:t>本产品为</w:t>
      </w:r>
      <w:r>
        <w:rPr>
          <w:rFonts w:cs="宋体" w:asciiTheme="majorEastAsia" w:hAnsiTheme="majorEastAsia" w:eastAsiaTheme="majorEastAsia"/>
          <w:color w:val="auto"/>
          <w:sz w:val="18"/>
          <w:szCs w:val="18"/>
          <w:lang w:val="en-US" w:eastAsia="zh-CN" w:bidi="ar-SA"/>
        </w:rPr>
        <w:t>固定收益类产品</w:t>
      </w:r>
      <w:r>
        <w:rPr>
          <w:rFonts w:hint="eastAsia" w:cs="宋体" w:asciiTheme="majorEastAsia" w:hAnsiTheme="majorEastAsia" w:eastAsiaTheme="majorEastAsia"/>
          <w:color w:val="auto"/>
          <w:sz w:val="18"/>
          <w:szCs w:val="18"/>
          <w:lang w:val="en-US" w:eastAsia="zh-CN" w:bidi="ar-SA"/>
        </w:rPr>
        <w:t>，在</w:t>
      </w:r>
      <w:r>
        <w:rPr>
          <w:rFonts w:hint="eastAsia" w:cs="宋体" w:asciiTheme="minorEastAsia" w:hAnsiTheme="minorEastAsia" w:eastAsiaTheme="minorEastAsia"/>
          <w:color w:val="auto"/>
          <w:sz w:val="18"/>
          <w:szCs w:val="18"/>
          <w:lang w:val="en-US" w:eastAsia="zh-CN" w:bidi="ar-SA"/>
        </w:rPr>
        <w:t>保持理财资产的低风险和高流动性的前提下，力争实现超越业绩比较基准的投资回报。</w:t>
      </w:r>
    </w:p>
    <w:p>
      <w:pPr>
        <w:widowControl w:val="0"/>
        <w:autoSpaceDE w:val="0"/>
        <w:autoSpaceDN w:val="0"/>
        <w:adjustRightInd w:val="0"/>
        <w:spacing w:line="360" w:lineRule="auto"/>
        <w:ind w:firstLine="361" w:firstLineChars="200"/>
        <w:rPr>
          <w:rFonts w:cs="宋体" w:asciiTheme="majorEastAsia" w:hAnsiTheme="majorEastAsia" w:eastAsiaTheme="majorEastAsia"/>
          <w:bCs/>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1.投资</w:t>
      </w:r>
      <w:r>
        <w:rPr>
          <w:rFonts w:cs="宋体"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本产品</w:t>
      </w:r>
      <w:r>
        <w:rPr>
          <w:rFonts w:cs="宋体" w:asciiTheme="majorEastAsia" w:hAnsiTheme="majorEastAsia" w:eastAsiaTheme="majorEastAsia"/>
          <w:bCs/>
          <w:sz w:val="18"/>
          <w:szCs w:val="18"/>
        </w:rPr>
        <w:t>主要投资范围包括但不限于</w:t>
      </w:r>
      <w:r>
        <w:rPr>
          <w:rFonts w:hint="eastAsia" w:cs="宋体" w:asciiTheme="majorEastAsia" w:hAnsiTheme="majorEastAsia" w:eastAsiaTheme="majorEastAsia"/>
          <w:bCs/>
          <w:sz w:val="18"/>
          <w:szCs w:val="18"/>
        </w:rPr>
        <w:t>（实际投资范围可根据法律法规及监管规定进行调整）</w:t>
      </w:r>
      <w:r>
        <w:rPr>
          <w:rFonts w:cs="宋体"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（4）监管部门、中国人民银行认可的其他具有良好流动性的货币市场工具。</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cs="宋体" w:asciiTheme="majorEastAsia" w:hAnsiTheme="majorEastAsia" w:eastAsiaTheme="majorEastAsia"/>
          <w:bCs/>
          <w:sz w:val="18"/>
          <w:szCs w:val="18"/>
        </w:rPr>
        <w:t>2</w:t>
      </w:r>
      <w:r>
        <w:rPr>
          <w:rFonts w:hint="eastAsia" w:cs="宋体"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本产品投资于债权类资产的比例不低于产品总资产的</w:t>
      </w:r>
      <w:r>
        <w:rPr>
          <w:rFonts w:cs="宋体" w:asciiTheme="majorEastAsia" w:hAnsiTheme="majorEastAsia" w:eastAsiaTheme="majorEastAsia"/>
          <w:bCs/>
          <w:sz w:val="18"/>
          <w:szCs w:val="18"/>
        </w:rPr>
        <w:t>80%</w:t>
      </w:r>
      <w:r>
        <w:rPr>
          <w:rFonts w:hint="eastAsia" w:cs="宋体"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w:t>
      </w:r>
      <w:r>
        <w:rPr>
          <w:rFonts w:cs="宋体" w:asciiTheme="majorEastAsia" w:hAnsiTheme="majorEastAsia" w:eastAsiaTheme="majorEastAsia"/>
          <w:bCs/>
          <w:sz w:val="18"/>
          <w:szCs w:val="18"/>
        </w:rPr>
        <w:t>本产品存续期间，</w:t>
      </w:r>
      <w:r>
        <w:rPr>
          <w:rFonts w:hint="eastAsia" w:cs="宋体" w:asciiTheme="majorEastAsia" w:hAnsiTheme="majorEastAsia" w:eastAsiaTheme="majorEastAsia"/>
          <w:bCs/>
          <w:sz w:val="18"/>
          <w:szCs w:val="18"/>
        </w:rPr>
        <w:t>产品管理人</w:t>
      </w:r>
      <w:r>
        <w:rPr>
          <w:rFonts w:cs="宋体" w:asciiTheme="majorEastAsia" w:hAnsiTheme="majorEastAsia" w:eastAsiaTheme="majorEastAsia"/>
          <w:bCs/>
          <w:sz w:val="18"/>
          <w:szCs w:val="18"/>
        </w:rPr>
        <w:t>将</w:t>
      </w:r>
      <w:r>
        <w:rPr>
          <w:rFonts w:hint="eastAsia" w:cs="宋体"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cs="宋体" w:asciiTheme="majorEastAsia" w:hAnsiTheme="majorEastAsia" w:eastAsiaTheme="majorEastAsia"/>
          <w:b/>
          <w:bCs/>
          <w:sz w:val="18"/>
          <w:szCs w:val="18"/>
        </w:rPr>
      </w:pPr>
      <w:r>
        <w:rPr>
          <w:rFonts w:hint="eastAsia" w:cs="宋体"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1）</w:t>
      </w:r>
      <w:r>
        <w:rPr>
          <w:rFonts w:hint="eastAsia" w:cs="宋体" w:asciiTheme="majorEastAsia" w:hAnsiTheme="majorEastAsia" w:eastAsiaTheme="majorEastAsia"/>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cs="宋体" w:asciiTheme="majorEastAsia" w:hAnsiTheme="majorEastAsia" w:eastAsiaTheme="majorEastAsia"/>
          <w:bCs/>
          <w:sz w:val="18"/>
          <w:szCs w:val="18"/>
        </w:rPr>
        <w:t>使产品的投资组合比例符合本销售文件的有关约定，</w:t>
      </w:r>
      <w:r>
        <w:rPr>
          <w:rFonts w:cs="宋体" w:asciiTheme="majorEastAsia" w:hAnsiTheme="majorEastAsia" w:eastAsiaTheme="majorEastAsia"/>
          <w:bCs/>
          <w:sz w:val="18"/>
          <w:szCs w:val="18"/>
        </w:rPr>
        <w:t>上述</w:t>
      </w:r>
      <w:r>
        <w:rPr>
          <w:rFonts w:hint="eastAsia" w:cs="宋体" w:asciiTheme="majorEastAsia" w:hAnsiTheme="majorEastAsia" w:eastAsiaTheme="majorEastAsia"/>
          <w:bCs/>
          <w:sz w:val="18"/>
          <w:szCs w:val="18"/>
        </w:rPr>
        <w:t>期间</w:t>
      </w:r>
      <w:r>
        <w:rPr>
          <w:rFonts w:cs="宋体" w:asciiTheme="majorEastAsia" w:hAnsiTheme="majorEastAsia" w:eastAsiaTheme="majorEastAsia"/>
          <w:bCs/>
          <w:sz w:val="18"/>
          <w:szCs w:val="18"/>
        </w:rPr>
        <w:t>内</w:t>
      </w: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本产品的投资</w:t>
      </w:r>
      <w:r>
        <w:rPr>
          <w:rFonts w:hint="eastAsia" w:cs="宋体" w:asciiTheme="majorEastAsia" w:hAnsiTheme="majorEastAsia" w:eastAsiaTheme="majorEastAsia"/>
          <w:bCs/>
          <w:sz w:val="18"/>
          <w:szCs w:val="18"/>
        </w:rPr>
        <w:t>范围、投资</w:t>
      </w:r>
      <w:r>
        <w:rPr>
          <w:rFonts w:cs="宋体" w:asciiTheme="majorEastAsia" w:hAnsiTheme="majorEastAsia" w:eastAsiaTheme="majorEastAsia"/>
          <w:bCs/>
          <w:sz w:val="18"/>
          <w:szCs w:val="18"/>
        </w:rPr>
        <w:t>策略</w:t>
      </w:r>
      <w:r>
        <w:rPr>
          <w:rFonts w:hint="eastAsia" w:cs="宋体" w:asciiTheme="majorEastAsia" w:hAnsiTheme="majorEastAsia" w:eastAsiaTheme="majorEastAsia"/>
          <w:bCs/>
          <w:sz w:val="18"/>
          <w:szCs w:val="18"/>
        </w:rPr>
        <w:t>应当符合本销售文件</w:t>
      </w:r>
      <w:r>
        <w:rPr>
          <w:rFonts w:cs="宋体" w:asciiTheme="majorEastAsia" w:hAnsiTheme="majorEastAsia" w:eastAsiaTheme="majorEastAsia"/>
          <w:bCs/>
          <w:sz w:val="18"/>
          <w:szCs w:val="18"/>
        </w:rPr>
        <w:t>的</w:t>
      </w:r>
      <w:r>
        <w:rPr>
          <w:rFonts w:hint="eastAsia" w:cs="宋体" w:asciiTheme="majorEastAsia" w:hAnsiTheme="majorEastAsia" w:eastAsiaTheme="majorEastAsia"/>
          <w:bCs/>
          <w:sz w:val="18"/>
          <w:szCs w:val="18"/>
        </w:rPr>
        <w:t>约定</w:t>
      </w:r>
      <w:r>
        <w:rPr>
          <w:rFonts w:cs="宋体" w:asciiTheme="majorEastAsia" w:hAnsiTheme="majorEastAsia" w:eastAsiaTheme="majorEastAsia"/>
          <w:bCs/>
          <w:sz w:val="18"/>
          <w:szCs w:val="18"/>
        </w:rPr>
        <w:t>。</w:t>
      </w:r>
      <w:r>
        <w:rPr>
          <w:rFonts w:hint="eastAsia" w:cs="宋体"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2）</w:t>
      </w:r>
      <w:r>
        <w:rPr>
          <w:rFonts w:hint="eastAsia" w:cs="宋体"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cs="宋体"/>
          <w:bCs/>
          <w:sz w:val="18"/>
          <w:szCs w:val="18"/>
        </w:rPr>
        <w:t>投资者有权不接受变更</w:t>
      </w:r>
      <w:r>
        <w:rPr>
          <w:rFonts w:hint="eastAsia" w:ascii="黑体" w:hAnsi="黑体" w:eastAsia="黑体" w:cs="宋体"/>
          <w:bCs/>
          <w:sz w:val="18"/>
          <w:szCs w:val="18"/>
        </w:rPr>
        <w:t>，并通过赎回退出本产品。</w:t>
      </w:r>
    </w:p>
    <w:p>
      <w:pPr>
        <w:widowControl w:val="0"/>
        <w:autoSpaceDE w:val="0"/>
        <w:autoSpaceDN w:val="0"/>
        <w:adjustRightInd w:val="0"/>
        <w:spacing w:line="360" w:lineRule="auto"/>
        <w:ind w:firstLine="360" w:firstLineChars="200"/>
        <w:jc w:val="both"/>
        <w:rPr>
          <w:rFonts w:cs="宋体" w:asciiTheme="majorEastAsia" w:hAnsiTheme="majorEastAsia" w:eastAsiaTheme="majorEastAsia"/>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w:t>
      </w:r>
      <w:r>
        <w:rPr>
          <w:rFonts w:hint="eastAsia" w:ascii="黑体" w:hAnsi="黑体" w:eastAsia="黑体" w:cs="宋体"/>
          <w:bCs/>
          <w:color w:val="000000"/>
          <w:sz w:val="18"/>
          <w:szCs w:val="18"/>
          <w:lang w:val="en-US" w:eastAsia="zh-CN" w:bidi="ar-SA"/>
        </w:rPr>
        <w:t>销售文件</w:t>
      </w:r>
      <w:r>
        <w:rPr>
          <w:rFonts w:ascii="黑体" w:hAnsi="黑体" w:eastAsia="黑体" w:cs="宋体"/>
          <w:bCs/>
          <w:color w:val="000000"/>
          <w:sz w:val="18"/>
          <w:szCs w:val="18"/>
          <w:lang w:val="en-US" w:eastAsia="zh-CN" w:bidi="ar-SA"/>
        </w:rPr>
        <w:t>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cs="宋体" w:asciiTheme="majorEastAsia" w:hAnsiTheme="majorEastAsia" w:eastAsiaTheme="majorEastAsia"/>
          <w:b/>
          <w:color w:val="auto"/>
          <w:sz w:val="18"/>
          <w:szCs w:val="18"/>
          <w:lang w:val="en-US" w:eastAsia="zh-CN" w:bidi="ar-SA"/>
        </w:rPr>
        <w:t>（三）投资限制</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1.组合限制</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1）股票；</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8</w:t>
      </w:r>
      <w:r>
        <w:rPr>
          <w:rFonts w:hint="eastAsia" w:cs="宋体"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非主观因素导致突破前款各项比例限制的，产品管理人应当在10个交易日内调整至符合要求，监管部门规定的特殊情形除外。</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w:t>
      </w:r>
      <w:r>
        <w:rPr>
          <w:rFonts w:cs="宋体" w:asciiTheme="majorEastAsia" w:hAnsiTheme="majorEastAsia" w:eastAsiaTheme="majorEastAsia"/>
          <w:bCs/>
          <w:sz w:val="18"/>
          <w:szCs w:val="18"/>
        </w:rPr>
        <w:t>本</w:t>
      </w:r>
      <w:r>
        <w:rPr>
          <w:rFonts w:hint="eastAsia" w:cs="宋体"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4</w:t>
      </w:r>
      <w:r>
        <w:rPr>
          <w:rFonts w:cs="宋体" w:asciiTheme="majorEastAsia" w:hAnsiTheme="majorEastAsia" w:eastAsiaTheme="majorEastAsia"/>
          <w:bCs/>
          <w:kern w:val="0"/>
          <w:sz w:val="18"/>
          <w:szCs w:val="18"/>
        </w:rPr>
        <w:t>.产品管理人对产品的投资者</w:t>
      </w:r>
      <w:r>
        <w:rPr>
          <w:rFonts w:hint="eastAsia" w:cs="宋体"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cs="宋体" w:asciiTheme="majorEastAsia" w:hAnsiTheme="majorEastAsia" w:eastAsiaTheme="majorEastAsia"/>
          <w:bCs/>
          <w:kern w:val="0"/>
          <w:sz w:val="18"/>
          <w:szCs w:val="18"/>
        </w:rPr>
      </w:pPr>
      <w:r>
        <w:rPr>
          <w:rFonts w:hint="eastAsia" w:cs="宋体"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5</w:t>
      </w:r>
      <w:r>
        <w:rPr>
          <w:rFonts w:ascii="宋体" w:hAnsi="宋体" w:cs="宋体"/>
          <w:bCs/>
          <w:sz w:val="18"/>
          <w:szCs w:val="18"/>
        </w:rPr>
        <w:t>.</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6.</w:t>
      </w:r>
      <w:r>
        <w:rPr>
          <w:rFonts w:cs="宋体" w:asciiTheme="majorEastAsia" w:hAnsiTheme="majorEastAsia" w:eastAsiaTheme="majorEastAsia"/>
          <w:bCs/>
          <w:sz w:val="18"/>
          <w:szCs w:val="18"/>
        </w:rPr>
        <w:t>如果法律法规对本</w:t>
      </w:r>
      <w:r>
        <w:rPr>
          <w:rFonts w:hint="eastAsia" w:cs="宋体" w:asciiTheme="majorEastAsia" w:hAnsiTheme="majorEastAsia" w:eastAsiaTheme="majorEastAsia"/>
          <w:bCs/>
          <w:sz w:val="18"/>
          <w:szCs w:val="18"/>
        </w:rPr>
        <w:t>销售文件</w:t>
      </w:r>
      <w:r>
        <w:rPr>
          <w:rFonts w:cs="宋体" w:asciiTheme="majorEastAsia" w:hAnsiTheme="majorEastAsia" w:eastAsiaTheme="majorEastAsia"/>
          <w:bCs/>
          <w:sz w:val="18"/>
          <w:szCs w:val="18"/>
        </w:rPr>
        <w:t>约定的投资限制进行变更的，以变更后的规定为准。</w:t>
      </w:r>
    </w:p>
    <w:p>
      <w:pPr>
        <w:spacing w:line="360" w:lineRule="auto"/>
        <w:ind w:firstLine="361" w:firstLineChars="200"/>
        <w:rPr>
          <w:rFonts w:cs="宋体" w:asciiTheme="majorEastAsia" w:hAnsiTheme="majorEastAsia" w:eastAsiaTheme="majorEastAsia"/>
          <w:b/>
          <w:bCs/>
          <w:sz w:val="18"/>
          <w:szCs w:val="18"/>
        </w:rPr>
      </w:pPr>
      <w:r>
        <w:rPr>
          <w:rFonts w:cs="宋体" w:asciiTheme="majorEastAsia" w:hAnsiTheme="majorEastAsia" w:eastAsiaTheme="majorEastAsia"/>
          <w:b/>
          <w:bCs/>
          <w:sz w:val="18"/>
          <w:szCs w:val="18"/>
        </w:rPr>
        <w:t>（</w:t>
      </w:r>
      <w:r>
        <w:rPr>
          <w:rFonts w:hint="eastAsia" w:cs="宋体" w:asciiTheme="majorEastAsia" w:hAnsiTheme="majorEastAsia" w:eastAsiaTheme="majorEastAsia"/>
          <w:b/>
          <w:bCs/>
          <w:sz w:val="18"/>
          <w:szCs w:val="18"/>
        </w:rPr>
        <w:t>四</w:t>
      </w:r>
      <w:r>
        <w:rPr>
          <w:rFonts w:cs="宋体" w:asciiTheme="majorEastAsia" w:hAnsiTheme="majorEastAsia" w:eastAsiaTheme="majorEastAsia"/>
          <w:b/>
          <w:bCs/>
          <w:sz w:val="18"/>
          <w:szCs w:val="18"/>
        </w:rPr>
        <w:t>）</w:t>
      </w:r>
      <w:r>
        <w:rPr>
          <w:rFonts w:hint="eastAsia" w:cs="宋体" w:asciiTheme="majorEastAsia" w:hAnsiTheme="majorEastAsia" w:eastAsiaTheme="majorEastAsia"/>
          <w:b/>
          <w:bCs/>
          <w:sz w:val="18"/>
          <w:szCs w:val="18"/>
        </w:rPr>
        <w:t>投资策略</w:t>
      </w:r>
    </w:p>
    <w:p>
      <w:pPr>
        <w:widowControl w:val="0"/>
        <w:autoSpaceDE w:val="0"/>
        <w:autoSpaceDN w:val="0"/>
        <w:adjustRightInd w:val="0"/>
        <w:spacing w:line="360" w:lineRule="auto"/>
        <w:ind w:firstLine="360" w:firstLineChars="200"/>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pPr>
        <w:pStyle w:val="6"/>
        <w:shd w:val="clear" w:color="auto" w:fill="FFFFFF"/>
        <w:spacing w:line="360" w:lineRule="auto"/>
        <w:rPr>
          <w:rFonts w:asciiTheme="majorEastAsia" w:hAnsiTheme="majorEastAsia" w:eastAsiaTheme="majorEastAsia"/>
          <w:sz w:val="18"/>
          <w:szCs w:val="18"/>
        </w:rPr>
      </w:pPr>
    </w:p>
    <w:p>
      <w:pPr>
        <w:pStyle w:val="6"/>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8" w:name="_Toc24783"/>
      <w:bookmarkStart w:id="99" w:name="_Toc21988"/>
      <w:bookmarkStart w:id="100" w:name="_Toc4741"/>
      <w:bookmarkStart w:id="101" w:name="_Toc18526"/>
      <w:bookmarkStart w:id="102" w:name="_Toc18797"/>
      <w:bookmarkStart w:id="103" w:name="_Toc1823"/>
      <w:bookmarkStart w:id="104" w:name="_Toc7848"/>
      <w:bookmarkStart w:id="105" w:name="_Toc17912"/>
      <w:bookmarkStart w:id="106" w:name="_Toc176189283"/>
      <w:bookmarkStart w:id="107" w:name="_Toc141703885"/>
      <w:bookmarkStart w:id="108" w:name="_Toc14893"/>
      <w:bookmarkStart w:id="109" w:name="_Toc18329"/>
      <w:bookmarkStart w:id="110" w:name="_Toc74065742"/>
      <w:bookmarkStart w:id="111" w:name="_Toc26986"/>
      <w:bookmarkStart w:id="112" w:name="_Toc139991735"/>
      <w:bookmarkStart w:id="113" w:name="_Toc79154669"/>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六条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bookmarkStart w:id="114" w:name="_Hlk490214295"/>
      <w:r>
        <w:rPr>
          <w:rFonts w:hint="eastAsia" w:cs="宋体" w:asciiTheme="majorEastAsia" w:hAnsiTheme="majorEastAsia" w:eastAsiaTheme="majorEastAsia"/>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1.</w:t>
      </w:r>
      <w:r>
        <w:rPr>
          <w:rFonts w:hint="eastAsia" w:cs="宋体" w:asciiTheme="majorEastAsia" w:hAnsiTheme="majorEastAsia" w:eastAsiaTheme="majorEastAsia"/>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3.</w:t>
      </w:r>
      <w:r>
        <w:rPr>
          <w:rFonts w:hint="eastAsia" w:cs="宋体" w:asciiTheme="majorEastAsia" w:hAnsiTheme="majorEastAsia" w:eastAsiaTheme="majorEastAsia"/>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1.</w:t>
      </w:r>
      <w:r>
        <w:rPr>
          <w:rFonts w:hint="eastAsia" w:cs="宋体" w:asciiTheme="majorEastAsia" w:hAnsiTheme="majorEastAsia" w:eastAsiaTheme="majorEastAsia"/>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cs="宋体" w:asciiTheme="majorEastAsia" w:hAnsiTheme="majorEastAsia" w:eastAsiaTheme="majorEastAsia"/>
          <w:color w:val="auto"/>
          <w:sz w:val="18"/>
          <w:szCs w:val="18"/>
          <w:lang w:val="en-US" w:eastAsia="zh-CN" w:bidi="ar-SA"/>
        </w:rPr>
      </w:pPr>
      <w:r>
        <w:rPr>
          <w:rFonts w:cs="宋体" w:asciiTheme="majorEastAsia" w:hAnsiTheme="majorEastAsia" w:eastAsiaTheme="majorEastAsia"/>
          <w:color w:val="auto"/>
          <w:sz w:val="18"/>
          <w:szCs w:val="18"/>
          <w:lang w:val="en-US" w:eastAsia="zh-CN" w:bidi="ar-SA"/>
        </w:rPr>
        <w:t>2.</w:t>
      </w:r>
      <w:r>
        <w:rPr>
          <w:rFonts w:hint="eastAsia" w:cs="宋体" w:asciiTheme="majorEastAsia" w:hAnsiTheme="majorEastAsia" w:eastAsiaTheme="majorEastAsia"/>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cs="宋体" w:asciiTheme="majorEastAsia" w:hAnsiTheme="majorEastAsia" w:eastAsiaTheme="majorEastAsia"/>
          <w:kern w:val="0"/>
          <w:sz w:val="18"/>
          <w:szCs w:val="18"/>
        </w:rPr>
      </w:pPr>
      <w:r>
        <w:rPr>
          <w:rFonts w:cs="宋体" w:asciiTheme="majorEastAsia" w:hAnsiTheme="majorEastAsia" w:eastAsiaTheme="majorEastAsia"/>
          <w:sz w:val="18"/>
          <w:szCs w:val="18"/>
        </w:rPr>
        <w:br w:type="page"/>
      </w:r>
    </w:p>
    <w:bookmarkEnd w:id="11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15" w:name="_Toc23261"/>
      <w:bookmarkStart w:id="116" w:name="_Toc139991736"/>
      <w:bookmarkStart w:id="117" w:name="_Toc5681"/>
      <w:bookmarkStart w:id="118" w:name="_Toc20733"/>
      <w:bookmarkStart w:id="119" w:name="_Toc176189284"/>
      <w:bookmarkStart w:id="120" w:name="_Toc23822"/>
      <w:bookmarkStart w:id="121" w:name="_Toc123051452"/>
      <w:bookmarkStart w:id="122" w:name="_Toc48649707"/>
      <w:bookmarkStart w:id="123" w:name="_Toc7920"/>
      <w:bookmarkStart w:id="124" w:name="_Toc74065743"/>
      <w:bookmarkStart w:id="125" w:name="_Toc4003"/>
      <w:bookmarkStart w:id="126" w:name="_Toc1270"/>
      <w:bookmarkStart w:id="127" w:name="_Toc610"/>
      <w:bookmarkStart w:id="128" w:name="_Toc123102453"/>
      <w:bookmarkStart w:id="129" w:name="_Toc1427"/>
      <w:bookmarkStart w:id="130" w:name="_Toc17244"/>
      <w:bookmarkStart w:id="131" w:name="_Toc79392606"/>
      <w:bookmarkStart w:id="132" w:name="_Toc123112234"/>
      <w:bookmarkStart w:id="133" w:name="_Toc98560352"/>
      <w:bookmarkStart w:id="134" w:name="_Toc10463"/>
      <w:bookmarkStart w:id="135" w:name="_Toc141703886"/>
      <w:bookmarkStart w:id="136" w:name="_Toc79154670"/>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七条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（一）估值目的</w:t>
      </w:r>
    </w:p>
    <w:p>
      <w:pPr>
        <w:widowControl w:val="0"/>
        <w:autoSpaceDE w:val="0"/>
        <w:autoSpaceDN w:val="0"/>
        <w:adjustRightInd w:val="0"/>
        <w:spacing w:line="360" w:lineRule="auto"/>
        <w:ind w:firstLine="36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宋体"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本产品存续期间，管理人每日进行估值。</w:t>
      </w:r>
    </w:p>
    <w:p>
      <w:pPr>
        <w:widowControl w:val="0"/>
        <w:autoSpaceDE w:val="0"/>
        <w:autoSpaceDN w:val="0"/>
        <w:adjustRightInd w:val="0"/>
        <w:spacing w:line="360" w:lineRule="auto"/>
        <w:ind w:firstLine="361"/>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（三）估值对象</w:t>
      </w:r>
    </w:p>
    <w:p>
      <w:pPr>
        <w:widowControl w:val="0"/>
        <w:autoSpaceDE w:val="0"/>
        <w:autoSpaceDN w:val="0"/>
        <w:adjustRightInd w:val="0"/>
        <w:spacing w:line="360" w:lineRule="auto"/>
        <w:ind w:firstLine="450" w:firstLineChars="25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本产品所拥有的各类证券、资产管理产品和银行存款本息、应收款项、其它投资等资产及负债。</w:t>
      </w:r>
    </w:p>
    <w:p>
      <w:pPr>
        <w:widowControl w:val="0"/>
        <w:autoSpaceDE w:val="0"/>
        <w:autoSpaceDN w:val="0"/>
        <w:adjustRightInd w:val="0"/>
        <w:spacing w:line="360" w:lineRule="auto"/>
        <w:ind w:firstLine="361"/>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（四）估值方法</w:t>
      </w:r>
    </w:p>
    <w:p>
      <w:pPr>
        <w:widowControl w:val="0"/>
        <w:autoSpaceDE w:val="0"/>
        <w:autoSpaceDN w:val="0"/>
        <w:adjustRightInd w:val="0"/>
        <w:spacing w:line="360" w:lineRule="auto"/>
        <w:ind w:firstLine="361"/>
        <w:rPr>
          <w:rFonts w:cs="宋体" w:asciiTheme="minorEastAsia" w:hAnsiTheme="minorEastAsia" w:eastAsiaTheme="minorEastAsia"/>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1.</w:t>
      </w:r>
      <w:r>
        <w:rPr>
          <w:rFonts w:hint="eastAsia" w:cs="宋体" w:asciiTheme="minorEastAsia" w:hAnsiTheme="minorEastAsia" w:eastAsiaTheme="minorEastAsia"/>
          <w:color w:val="auto"/>
          <w:sz w:val="18"/>
          <w:szCs w:val="18"/>
          <w:lang w:val="en-US" w:eastAsia="zh-CN" w:bidi="ar-SA"/>
        </w:rPr>
        <w:t>标准化债权类资产估值</w:t>
      </w:r>
    </w:p>
    <w:p>
      <w:pPr>
        <w:widowControl w:val="0"/>
        <w:autoSpaceDE w:val="0"/>
        <w:autoSpaceDN w:val="0"/>
        <w:adjustRightInd w:val="0"/>
        <w:spacing w:line="360" w:lineRule="auto"/>
        <w:ind w:firstLine="36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债券类资产采用摊余成本法估值，即估值对象以买入成本列示，按票面利率或协议利率并考虑其买入时的溢价与折价，在其剩余存续期内按照实际利率法进行摊销，每日计提损益。</w:t>
      </w:r>
    </w:p>
    <w:p>
      <w:pPr>
        <w:widowControl w:val="0"/>
        <w:autoSpaceDE w:val="0"/>
        <w:autoSpaceDN w:val="0"/>
        <w:adjustRightInd w:val="0"/>
        <w:spacing w:line="360" w:lineRule="auto"/>
        <w:ind w:firstLine="361"/>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2</w:t>
      </w:r>
      <w:r>
        <w:rPr>
          <w:rFonts w:cs="宋体" w:asciiTheme="minorEastAsia" w:hAnsiTheme="minorEastAsia" w:eastAsiaTheme="minorEastAsia"/>
          <w:color w:val="auto"/>
          <w:sz w:val="18"/>
          <w:szCs w:val="18"/>
          <w:lang w:val="en-US" w:eastAsia="zh-CN" w:bidi="ar-SA"/>
        </w:rPr>
        <w:t>.</w:t>
      </w:r>
      <w:r>
        <w:rPr>
          <w:rFonts w:hint="eastAsia" w:cs="宋体" w:asciiTheme="minorEastAsia" w:hAnsiTheme="minorEastAsia" w:eastAsiaTheme="minorEastAsia"/>
          <w:color w:val="auto"/>
          <w:sz w:val="18"/>
          <w:szCs w:val="18"/>
          <w:lang w:val="en-US" w:eastAsia="zh-CN" w:bidi="ar-SA"/>
        </w:rPr>
        <w:t>货币市场基金估值</w:t>
      </w:r>
    </w:p>
    <w:p>
      <w:pPr>
        <w:widowControl w:val="0"/>
        <w:autoSpaceDE w:val="0"/>
        <w:autoSpaceDN w:val="0"/>
        <w:adjustRightInd w:val="0"/>
        <w:spacing w:line="360" w:lineRule="auto"/>
        <w:ind w:firstLine="361"/>
        <w:rPr>
          <w:rFonts w:cs="宋体" w:asciiTheme="minorEastAsia" w:hAnsiTheme="minorEastAsia" w:eastAsiaTheme="minorEastAsia"/>
          <w:color w:val="auto"/>
          <w:sz w:val="18"/>
          <w:szCs w:val="18"/>
          <w:lang w:val="en-US" w:eastAsia="zh-CN" w:bidi="ar-SA"/>
        </w:rPr>
      </w:pPr>
      <w:r>
        <w:rPr>
          <w:rFonts w:cs="宋体" w:asciiTheme="minorEastAsia" w:hAnsiTheme="minorEastAsia" w:eastAsiaTheme="minorEastAsia"/>
          <w:color w:val="auto"/>
          <w:sz w:val="18"/>
          <w:szCs w:val="18"/>
          <w:lang w:val="en-US" w:eastAsia="zh-CN" w:bidi="ar-SA"/>
        </w:rPr>
        <w:t>（</w:t>
      </w:r>
      <w:r>
        <w:rPr>
          <w:rFonts w:hint="eastAsia" w:cs="宋体" w:asciiTheme="minorEastAsia" w:hAnsiTheme="minorEastAsia" w:eastAsiaTheme="minorEastAsia"/>
          <w:color w:val="auto"/>
          <w:sz w:val="18"/>
          <w:szCs w:val="18"/>
          <w:lang w:val="en-US" w:eastAsia="zh-CN" w:bidi="ar-SA"/>
        </w:rPr>
        <w:t>1</w:t>
      </w:r>
      <w:r>
        <w:rPr>
          <w:rFonts w:cs="宋体" w:asciiTheme="minorEastAsia" w:hAnsiTheme="minorEastAsia" w:eastAsiaTheme="minorEastAsia"/>
          <w:color w:val="auto"/>
          <w:sz w:val="18"/>
          <w:szCs w:val="18"/>
          <w:lang w:val="en-US" w:eastAsia="zh-CN" w:bidi="ar-SA"/>
        </w:rPr>
        <w:t>）本产品投资的境内非上市货币市场基金，按所投资基金前一估值日后至估值日期间（含节假日）的万份收益计提估值日基金收益</w:t>
      </w:r>
      <w:r>
        <w:rPr>
          <w:rFonts w:hint="eastAsia" w:cs="宋体" w:asciiTheme="minorEastAsia" w:hAnsiTheme="minorEastAsia" w:eastAsiaTheme="minorEastAsia"/>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1"/>
        <w:rPr>
          <w:rFonts w:cs="宋体" w:asciiTheme="minorEastAsia" w:hAnsiTheme="minorEastAsia" w:eastAsiaTheme="minorEastAsia"/>
          <w:color w:val="000000"/>
          <w:sz w:val="18"/>
          <w:szCs w:val="18"/>
          <w:lang w:val="en-US" w:eastAsia="zh-CN" w:bidi="ar-SA"/>
        </w:rPr>
      </w:pPr>
      <w:r>
        <w:rPr>
          <w:rFonts w:cs="宋体" w:asciiTheme="minorEastAsia" w:hAnsiTheme="minorEastAsia" w:eastAsiaTheme="minorEastAsia"/>
          <w:color w:val="auto"/>
          <w:sz w:val="18"/>
          <w:szCs w:val="18"/>
          <w:lang w:val="en-US" w:eastAsia="zh-CN" w:bidi="ar-SA"/>
        </w:rPr>
        <w:t>（2)本产品投资的境内上市交易型货币市场基金，如所投资基金披露份额净值，则按所投资基金估值日的份额净值估值，</w:t>
      </w:r>
      <w:r>
        <w:rPr>
          <w:rFonts w:hint="eastAsia" w:cs="宋体" w:asciiTheme="minorEastAsia" w:hAnsiTheme="minorEastAsia" w:eastAsiaTheme="minorEastAsia"/>
          <w:color w:val="auto"/>
          <w:sz w:val="18"/>
          <w:szCs w:val="18"/>
          <w:lang w:val="en-US" w:eastAsia="zh-CN" w:bidi="ar-SA"/>
        </w:rPr>
        <w:t>若估值日基金份额净值未公布的，以基金管理人最近公布的基金份额净值计算；</w:t>
      </w:r>
      <w:r>
        <w:rPr>
          <w:rFonts w:cs="宋体" w:asciiTheme="minorEastAsia" w:hAnsiTheme="minorEastAsia" w:eastAsiaTheme="minorEastAsia"/>
          <w:color w:val="auto"/>
          <w:sz w:val="18"/>
          <w:szCs w:val="18"/>
          <w:lang w:val="en-US" w:eastAsia="zh-CN" w:bidi="ar-SA"/>
        </w:rPr>
        <w:t>如所投资基金披露万份（百份）收益，则按所投资基金前一估值日后至估值日期间（含节假日）的万份（百份）收益计提估值日基金收益</w:t>
      </w:r>
      <w:r>
        <w:rPr>
          <w:rFonts w:hint="eastAsia" w:cs="宋体" w:asciiTheme="minorEastAsia" w:hAnsiTheme="minorEastAsia" w:eastAsiaTheme="minorEastAsia"/>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1"/>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3</w:t>
      </w:r>
      <w:r>
        <w:rPr>
          <w:rFonts w:cs="宋体" w:asciiTheme="minorEastAsia" w:hAnsiTheme="minorEastAsia" w:eastAsiaTheme="minorEastAsia"/>
          <w:color w:val="auto"/>
          <w:sz w:val="18"/>
          <w:szCs w:val="18"/>
          <w:lang w:val="en-US" w:eastAsia="zh-CN" w:bidi="ar-SA"/>
        </w:rPr>
        <w:t>.</w:t>
      </w:r>
      <w:r>
        <w:rPr>
          <w:rFonts w:hint="eastAsia" w:cs="宋体" w:asciiTheme="minorEastAsia" w:hAnsiTheme="minorEastAsia" w:eastAsiaTheme="minorEastAsia"/>
          <w:color w:val="auto"/>
          <w:sz w:val="18"/>
          <w:szCs w:val="18"/>
          <w:lang w:val="en-US" w:eastAsia="zh-CN" w:bidi="ar-SA"/>
        </w:rPr>
        <w:t>其他资产管理产品的估值</w:t>
      </w:r>
    </w:p>
    <w:p>
      <w:pPr>
        <w:spacing w:line="360" w:lineRule="auto"/>
        <w:ind w:firstLine="360" w:firstLineChars="200"/>
        <w:rPr>
          <w:rFonts w:ascii="Calibri" w:hAnsi="宋体" w:cs="宋体"/>
          <w:sz w:val="18"/>
          <w:szCs w:val="22"/>
        </w:rPr>
      </w:pPr>
      <w:r>
        <w:rPr>
          <w:rFonts w:hint="eastAsia" w:ascii="Calibri" w:hAnsi="宋体" w:cs="宋体"/>
          <w:sz w:val="18"/>
          <w:szCs w:val="22"/>
        </w:rPr>
        <w:t>其他资产管理产品，指理财产品投资的除证券投资基金以外的其他资产管理产品，主要包括：</w:t>
      </w:r>
      <w:r>
        <w:rPr>
          <w:rFonts w:ascii="Calibri" w:hAnsi="宋体" w:cs="宋体"/>
          <w:sz w:val="18"/>
          <w:szCs w:val="22"/>
        </w:rPr>
        <w:t>信托公司</w:t>
      </w:r>
      <w:r>
        <w:rPr>
          <w:rFonts w:hint="eastAsia" w:ascii="Calibri" w:hAnsi="宋体" w:cs="宋体"/>
          <w:sz w:val="18"/>
          <w:szCs w:val="22"/>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cs="宋体"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ascii="Calibri" w:hAnsi="宋体" w:cs="宋体"/>
          <w:sz w:val="18"/>
          <w:szCs w:val="22"/>
        </w:rPr>
      </w:pPr>
      <w:r>
        <w:rPr>
          <w:rFonts w:hint="eastAsia" w:cs="宋体" w:asciiTheme="minorEastAsia" w:hAnsiTheme="minorEastAsia" w:eastAsiaTheme="minorEastAsia"/>
          <w:sz w:val="18"/>
          <w:szCs w:val="18"/>
        </w:rPr>
        <w:t>4</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存款、拆借、回购等货币市场工具的估值</w:t>
      </w:r>
    </w:p>
    <w:p>
      <w:pPr>
        <w:spacing w:line="360" w:lineRule="auto"/>
        <w:ind w:firstLine="360" w:firstLineChars="200"/>
        <w:rPr>
          <w:rFonts w:ascii="Calibri" w:hAnsi="宋体" w:cs="宋体"/>
          <w:sz w:val="18"/>
          <w:szCs w:val="18"/>
        </w:rPr>
      </w:pPr>
      <w:r>
        <w:rPr>
          <w:rFonts w:hint="eastAsia" w:ascii="Calibri" w:hAnsi="宋体" w:cs="宋体"/>
          <w:sz w:val="18"/>
          <w:szCs w:val="18"/>
        </w:rPr>
        <w:t>以本金列示，按商定利率在实际持有期间内逐日计提利息。</w:t>
      </w:r>
    </w:p>
    <w:p>
      <w:pPr>
        <w:spacing w:line="360" w:lineRule="auto"/>
        <w:ind w:firstLine="360" w:firstLineChars="20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5.为了避免采用</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摊余成本法</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影子定价</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w:t>
      </w:r>
    </w:p>
    <w:p>
      <w:pPr>
        <w:spacing w:line="360" w:lineRule="auto"/>
        <w:ind w:firstLine="360" w:firstLineChars="20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当影子定价确定的资产净值与摊余成本法计算的资产净值正偏离度绝对值达到0.5%时，管理人将暂停接受认</w:t>
      </w:r>
      <w:r>
        <w:rPr>
          <w:rFonts w:cs="宋体" w:asciiTheme="minorEastAsia" w:hAnsiTheme="minorEastAsia" w:eastAsiaTheme="minorEastAsia"/>
          <w:sz w:val="18"/>
          <w:szCs w:val="18"/>
        </w:rPr>
        <w:t>/申</w:t>
      </w:r>
      <w:r>
        <w:rPr>
          <w:rFonts w:hint="eastAsia" w:cs="宋体"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cs="宋体" w:asciiTheme="minorEastAsia" w:hAnsiTheme="minorEastAsia" w:eastAsiaTheme="minorEastAsia"/>
          <w:sz w:val="18"/>
          <w:szCs w:val="18"/>
        </w:rPr>
        <w:t xml:space="preserve"> </w:t>
      </w:r>
    </w:p>
    <w:p>
      <w:pPr>
        <w:spacing w:line="360" w:lineRule="auto"/>
        <w:ind w:firstLine="360" w:firstLineChars="200"/>
        <w:rPr>
          <w:rFonts w:cs="宋体" w:asciiTheme="minorEastAsia" w:hAnsiTheme="minorEastAsia" w:eastAsiaTheme="minorEastAsia"/>
          <w:sz w:val="18"/>
          <w:szCs w:val="18"/>
        </w:rPr>
      </w:pPr>
      <w:r>
        <w:rPr>
          <w:rFonts w:hint="eastAsia" w:ascii="宋体" w:hAnsi="宋体" w:cs="宋体"/>
          <w:bCs/>
          <w:sz w:val="18"/>
          <w:szCs w:val="18"/>
        </w:rPr>
        <w:t>6.</w:t>
      </w:r>
      <w:r>
        <w:rPr>
          <w:rFonts w:ascii="宋体" w:hAnsi="宋体" w:cs="宋体"/>
          <w:bCs/>
          <w:sz w:val="18"/>
          <w:szCs w:val="18"/>
        </w:rPr>
        <w:t>如有确凿证据表明按上述方法进行估</w:t>
      </w:r>
      <w:r>
        <w:rPr>
          <w:rFonts w:hint="eastAsia" w:cs="宋体" w:asciiTheme="minorEastAsia" w:hAnsiTheme="minorEastAsia"/>
          <w:sz w:val="18"/>
          <w:szCs w:val="18"/>
        </w:rPr>
        <w:t>值不能客观反映其公允价值的，产品管理人可根据具体情况与产品托管人商定后，</w:t>
      </w:r>
      <w:r>
        <w:rPr>
          <w:rFonts w:hint="eastAsia" w:ascii="Calibri" w:hAnsi="宋体" w:cs="宋体"/>
          <w:sz w:val="18"/>
          <w:szCs w:val="18"/>
        </w:rPr>
        <w:t>在综合考虑市场成交、市场报价、流动性、收益率曲线等因素基础上，</w:t>
      </w:r>
      <w:r>
        <w:rPr>
          <w:rFonts w:hint="eastAsia" w:cs="宋体" w:asciiTheme="minorEastAsia" w:hAnsiTheme="minorEastAsia"/>
          <w:sz w:val="18"/>
          <w:szCs w:val="18"/>
        </w:rPr>
        <w:t>按最能反映公</w:t>
      </w:r>
      <w:r>
        <w:rPr>
          <w:rFonts w:hint="eastAsia" w:cs="宋体" w:asciiTheme="minorEastAsia" w:hAnsiTheme="minorEastAsia" w:eastAsiaTheme="minorEastAsia"/>
          <w:sz w:val="18"/>
          <w:szCs w:val="18"/>
        </w:rPr>
        <w:t>允价值的价格估值。</w:t>
      </w:r>
    </w:p>
    <w:p>
      <w:pPr>
        <w:spacing w:line="360" w:lineRule="auto"/>
        <w:ind w:firstLine="360" w:firstLineChars="200"/>
        <w:rPr>
          <w:rFonts w:cs="宋体" w:asciiTheme="minorEastAsia" w:hAnsiTheme="minorEastAsia" w:eastAsiaTheme="minorEastAsia"/>
          <w:sz w:val="18"/>
          <w:szCs w:val="18"/>
        </w:rPr>
      </w:pPr>
      <w:r>
        <w:rPr>
          <w:rFonts w:cs="宋体" w:asciiTheme="minorEastAsia" w:hAnsiTheme="minorEastAsia" w:eastAsiaTheme="minorEastAsia"/>
          <w:sz w:val="18"/>
          <w:szCs w:val="18"/>
        </w:rPr>
        <w:t>7</w:t>
      </w:r>
      <w:r>
        <w:rPr>
          <w:rFonts w:hint="eastAsia" w:cs="宋体" w:asciiTheme="minorEastAsia" w:hAnsiTheme="minorEastAsia" w:eastAsiaTheme="minorEastAsia"/>
          <w:sz w:val="18"/>
          <w:szCs w:val="18"/>
        </w:rPr>
        <w:t>.估值方法的调整</w:t>
      </w:r>
    </w:p>
    <w:p>
      <w:pPr>
        <w:widowControl w:val="0"/>
        <w:autoSpaceDE w:val="0"/>
        <w:autoSpaceDN w:val="0"/>
        <w:adjustRightInd w:val="0"/>
        <w:spacing w:line="360" w:lineRule="auto"/>
        <w:ind w:firstLine="360"/>
        <w:rPr>
          <w:rFonts w:ascii="黑体" w:hAnsi="黑体" w:eastAsia="黑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hint="eastAsia" w:ascii="黑体" w:hAnsi="黑体" w:eastAsia="黑体" w:cs="宋体"/>
          <w:color w:val="auto"/>
          <w:sz w:val="18"/>
          <w:szCs w:val="18"/>
          <w:lang w:val="en-US" w:eastAsia="zh-CN" w:bidi="ar-SA"/>
        </w:rPr>
        <w:t>相关法律法规以及监管部门有强制规定的，从其规定。如有新增事项，按国家最新规定估值。</w:t>
      </w:r>
    </w:p>
    <w:p>
      <w:pPr>
        <w:widowControl w:val="0"/>
        <w:autoSpaceDE w:val="0"/>
        <w:autoSpaceDN w:val="0"/>
        <w:adjustRightInd w:val="0"/>
        <w:spacing w:line="360" w:lineRule="auto"/>
        <w:ind w:firstLine="361"/>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（五）估值程序</w:t>
      </w:r>
    </w:p>
    <w:p>
      <w:pPr>
        <w:widowControl w:val="0"/>
        <w:autoSpaceDE w:val="0"/>
        <w:autoSpaceDN w:val="0"/>
        <w:adjustRightInd w:val="0"/>
        <w:spacing w:line="360" w:lineRule="auto"/>
        <w:ind w:firstLine="36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1.每万份理财产品收益是每万份理财份额的日净收益，精确至小数点后第</w:t>
      </w:r>
      <w:r>
        <w:rPr>
          <w:rFonts w:ascii="宋体" w:hAnsi="宋体" w:eastAsia="宋体" w:cs="宋体"/>
          <w:color w:val="auto"/>
          <w:sz w:val="18"/>
          <w:szCs w:val="18"/>
          <w:lang w:val="en-US" w:eastAsia="zh-CN" w:bidi="ar-SA"/>
        </w:rPr>
        <w:t>4位，小数点后第5</w:t>
      </w:r>
      <w:r>
        <w:rPr>
          <w:rFonts w:hint="eastAsia" w:ascii="宋体" w:hAnsi="宋体" w:eastAsia="宋体" w:cs="宋体"/>
          <w:color w:val="auto"/>
          <w:sz w:val="18"/>
          <w:szCs w:val="18"/>
          <w:lang w:val="en-US" w:eastAsia="zh-CN" w:bidi="ar-SA"/>
        </w:rPr>
        <w:t>位按去尾原则处理。本产品的收益分配按日结转份额，</w:t>
      </w:r>
      <w:r>
        <w:rPr>
          <w:rFonts w:ascii="宋体" w:hAnsi="宋体" w:eastAsia="宋体" w:cs="宋体"/>
          <w:color w:val="auto"/>
          <w:sz w:val="18"/>
          <w:szCs w:val="18"/>
          <w:lang w:val="en-US" w:eastAsia="zh-CN" w:bidi="ar-SA"/>
        </w:rPr>
        <w:t>7</w:t>
      </w:r>
      <w:r>
        <w:rPr>
          <w:rFonts w:hint="eastAsia" w:ascii="宋体" w:hAnsi="宋体" w:eastAsia="宋体" w:cs="宋体"/>
          <w:color w:val="auto"/>
          <w:sz w:val="18"/>
          <w:szCs w:val="18"/>
          <w:lang w:val="en-US" w:eastAsia="zh-CN" w:bidi="ar-SA"/>
        </w:rPr>
        <w:t>日年化收益率是以最近</w:t>
      </w:r>
      <w:r>
        <w:rPr>
          <w:rFonts w:ascii="宋体" w:hAnsi="宋体" w:eastAsia="宋体" w:cs="宋体"/>
          <w:color w:val="auto"/>
          <w:sz w:val="18"/>
          <w:szCs w:val="18"/>
          <w:lang w:val="en-US" w:eastAsia="zh-CN" w:bidi="ar-SA"/>
        </w:rPr>
        <w:t>7</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含节假日</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收益所折算的年资产收益率，精确到百分号内小数点后</w:t>
      </w: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位，小数点后第</w:t>
      </w: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位四舍五入。国家另有规定的，从其规定。</w:t>
      </w:r>
    </w:p>
    <w:p>
      <w:pPr>
        <w:widowControl w:val="0"/>
        <w:autoSpaceDE w:val="0"/>
        <w:autoSpaceDN w:val="0"/>
        <w:adjustRightInd w:val="0"/>
        <w:spacing w:line="360" w:lineRule="auto"/>
        <w:ind w:firstLine="36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2.产品管理人对理财资产估值后，将理财产品份额净值、</w:t>
      </w:r>
      <w:r>
        <w:rPr>
          <w:rFonts w:hint="eastAsia" w:cs="宋体" w:asciiTheme="minorEastAsia" w:hAnsiTheme="minorEastAsia" w:eastAsiaTheme="minorEastAsia"/>
          <w:color w:val="auto"/>
          <w:sz w:val="18"/>
          <w:szCs w:val="18"/>
          <w:lang w:val="en-US" w:eastAsia="zh-CN" w:bidi="ar-SA"/>
        </w:rPr>
        <w:t>每万份理财收益和</w:t>
      </w:r>
      <w:r>
        <w:rPr>
          <w:rFonts w:cs="宋体" w:asciiTheme="minorEastAsia" w:hAnsiTheme="minorEastAsia" w:eastAsiaTheme="minorEastAsia"/>
          <w:color w:val="auto"/>
          <w:sz w:val="18"/>
          <w:szCs w:val="18"/>
          <w:lang w:val="en-US" w:eastAsia="zh-CN" w:bidi="ar-SA"/>
        </w:rPr>
        <w:t>7</w:t>
      </w:r>
      <w:r>
        <w:rPr>
          <w:rFonts w:hint="eastAsia" w:cs="宋体" w:asciiTheme="minorEastAsia" w:hAnsiTheme="minorEastAsia" w:eastAsiaTheme="minorEastAsia"/>
          <w:color w:val="auto"/>
          <w:sz w:val="18"/>
          <w:szCs w:val="18"/>
          <w:lang w:val="en-US" w:eastAsia="zh-CN" w:bidi="ar-SA"/>
        </w:rPr>
        <w:t>日年化收益率</w:t>
      </w:r>
      <w:r>
        <w:rPr>
          <w:rFonts w:hint="eastAsia" w:ascii="宋体" w:hAnsi="宋体" w:eastAsia="宋体" w:cs="宋体"/>
          <w:color w:val="auto"/>
          <w:sz w:val="18"/>
          <w:szCs w:val="18"/>
          <w:lang w:val="en-US" w:eastAsia="zh-CN" w:bidi="ar-SA"/>
        </w:rPr>
        <w:t>结果发送产品托管人，经产品托管人复核无误后，由产品管理人按规定对外公布。</w:t>
      </w:r>
    </w:p>
    <w:p>
      <w:pPr>
        <w:widowControl w:val="0"/>
        <w:autoSpaceDE w:val="0"/>
        <w:autoSpaceDN w:val="0"/>
        <w:adjustRightInd w:val="0"/>
        <w:spacing w:line="360" w:lineRule="auto"/>
        <w:ind w:firstLine="36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 xml:space="preserve">3. </w:t>
      </w:r>
      <w:r>
        <w:rPr>
          <w:rFonts w:hint="eastAsia" w:ascii="宋体" w:hAnsi="宋体" w:eastAsia="宋体" w:cs="宋体"/>
          <w:color w:val="auto"/>
          <w:sz w:val="18"/>
          <w:szCs w:val="18"/>
          <w:lang w:val="en-US" w:eastAsia="zh-CN" w:bidi="ar-SA"/>
        </w:rPr>
        <w:t>如产品管理人或产品托管人发现理财估值违反本说明书约定的估值方法、程序及相关法律法规的规定或者未能充分维护理财份额持有人权益时，应立即通知对方，共同查明原因，双方协商解决。</w:t>
      </w:r>
    </w:p>
    <w:p>
      <w:pPr>
        <w:widowControl w:val="0"/>
        <w:autoSpaceDE w:val="0"/>
        <w:autoSpaceDN w:val="0"/>
        <w:adjustRightInd w:val="0"/>
        <w:spacing w:line="360" w:lineRule="auto"/>
        <w:ind w:firstLine="361" w:firstLineChars="200"/>
        <w:rPr>
          <w:rFonts w:cs="Times New Roman" w:asciiTheme="minorEastAsia" w:hAnsiTheme="minorEastAsia" w:eastAsiaTheme="minorEastAsia"/>
          <w:b/>
          <w:color w:val="auto"/>
          <w:sz w:val="18"/>
          <w:szCs w:val="18"/>
          <w:lang w:val="en-US" w:eastAsia="zh-CN" w:bidi="ar-SA"/>
        </w:rPr>
      </w:pPr>
      <w:r>
        <w:rPr>
          <w:rFonts w:hint="eastAsia" w:cs="Times New Roman" w:asciiTheme="minorEastAsia" w:hAnsiTheme="minorEastAsia" w:eastAsiaTheme="minorEastAsia"/>
          <w:b/>
          <w:color w:val="auto"/>
          <w:sz w:val="18"/>
          <w:szCs w:val="18"/>
          <w:lang w:val="en-US" w:eastAsia="zh-CN" w:bidi="ar-SA"/>
        </w:rPr>
        <w:t>（六）估值主体</w:t>
      </w:r>
    </w:p>
    <w:p>
      <w:pPr>
        <w:widowControl w:val="0"/>
        <w:autoSpaceDE w:val="0"/>
        <w:autoSpaceDN w:val="0"/>
        <w:adjustRightInd w:val="0"/>
        <w:spacing w:line="360" w:lineRule="auto"/>
        <w:ind w:firstLine="36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7" w:name="_Hlt70481650"/>
      <w:bookmarkEnd w:id="137"/>
      <w:bookmarkStart w:id="138" w:name="_Toc123112235"/>
      <w:bookmarkStart w:id="139" w:name="_Toc29251"/>
      <w:bookmarkStart w:id="140" w:name="_Toc31644"/>
      <w:bookmarkStart w:id="141" w:name="_Toc74065744"/>
      <w:bookmarkStart w:id="142" w:name="_Toc26207"/>
      <w:bookmarkStart w:id="143" w:name="_Toc123102454"/>
      <w:bookmarkStart w:id="144" w:name="_Toc139991737"/>
      <w:bookmarkStart w:id="145" w:name="_Toc79154671"/>
      <w:bookmarkStart w:id="146" w:name="_Toc123051453"/>
      <w:bookmarkStart w:id="147" w:name="_Toc12245"/>
      <w:bookmarkStart w:id="148" w:name="_Toc6810"/>
      <w:bookmarkStart w:id="149" w:name="_Toc14835"/>
      <w:bookmarkStart w:id="150" w:name="_Toc176189285"/>
      <w:bookmarkStart w:id="151" w:name="_Toc31235"/>
      <w:bookmarkStart w:id="152" w:name="_Toc31653"/>
      <w:bookmarkStart w:id="153" w:name="_Toc98560353"/>
      <w:bookmarkStart w:id="154" w:name="_Toc6405"/>
      <w:bookmarkStart w:id="155" w:name="_Toc141703887"/>
      <w:bookmarkStart w:id="156" w:name="_Toc15143"/>
      <w:bookmarkStart w:id="157" w:name="_Toc3601"/>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八条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58" w:name="_Hlt55355235"/>
      <w:bookmarkEnd w:id="158"/>
      <w:bookmarkStart w:id="159" w:name="_Toc57530239"/>
      <w:bookmarkStart w:id="160" w:name="_Toc15118234"/>
      <w:bookmarkStart w:id="161" w:name="_Toc79392580"/>
      <w:bookmarkStart w:id="162" w:name="_Toc523711668"/>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本产品利益分配应遵循下列原则：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（1）每一产品份额</w:t>
      </w:r>
      <w:r>
        <w:rPr>
          <w:rFonts w:ascii="宋体" w:hAnsi="宋体" w:eastAsia="宋体" w:cs="宋体"/>
          <w:color w:val="auto"/>
          <w:sz w:val="18"/>
          <w:szCs w:val="18"/>
          <w:lang w:val="en-US" w:eastAsia="zh-CN" w:bidi="ar-SA"/>
        </w:rPr>
        <w:t>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本</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收益分配方式为红利再投资，免收再投资的费用</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每日分配、按日支付</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。本产品根据每日理财收益情况，以每万份理财收益为基准，为投资人每日计算当日收益并分配，且每日进行支付。投资者当日收益分配的计算保留到小数点后</w:t>
      </w: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位，小数点后第</w:t>
      </w: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位按去尾原则处理。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（4）</w:t>
      </w:r>
      <w:r>
        <w:rPr>
          <w:rFonts w:ascii="宋体" w:hAnsi="宋体" w:eastAsia="宋体" w:cs="宋体"/>
          <w:color w:val="auto"/>
          <w:sz w:val="18"/>
          <w:szCs w:val="18"/>
          <w:lang w:val="en-US" w:eastAsia="zh-CN" w:bidi="ar-SA"/>
        </w:rPr>
        <w:t>本</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根据每日收益情况，将当日收益全部分配，若当日</w:t>
      </w:r>
      <w:r>
        <w:rPr>
          <w:rFonts w:hint="eastAsia" w:ascii="宋体" w:hAnsi="宋体" w:eastAsia="宋体" w:cs="宋体"/>
          <w:color w:val="auto"/>
          <w:sz w:val="18"/>
          <w:szCs w:val="18"/>
          <w:lang w:val="en-US" w:eastAsia="zh-CN" w:bidi="ar-SA"/>
        </w:rPr>
        <w:t>理财产品收益</w:t>
      </w:r>
      <w:r>
        <w:rPr>
          <w:rFonts w:ascii="宋体" w:hAnsi="宋体" w:eastAsia="宋体" w:cs="宋体"/>
          <w:color w:val="auto"/>
          <w:sz w:val="18"/>
          <w:szCs w:val="18"/>
          <w:lang w:val="en-US" w:eastAsia="zh-CN" w:bidi="ar-SA"/>
        </w:rPr>
        <w:t>大于零时，为投资</w:t>
      </w:r>
      <w:r>
        <w:rPr>
          <w:rFonts w:hint="eastAsia" w:ascii="宋体" w:hAnsi="宋体" w:eastAsia="宋体" w:cs="宋体"/>
          <w:color w:val="auto"/>
          <w:sz w:val="18"/>
          <w:szCs w:val="18"/>
          <w:lang w:val="en-US" w:eastAsia="zh-CN" w:bidi="ar-SA"/>
        </w:rPr>
        <w:t>者</w:t>
      </w:r>
      <w:r>
        <w:rPr>
          <w:rFonts w:ascii="宋体" w:hAnsi="宋体" w:eastAsia="宋体" w:cs="宋体"/>
          <w:color w:val="auto"/>
          <w:sz w:val="18"/>
          <w:szCs w:val="18"/>
          <w:lang w:val="en-US" w:eastAsia="zh-CN" w:bidi="ar-SA"/>
        </w:rPr>
        <w:t>记正收益；若当日</w:t>
      </w:r>
      <w:r>
        <w:rPr>
          <w:rFonts w:hint="eastAsia" w:ascii="宋体" w:hAnsi="宋体" w:eastAsia="宋体" w:cs="宋体"/>
          <w:color w:val="auto"/>
          <w:sz w:val="18"/>
          <w:szCs w:val="18"/>
          <w:lang w:val="en-US" w:eastAsia="zh-CN" w:bidi="ar-SA"/>
        </w:rPr>
        <w:t>理财产品收益</w:t>
      </w:r>
      <w:r>
        <w:rPr>
          <w:rFonts w:ascii="宋体" w:hAnsi="宋体" w:eastAsia="宋体" w:cs="宋体"/>
          <w:color w:val="auto"/>
          <w:sz w:val="18"/>
          <w:szCs w:val="18"/>
          <w:lang w:val="en-US" w:eastAsia="zh-CN" w:bidi="ar-SA"/>
        </w:rPr>
        <w:t>小于零时，为投资人记负收益；若当日</w:t>
      </w:r>
      <w:r>
        <w:rPr>
          <w:rFonts w:hint="eastAsia" w:ascii="宋体" w:hAnsi="宋体" w:eastAsia="宋体" w:cs="宋体"/>
          <w:color w:val="auto"/>
          <w:sz w:val="18"/>
          <w:szCs w:val="18"/>
          <w:lang w:val="en-US" w:eastAsia="zh-CN" w:bidi="ar-SA"/>
        </w:rPr>
        <w:t>理财产品收益</w:t>
      </w:r>
      <w:r>
        <w:rPr>
          <w:rFonts w:ascii="宋体" w:hAnsi="宋体" w:eastAsia="宋体" w:cs="宋体"/>
          <w:color w:val="auto"/>
          <w:sz w:val="18"/>
          <w:szCs w:val="18"/>
          <w:lang w:val="en-US" w:eastAsia="zh-CN" w:bidi="ar-SA"/>
        </w:rPr>
        <w:t>等于零时，当日投资</w:t>
      </w:r>
      <w:r>
        <w:rPr>
          <w:rFonts w:hint="eastAsia" w:ascii="宋体" w:hAnsi="宋体" w:eastAsia="宋体" w:cs="宋体"/>
          <w:color w:val="auto"/>
          <w:sz w:val="18"/>
          <w:szCs w:val="18"/>
          <w:lang w:val="en-US" w:eastAsia="zh-CN" w:bidi="ar-SA"/>
        </w:rPr>
        <w:t>者</w:t>
      </w:r>
      <w:r>
        <w:rPr>
          <w:rFonts w:ascii="宋体" w:hAnsi="宋体" w:eastAsia="宋体" w:cs="宋体"/>
          <w:color w:val="auto"/>
          <w:sz w:val="18"/>
          <w:szCs w:val="18"/>
          <w:lang w:val="en-US" w:eastAsia="zh-CN" w:bidi="ar-SA"/>
        </w:rPr>
        <w:t>不记收益</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（5）</w:t>
      </w:r>
      <w:r>
        <w:rPr>
          <w:rFonts w:ascii="宋体" w:hAnsi="宋体" w:eastAsia="宋体" w:cs="宋体"/>
          <w:color w:val="auto"/>
          <w:sz w:val="18"/>
          <w:szCs w:val="18"/>
          <w:lang w:val="en-US" w:eastAsia="zh-CN" w:bidi="ar-SA"/>
        </w:rPr>
        <w:t>本产品每日进行收益计算并分配时，</w:t>
      </w:r>
      <w:r>
        <w:rPr>
          <w:rFonts w:hint="eastAsia" w:cs="宋体" w:asciiTheme="majorEastAsia" w:hAnsiTheme="majorEastAsia" w:eastAsiaTheme="majorEastAsia"/>
          <w:bCs/>
          <w:color w:val="auto"/>
          <w:sz w:val="18"/>
          <w:szCs w:val="18"/>
          <w:lang w:val="en-US" w:eastAsia="zh-CN" w:bidi="ar-SA"/>
        </w:rPr>
        <w:t>产品管理人</w:t>
      </w:r>
      <w:r>
        <w:rPr>
          <w:rFonts w:hint="eastAsia" w:ascii="宋体" w:hAnsi="宋体" w:eastAsia="宋体" w:cs="宋体"/>
          <w:color w:val="auto"/>
          <w:sz w:val="18"/>
          <w:szCs w:val="18"/>
          <w:lang w:val="en-US" w:eastAsia="zh-CN" w:bidi="ar-SA"/>
        </w:rPr>
        <w:t>根据每日理财收益情况，以每万份理财收益为基准，为投资人每日计算当日收益并分配，且每日进行支付，</w:t>
      </w:r>
      <w:r>
        <w:rPr>
          <w:rFonts w:ascii="宋体" w:hAnsi="宋体" w:eastAsia="宋体" w:cs="宋体"/>
          <w:color w:val="auto"/>
          <w:sz w:val="18"/>
          <w:szCs w:val="18"/>
          <w:lang w:val="en-US" w:eastAsia="zh-CN" w:bidi="ar-SA"/>
        </w:rPr>
        <w:t>支付方式只采用红利再投资</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即红利转产品份额</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方式，</w:t>
      </w:r>
      <w:r>
        <w:rPr>
          <w:rFonts w:hint="eastAsia" w:ascii="宋体" w:hAnsi="宋体" w:eastAsia="宋体" w:cs="宋体"/>
          <w:color w:val="auto"/>
          <w:sz w:val="18"/>
          <w:szCs w:val="18"/>
          <w:lang w:val="en-US" w:eastAsia="zh-CN" w:bidi="ar-SA"/>
        </w:rPr>
        <w:t>收益按日结转份额，</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者</w:t>
      </w:r>
      <w:r>
        <w:rPr>
          <w:rFonts w:ascii="宋体" w:hAnsi="宋体" w:eastAsia="宋体" w:cs="宋体"/>
          <w:color w:val="auto"/>
          <w:sz w:val="18"/>
          <w:szCs w:val="18"/>
          <w:lang w:val="en-US" w:eastAsia="zh-CN" w:bidi="ar-SA"/>
        </w:rPr>
        <w:t>可通过赎回理财产品份额获得现金收益；在当日收益支付时，若</w:t>
      </w:r>
      <w:r>
        <w:rPr>
          <w:rFonts w:hint="eastAsia" w:ascii="宋体" w:hAnsi="宋体" w:eastAsia="宋体" w:cs="宋体"/>
          <w:color w:val="auto"/>
          <w:sz w:val="18"/>
          <w:szCs w:val="18"/>
          <w:lang w:val="en-US" w:eastAsia="zh-CN" w:bidi="ar-SA"/>
        </w:rPr>
        <w:t>当日净收益</w:t>
      </w:r>
      <w:r>
        <w:rPr>
          <w:rFonts w:ascii="宋体" w:hAnsi="宋体" w:eastAsia="宋体" w:cs="宋体"/>
          <w:color w:val="auto"/>
          <w:sz w:val="18"/>
          <w:szCs w:val="18"/>
          <w:lang w:val="en-US" w:eastAsia="zh-CN" w:bidi="ar-SA"/>
        </w:rPr>
        <w:t>大于零时，则增加投资</w:t>
      </w:r>
      <w:r>
        <w:rPr>
          <w:rFonts w:hint="eastAsia" w:ascii="宋体" w:hAnsi="宋体" w:eastAsia="宋体" w:cs="宋体"/>
          <w:color w:val="auto"/>
          <w:sz w:val="18"/>
          <w:szCs w:val="18"/>
          <w:lang w:val="en-US" w:eastAsia="zh-CN" w:bidi="ar-SA"/>
        </w:rPr>
        <w:t>者产品</w:t>
      </w:r>
      <w:r>
        <w:rPr>
          <w:rFonts w:ascii="宋体" w:hAnsi="宋体" w:eastAsia="宋体" w:cs="宋体"/>
          <w:color w:val="auto"/>
          <w:sz w:val="18"/>
          <w:szCs w:val="18"/>
          <w:lang w:val="en-US" w:eastAsia="zh-CN" w:bidi="ar-SA"/>
        </w:rPr>
        <w:t>份额；若当日净收益等于零时，则保持投资</w:t>
      </w:r>
      <w:r>
        <w:rPr>
          <w:rFonts w:hint="eastAsia" w:ascii="宋体" w:hAnsi="宋体" w:eastAsia="宋体" w:cs="宋体"/>
          <w:color w:val="auto"/>
          <w:sz w:val="18"/>
          <w:szCs w:val="18"/>
          <w:lang w:val="en-US" w:eastAsia="zh-CN" w:bidi="ar-SA"/>
        </w:rPr>
        <w:t>者产品</w:t>
      </w:r>
      <w:r>
        <w:rPr>
          <w:rFonts w:ascii="宋体" w:hAnsi="宋体" w:eastAsia="宋体" w:cs="宋体"/>
          <w:color w:val="auto"/>
          <w:sz w:val="18"/>
          <w:szCs w:val="18"/>
          <w:lang w:val="en-US" w:eastAsia="zh-CN" w:bidi="ar-SA"/>
        </w:rPr>
        <w:t>份额不变；</w:t>
      </w:r>
      <w:r>
        <w:rPr>
          <w:rFonts w:hint="eastAsia" w:ascii="宋体" w:hAnsi="宋体" w:eastAsia="宋体" w:cs="宋体"/>
          <w:color w:val="auto"/>
          <w:sz w:val="18"/>
          <w:szCs w:val="18"/>
          <w:lang w:val="en-US" w:eastAsia="zh-CN" w:bidi="ar-SA"/>
        </w:rPr>
        <w:t>产品管理人</w:t>
      </w:r>
      <w:r>
        <w:rPr>
          <w:rFonts w:ascii="宋体" w:hAnsi="宋体" w:eastAsia="宋体" w:cs="宋体"/>
          <w:color w:val="auto"/>
          <w:sz w:val="18"/>
          <w:szCs w:val="18"/>
          <w:lang w:val="en-US" w:eastAsia="zh-CN" w:bidi="ar-SA"/>
        </w:rPr>
        <w:t>将采取必要措施尽量避免产品净收益小于零，若当日净收益小于零时，</w:t>
      </w:r>
      <w:r>
        <w:rPr>
          <w:rFonts w:hint="eastAsia" w:ascii="宋体" w:hAnsi="宋体" w:eastAsia="宋体" w:cs="宋体"/>
          <w:color w:val="auto"/>
          <w:sz w:val="18"/>
          <w:szCs w:val="18"/>
          <w:lang w:val="en-US" w:eastAsia="zh-CN" w:bidi="ar-SA"/>
        </w:rPr>
        <w:t>则</w:t>
      </w:r>
      <w:r>
        <w:rPr>
          <w:rFonts w:ascii="宋体" w:hAnsi="宋体" w:eastAsia="宋体" w:cs="宋体"/>
          <w:color w:val="auto"/>
          <w:sz w:val="18"/>
          <w:szCs w:val="18"/>
          <w:lang w:val="en-US" w:eastAsia="zh-CN" w:bidi="ar-SA"/>
        </w:rPr>
        <w:t>缩减投资</w:t>
      </w:r>
      <w:r>
        <w:rPr>
          <w:rFonts w:hint="eastAsia" w:ascii="宋体" w:hAnsi="宋体" w:eastAsia="宋体" w:cs="宋体"/>
          <w:color w:val="auto"/>
          <w:sz w:val="18"/>
          <w:szCs w:val="18"/>
          <w:lang w:val="en-US" w:eastAsia="zh-CN" w:bidi="ar-SA"/>
        </w:rPr>
        <w:t>者</w:t>
      </w:r>
      <w:r>
        <w:rPr>
          <w:rFonts w:ascii="宋体" w:hAnsi="宋体" w:eastAsia="宋体" w:cs="宋体"/>
          <w:color w:val="auto"/>
          <w:sz w:val="18"/>
          <w:szCs w:val="18"/>
          <w:lang w:val="en-US" w:eastAsia="zh-CN" w:bidi="ar-SA"/>
        </w:rPr>
        <w:t>产品份额</w:t>
      </w:r>
      <w:r>
        <w:rPr>
          <w:rFonts w:hint="eastAsia" w:ascii="宋体" w:hAnsi="宋体" w:eastAsia="宋体" w:cs="宋体"/>
          <w:color w:val="auto"/>
          <w:sz w:val="18"/>
          <w:szCs w:val="18"/>
          <w:lang w:val="en-US" w:eastAsia="zh-CN" w:bidi="ar-SA"/>
        </w:rPr>
        <w:t>。</w:t>
      </w:r>
    </w:p>
    <w:p>
      <w:pPr>
        <w:autoSpaceDE w:val="0"/>
        <w:autoSpaceDN w:val="0"/>
        <w:adjustRightInd w:val="0"/>
        <w:spacing w:line="360" w:lineRule="auto"/>
        <w:ind w:firstLine="360" w:firstLineChars="200"/>
        <w:jc w:val="left"/>
        <w:rPr>
          <w:rFonts w:ascii="宋体" w:hAnsi="宋体" w:cs="宋体"/>
          <w:sz w:val="18"/>
          <w:szCs w:val="18"/>
        </w:rPr>
      </w:pPr>
      <w:r>
        <w:rPr>
          <w:rFonts w:hint="eastAsia" w:ascii="宋体" w:hAnsi="宋体" w:cs="宋体"/>
          <w:bCs/>
          <w:sz w:val="18"/>
          <w:szCs w:val="18"/>
        </w:rPr>
        <w:t>（6）</w:t>
      </w:r>
      <w:r>
        <w:rPr>
          <w:rFonts w:ascii="宋体" w:hAnsi="宋体" w:cs="宋体"/>
          <w:bCs/>
          <w:sz w:val="18"/>
          <w:szCs w:val="18"/>
        </w:rPr>
        <w:t>申购的</w:t>
      </w:r>
      <w:r>
        <w:rPr>
          <w:rFonts w:hint="eastAsia" w:ascii="宋体" w:hAnsi="宋体" w:cs="宋体"/>
          <w:bCs/>
          <w:sz w:val="18"/>
          <w:szCs w:val="18"/>
        </w:rPr>
        <w:t>理财产品</w:t>
      </w:r>
      <w:r>
        <w:rPr>
          <w:rFonts w:ascii="宋体" w:hAnsi="宋体" w:cs="宋体"/>
          <w:bCs/>
          <w:sz w:val="18"/>
          <w:szCs w:val="18"/>
        </w:rPr>
        <w:t>份额自申购确认之日起，享有</w:t>
      </w:r>
      <w:r>
        <w:rPr>
          <w:rFonts w:hint="eastAsia" w:ascii="宋体" w:hAnsi="宋体" w:cs="宋体"/>
          <w:bCs/>
          <w:sz w:val="18"/>
          <w:szCs w:val="18"/>
        </w:rPr>
        <w:t>产品</w:t>
      </w:r>
      <w:r>
        <w:rPr>
          <w:rFonts w:ascii="宋体" w:hAnsi="宋体" w:cs="宋体"/>
          <w:bCs/>
          <w:sz w:val="18"/>
          <w:szCs w:val="18"/>
        </w:rPr>
        <w:t>的收益分配权益；赎回的</w:t>
      </w:r>
      <w:r>
        <w:rPr>
          <w:rFonts w:hint="eastAsia" w:ascii="宋体" w:hAnsi="宋体" w:cs="宋体"/>
          <w:bCs/>
          <w:sz w:val="18"/>
          <w:szCs w:val="18"/>
        </w:rPr>
        <w:t>理财产品</w:t>
      </w:r>
      <w:r>
        <w:rPr>
          <w:rFonts w:ascii="宋体" w:hAnsi="宋体" w:cs="宋体"/>
          <w:bCs/>
          <w:sz w:val="18"/>
          <w:szCs w:val="18"/>
        </w:rPr>
        <w:t>份额自赎回确认之日起，不享有</w:t>
      </w:r>
      <w:r>
        <w:rPr>
          <w:rFonts w:hint="eastAsia" w:ascii="宋体" w:hAnsi="宋体" w:cs="宋体"/>
          <w:bCs/>
          <w:sz w:val="18"/>
          <w:szCs w:val="18"/>
        </w:rPr>
        <w:t>产品</w:t>
      </w:r>
      <w:r>
        <w:rPr>
          <w:rFonts w:ascii="宋体" w:hAnsi="宋体" w:cs="宋体"/>
          <w:bCs/>
          <w:sz w:val="18"/>
          <w:szCs w:val="18"/>
        </w:rPr>
        <w:t>的收益分配权益</w:t>
      </w:r>
      <w:r>
        <w:rPr>
          <w:rFonts w:hint="eastAsia" w:ascii="宋体" w:hAnsi="宋体" w:cs="宋体"/>
          <w:bCs/>
          <w:sz w:val="18"/>
          <w:szCs w:val="18"/>
        </w:rPr>
        <w:t>。</w:t>
      </w:r>
    </w:p>
    <w:p>
      <w:pPr>
        <w:widowControl w:val="0"/>
        <w:autoSpaceDE w:val="0"/>
        <w:autoSpaceDN w:val="0"/>
        <w:adjustRightInd w:val="0"/>
        <w:spacing w:line="360" w:lineRule="auto"/>
        <w:ind w:firstLine="270" w:firstLineChars="15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cs="宋体" w:asciiTheme="majorEastAsia" w:hAnsiTheme="majorEastAsia" w:eastAsiaTheme="majorEastAsia"/>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本产品利益</w:t>
      </w:r>
      <w:r>
        <w:rPr>
          <w:rFonts w:ascii="宋体" w:hAnsi="宋体" w:eastAsia="宋体" w:cs="宋体"/>
          <w:color w:val="auto"/>
          <w:sz w:val="18"/>
          <w:szCs w:val="18"/>
          <w:lang w:val="en-US" w:eastAsia="zh-CN" w:bidi="ar-SA"/>
        </w:rPr>
        <w:t>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（1）本产品的分配时点采取“期间分配”和“终止分配”。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（2）本产品的分配方式采取“现金分配”和“非现金分配”。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1</w:t>
      </w:r>
      <w:r>
        <w:rPr>
          <w:rFonts w:cs="宋体" w:asciiTheme="minorEastAsia" w:hAnsiTheme="minorEastAsia" w:eastAsiaTheme="minorEastAsia"/>
          <w:color w:val="auto"/>
          <w:sz w:val="18"/>
          <w:szCs w:val="18"/>
          <w:lang w:val="en-US" w:eastAsia="zh-CN" w:bidi="ar-SA"/>
        </w:rPr>
        <w:t>.</w:t>
      </w:r>
      <w:r>
        <w:rPr>
          <w:rFonts w:hint="eastAsia" w:cs="宋体" w:asciiTheme="minorEastAsia" w:hAnsiTheme="minorEastAsia" w:eastAsiaTheme="minorEastAsia"/>
          <w:color w:val="auto"/>
          <w:sz w:val="18"/>
          <w:szCs w:val="18"/>
          <w:lang w:val="en-US" w:eastAsia="zh-CN" w:bidi="ar-SA"/>
        </w:rPr>
        <w:t>本产品每日进行收益分配。每个开放日公告前一个开放日每万份理财收益和</w:t>
      </w:r>
      <w:r>
        <w:rPr>
          <w:rFonts w:cs="宋体" w:asciiTheme="minorEastAsia" w:hAnsiTheme="minorEastAsia" w:eastAsiaTheme="minorEastAsia"/>
          <w:color w:val="auto"/>
          <w:sz w:val="18"/>
          <w:szCs w:val="18"/>
          <w:lang w:val="en-US" w:eastAsia="zh-CN" w:bidi="ar-SA"/>
        </w:rPr>
        <w:t>7</w:t>
      </w:r>
      <w:r>
        <w:rPr>
          <w:rFonts w:hint="eastAsia" w:cs="宋体" w:asciiTheme="minorEastAsia" w:hAnsiTheme="minorEastAsia" w:eastAsiaTheme="minorEastAsia"/>
          <w:color w:val="auto"/>
          <w:sz w:val="18"/>
          <w:szCs w:val="18"/>
          <w:lang w:val="en-US" w:eastAsia="zh-CN" w:bidi="ar-SA"/>
        </w:rPr>
        <w:t>日年化收益率。若遇法定节假日，应于节假日结束后第一个工作日，披露节假日期间的每万份理财收益和</w:t>
      </w:r>
      <w:r>
        <w:rPr>
          <w:rFonts w:cs="宋体" w:asciiTheme="minorEastAsia" w:hAnsiTheme="minorEastAsia" w:eastAsiaTheme="minorEastAsia"/>
          <w:color w:val="auto"/>
          <w:sz w:val="18"/>
          <w:szCs w:val="18"/>
          <w:lang w:val="en-US" w:eastAsia="zh-CN" w:bidi="ar-SA"/>
        </w:rPr>
        <w:t>7</w:t>
      </w:r>
      <w:r>
        <w:rPr>
          <w:rFonts w:hint="eastAsia" w:cs="宋体" w:asciiTheme="minorEastAsia" w:hAnsiTheme="minorEastAsia" w:eastAsiaTheme="minorEastAsia"/>
          <w:color w:val="auto"/>
          <w:sz w:val="18"/>
          <w:szCs w:val="18"/>
          <w:lang w:val="en-US" w:eastAsia="zh-CN" w:bidi="ar-SA"/>
        </w:rPr>
        <w:t>日年化收益率。法律法规另有规定的，从其规定。</w:t>
      </w:r>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该收益仅供客户购买时决策参考，并不代表该理财产品未来的表现，也不构成产品管理人对本产品收益的任何承诺或保证。</w:t>
      </w:r>
    </w:p>
    <w:p>
      <w:pPr>
        <w:widowControl w:val="0"/>
        <w:autoSpaceDE w:val="0"/>
        <w:autoSpaceDN w:val="0"/>
        <w:adjustRightInd w:val="0"/>
        <w:spacing w:line="360" w:lineRule="auto"/>
        <w:ind w:firstLine="360" w:firstLineChars="200"/>
        <w:rPr>
          <w:rFonts w:cs="宋体" w:asciiTheme="minorEastAsia" w:hAnsiTheme="minorEastAsia" w:eastAsiaTheme="minorEastAsia"/>
          <w:color w:val="auto"/>
          <w:sz w:val="18"/>
          <w:szCs w:val="18"/>
          <w:lang w:val="en-US" w:eastAsia="zh-CN" w:bidi="ar-SA"/>
        </w:rPr>
      </w:pPr>
      <w:r>
        <w:rPr>
          <w:rFonts w:hint="eastAsia" w:cs="宋体" w:asciiTheme="minorEastAsia" w:hAnsiTheme="minorEastAsia" w:eastAsiaTheme="minorEastAsia"/>
          <w:color w:val="auto"/>
          <w:sz w:val="18"/>
          <w:szCs w:val="18"/>
          <w:lang w:val="en-US" w:eastAsia="zh-CN" w:bidi="ar-SA"/>
        </w:rPr>
        <w:t>本产品根据每日收益情况，以产品实际收益为基准，每日为投资者计提当日理财收益，每日结转份额(如遇节假日顺延)，每日例行的份额结转不再另行公告。</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如发生需要</w:t>
      </w:r>
      <w:r>
        <w:rPr>
          <w:rFonts w:hint="eastAsia" w:ascii="宋体" w:hAnsi="宋体" w:eastAsia="宋体" w:cs="宋体"/>
          <w:color w:val="auto"/>
          <w:sz w:val="18"/>
          <w:szCs w:val="18"/>
          <w:lang w:val="en-US" w:eastAsia="zh-CN" w:bidi="ar-SA"/>
        </w:rPr>
        <w:t>延期</w:t>
      </w:r>
      <w:r>
        <w:rPr>
          <w:rFonts w:ascii="宋体" w:hAnsi="宋体" w:eastAsia="宋体" w:cs="宋体"/>
          <w:color w:val="auto"/>
          <w:sz w:val="18"/>
          <w:szCs w:val="18"/>
          <w:lang w:val="en-US" w:eastAsia="zh-CN" w:bidi="ar-SA"/>
        </w:rPr>
        <w:t>分配的特殊情况，产品管理人将对</w:t>
      </w:r>
      <w:r>
        <w:rPr>
          <w:rFonts w:hint="eastAsia" w:ascii="宋体" w:hAnsi="宋体" w:eastAsia="宋体" w:cs="宋体"/>
          <w:color w:val="auto"/>
          <w:sz w:val="18"/>
          <w:szCs w:val="18"/>
          <w:lang w:val="en-US" w:eastAsia="zh-CN" w:bidi="ar-SA"/>
        </w:rPr>
        <w:t>延期</w:t>
      </w:r>
      <w:r>
        <w:rPr>
          <w:rFonts w:ascii="宋体" w:hAnsi="宋体" w:eastAsia="宋体" w:cs="宋体"/>
          <w:color w:val="auto"/>
          <w:sz w:val="18"/>
          <w:szCs w:val="18"/>
          <w:lang w:val="en-US" w:eastAsia="zh-CN" w:bidi="ar-SA"/>
        </w:rPr>
        <w:t xml:space="preserve">分配的情况进行公告。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9"/>
    <w:bookmarkEnd w:id="160"/>
    <w:bookmarkEnd w:id="161"/>
    <w:bookmarkEnd w:id="162"/>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63" w:name="_Hlt88897298"/>
      <w:bookmarkEnd w:id="163"/>
      <w:bookmarkStart w:id="164" w:name="_Hlt88825574"/>
      <w:bookmarkEnd w:id="164"/>
      <w:bookmarkStart w:id="165" w:name="_Toc3321"/>
      <w:bookmarkStart w:id="166" w:name="_Toc123112236"/>
      <w:bookmarkStart w:id="167" w:name="_Toc98560354"/>
      <w:bookmarkStart w:id="168" w:name="_Toc18567"/>
      <w:bookmarkStart w:id="169" w:name="_Toc123051454"/>
      <w:bookmarkStart w:id="170" w:name="_Toc3771"/>
      <w:bookmarkStart w:id="171" w:name="_Toc176189286"/>
      <w:bookmarkStart w:id="172" w:name="_Toc27112"/>
      <w:bookmarkStart w:id="173" w:name="_Toc6447"/>
      <w:bookmarkStart w:id="174" w:name="_Toc79154672"/>
      <w:bookmarkStart w:id="175" w:name="_Toc79392583"/>
      <w:bookmarkStart w:id="176" w:name="_Toc10650"/>
      <w:bookmarkStart w:id="177" w:name="_Toc7058"/>
      <w:bookmarkStart w:id="178" w:name="_Toc9706"/>
      <w:bookmarkStart w:id="179" w:name="_Toc123102455"/>
      <w:bookmarkStart w:id="180" w:name="_Toc4559"/>
      <w:bookmarkStart w:id="181" w:name="_Toc141703888"/>
      <w:bookmarkStart w:id="182" w:name="_Toc139991738"/>
      <w:bookmarkStart w:id="183" w:name="_Toc25783"/>
      <w:bookmarkStart w:id="184" w:name="_Toc74065745"/>
      <w:bookmarkStart w:id="185" w:name="_Toc11030"/>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九条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（一）理财产品的费用</w:t>
      </w:r>
    </w:p>
    <w:p>
      <w:pPr>
        <w:widowControl/>
        <w:spacing w:line="360" w:lineRule="auto"/>
        <w:ind w:firstLine="360" w:firstLineChars="200"/>
        <w:jc w:val="left"/>
        <w:rPr>
          <w:rFonts w:ascii="Calibri" w:hAnsi="宋体" w:cs="宋体"/>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理财产品费用的种类</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1）理财产品的认购费、申购费、赎回费</w:t>
      </w:r>
      <w:r>
        <w:rPr>
          <w:rFonts w:hint="eastAsia" w:ascii="宋体" w:hAnsi="宋体" w:cs="宋体"/>
          <w:kern w:val="0"/>
          <w:sz w:val="18"/>
          <w:szCs w:val="18"/>
        </w:rPr>
        <w:t>；</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2）理财产品的销售服务费</w:t>
      </w:r>
      <w:r>
        <w:rPr>
          <w:rFonts w:hint="eastAsia" w:ascii="宋体" w:hAnsi="宋体" w:cs="宋体"/>
          <w:kern w:val="0"/>
          <w:sz w:val="18"/>
          <w:szCs w:val="18"/>
        </w:rPr>
        <w:t>；</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3）理财产品的投资管理费及超额业绩报酬；</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4</w:t>
      </w:r>
      <w:r>
        <w:rPr>
          <w:rFonts w:hint="eastAsia" w:ascii="宋体" w:hAnsi="宋体" w:cs="宋体"/>
          <w:kern w:val="0"/>
          <w:sz w:val="18"/>
          <w:szCs w:val="18"/>
        </w:rPr>
        <w:t>）理财产品的产品托管费；</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）理财产品的交易费用（包括但不限于证券交易费用、经纪费用等）；</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）理财产品验资费、审计费、律师费、信息披露费、清算费、执行费用等相关费用；</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7</w:t>
      </w:r>
      <w:r>
        <w:rPr>
          <w:rFonts w:hint="eastAsia" w:ascii="宋体" w:hAnsi="宋体" w:cs="宋体"/>
          <w:kern w:val="0"/>
          <w:sz w:val="18"/>
          <w:szCs w:val="18"/>
        </w:rPr>
        <w:t>）按照国家法律法规规定可以列入的其他费用。</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2.</w:t>
      </w:r>
      <w:r>
        <w:rPr>
          <w:rFonts w:hint="eastAsia" w:ascii="宋体" w:hAnsi="宋体" w:cs="宋体"/>
          <w:kern w:val="0"/>
          <w:sz w:val="18"/>
          <w:szCs w:val="18"/>
        </w:rPr>
        <w:t>理财产品费用计提方法、计提标准和支付方式</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）理财产品的认购费、申购费、赎回费</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1）认购费：</w:t>
      </w:r>
      <w:r>
        <w:rPr>
          <w:rFonts w:cs="宋体" w:asciiTheme="majorEastAsia" w:hAnsiTheme="majorEastAsia" w:eastAsiaTheme="majorEastAsia"/>
          <w:bCs/>
          <w:sz w:val="18"/>
          <w:szCs w:val="18"/>
        </w:rPr>
        <w:t>费率</w:t>
      </w:r>
      <w:r>
        <w:rPr>
          <w:rFonts w:hint="eastAsia" w:cs="宋体" w:asciiTheme="majorEastAsia" w:hAnsiTheme="majorEastAsia" w:eastAsiaTheme="majorEastAsia"/>
          <w:bCs/>
          <w:sz w:val="18"/>
          <w:szCs w:val="18"/>
        </w:rPr>
        <w:t>具体数值以</w:t>
      </w:r>
      <w:r>
        <w:rPr>
          <w:rFonts w:hint="eastAsia" w:cs="宋体" w:asciiTheme="minorEastAsia" w:hAnsiTheme="minorEastAsia" w:eastAsiaTheme="minorEastAsia"/>
          <w:sz w:val="18"/>
          <w:szCs w:val="18"/>
        </w:rPr>
        <w:t>《产品说明书》“第二条 理财产品基本情况”</w:t>
      </w:r>
      <w:r>
        <w:rPr>
          <w:rFonts w:hint="eastAsia" w:cs="宋体" w:asciiTheme="majorEastAsia" w:hAnsiTheme="majorEastAsia" w:eastAsiaTheme="majorEastAsia"/>
          <w:bCs/>
          <w:sz w:val="18"/>
          <w:szCs w:val="18"/>
        </w:rPr>
        <w:t>为准</w:t>
      </w:r>
      <w:r>
        <w:rPr>
          <w:rFonts w:ascii="宋体" w:hAnsi="宋体" w:cs="宋体"/>
          <w:kern w:val="0"/>
          <w:sz w:val="18"/>
          <w:szCs w:val="18"/>
        </w:rPr>
        <w:t>。</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2）申购费：</w:t>
      </w:r>
      <w:r>
        <w:rPr>
          <w:rFonts w:cs="宋体" w:asciiTheme="majorEastAsia" w:hAnsiTheme="majorEastAsia" w:eastAsiaTheme="majorEastAsia"/>
          <w:bCs/>
          <w:sz w:val="18"/>
          <w:szCs w:val="18"/>
        </w:rPr>
        <w:t>费率</w:t>
      </w:r>
      <w:r>
        <w:rPr>
          <w:rFonts w:hint="eastAsia" w:cs="宋体" w:asciiTheme="majorEastAsia" w:hAnsiTheme="majorEastAsia" w:eastAsiaTheme="majorEastAsia"/>
          <w:bCs/>
          <w:sz w:val="18"/>
          <w:szCs w:val="18"/>
        </w:rPr>
        <w:t>具体数值以</w:t>
      </w:r>
      <w:r>
        <w:rPr>
          <w:rFonts w:hint="eastAsia" w:cs="宋体" w:asciiTheme="minorEastAsia" w:hAnsiTheme="minorEastAsia" w:eastAsiaTheme="minorEastAsia"/>
          <w:sz w:val="18"/>
          <w:szCs w:val="18"/>
        </w:rPr>
        <w:t>《产品说明书》“第二条 理财产品基本情况”</w:t>
      </w:r>
      <w:r>
        <w:rPr>
          <w:rFonts w:hint="eastAsia" w:cs="宋体" w:asciiTheme="majorEastAsia" w:hAnsiTheme="majorEastAsia" w:eastAsiaTheme="majorEastAsia"/>
          <w:bCs/>
          <w:sz w:val="18"/>
          <w:szCs w:val="18"/>
        </w:rPr>
        <w:t>为准</w:t>
      </w:r>
      <w:r>
        <w:rPr>
          <w:rFonts w:hint="eastAsia" w:ascii="宋体" w:hAnsi="宋体" w:cs="宋体"/>
          <w:kern w:val="0"/>
          <w:sz w:val="18"/>
          <w:szCs w:val="18"/>
        </w:rPr>
        <w:t>。</w:t>
      </w:r>
    </w:p>
    <w:p>
      <w:pPr>
        <w:widowControl/>
        <w:spacing w:line="360" w:lineRule="auto"/>
        <w:ind w:firstLine="360" w:firstLineChars="200"/>
        <w:jc w:val="left"/>
        <w:rPr>
          <w:rFonts w:ascii="Calibri" w:hAnsi="Calibri" w:cs="宋体"/>
          <w:bCs/>
          <w:sz w:val="18"/>
          <w:szCs w:val="18"/>
        </w:rPr>
      </w:pPr>
      <w:r>
        <w:rPr>
          <w:rFonts w:ascii="宋体" w:hAnsi="宋体" w:cs="宋体"/>
          <w:kern w:val="0"/>
          <w:sz w:val="18"/>
          <w:szCs w:val="18"/>
        </w:rPr>
        <w:t>3</w:t>
      </w:r>
      <w:r>
        <w:rPr>
          <w:rFonts w:hint="eastAsia" w:ascii="宋体" w:hAnsi="宋体" w:cs="宋体"/>
          <w:kern w:val="0"/>
          <w:sz w:val="18"/>
          <w:szCs w:val="18"/>
        </w:rPr>
        <w:t>）赎回费：</w:t>
      </w:r>
      <w:r>
        <w:rPr>
          <w:rFonts w:cs="宋体" w:asciiTheme="majorEastAsia" w:hAnsiTheme="majorEastAsia" w:eastAsiaTheme="majorEastAsia"/>
          <w:bCs/>
          <w:sz w:val="18"/>
          <w:szCs w:val="18"/>
        </w:rPr>
        <w:t>费率</w:t>
      </w:r>
      <w:r>
        <w:rPr>
          <w:rFonts w:hint="eastAsia" w:cs="宋体" w:asciiTheme="majorEastAsia" w:hAnsiTheme="majorEastAsia" w:eastAsiaTheme="majorEastAsia"/>
          <w:bCs/>
          <w:sz w:val="18"/>
          <w:szCs w:val="18"/>
        </w:rPr>
        <w:t>具体数值以</w:t>
      </w:r>
      <w:r>
        <w:rPr>
          <w:rFonts w:hint="eastAsia" w:cs="宋体" w:asciiTheme="minorEastAsia" w:hAnsiTheme="minorEastAsia" w:eastAsiaTheme="minorEastAsia"/>
          <w:sz w:val="18"/>
          <w:szCs w:val="18"/>
        </w:rPr>
        <w:t>《产品说明书》“第二条 理财产品基本情况”</w:t>
      </w:r>
      <w:r>
        <w:rPr>
          <w:rFonts w:hint="eastAsia" w:cs="宋体" w:asciiTheme="majorEastAsia" w:hAnsiTheme="majorEastAsia" w:eastAsiaTheme="majorEastAsia"/>
          <w:bCs/>
          <w:sz w:val="18"/>
          <w:szCs w:val="18"/>
        </w:rPr>
        <w:t>为准</w:t>
      </w:r>
      <w:r>
        <w:rPr>
          <w:rFonts w:hint="eastAsia" w:ascii="宋体" w:hAnsi="宋体" w:cs="宋体"/>
          <w:kern w:val="0"/>
          <w:sz w:val="18"/>
          <w:szCs w:val="18"/>
        </w:rPr>
        <w:t>。</w:t>
      </w:r>
    </w:p>
    <w:p>
      <w:pPr>
        <w:widowControl/>
        <w:spacing w:line="360" w:lineRule="auto"/>
        <w:ind w:firstLine="360" w:firstLineChars="200"/>
        <w:jc w:val="left"/>
        <w:rPr>
          <w:rFonts w:ascii="Calibri" w:hAnsi="Calibri" w:cs="宋体"/>
          <w:bCs/>
          <w:sz w:val="18"/>
          <w:szCs w:val="18"/>
        </w:rPr>
      </w:pPr>
      <w:r>
        <w:rPr>
          <w:rFonts w:ascii="宋体" w:hAnsi="宋体" w:cs="宋体"/>
          <w:kern w:val="0"/>
          <w:sz w:val="18"/>
          <w:szCs w:val="18"/>
        </w:rPr>
        <w:t>4）强制赎回费用</w:t>
      </w:r>
      <w:r>
        <w:rPr>
          <w:rFonts w:hint="eastAsia" w:ascii="宋体" w:hAnsi="宋体" w:cs="宋体"/>
          <w:kern w:val="0"/>
          <w:sz w:val="18"/>
          <w:szCs w:val="18"/>
        </w:rPr>
        <w:t>：</w:t>
      </w:r>
      <w:r>
        <w:rPr>
          <w:rFonts w:cs="宋体" w:asciiTheme="majorEastAsia" w:hAnsiTheme="majorEastAsia" w:eastAsiaTheme="majorEastAsia"/>
          <w:bCs/>
          <w:sz w:val="18"/>
          <w:szCs w:val="18"/>
        </w:rPr>
        <w:t>费率</w:t>
      </w:r>
      <w:r>
        <w:rPr>
          <w:rFonts w:hint="eastAsia" w:cs="宋体" w:asciiTheme="majorEastAsia" w:hAnsiTheme="majorEastAsia" w:eastAsiaTheme="majorEastAsia"/>
          <w:bCs/>
          <w:sz w:val="18"/>
          <w:szCs w:val="18"/>
        </w:rPr>
        <w:t>具体数值以</w:t>
      </w:r>
      <w:r>
        <w:rPr>
          <w:rFonts w:hint="eastAsia" w:cs="宋体" w:asciiTheme="minorEastAsia" w:hAnsiTheme="minorEastAsia" w:eastAsiaTheme="minorEastAsia"/>
          <w:sz w:val="18"/>
          <w:szCs w:val="18"/>
        </w:rPr>
        <w:t>《产品说明书》“第二条</w:t>
      </w:r>
      <w:r>
        <w:rPr>
          <w:rFonts w:cs="宋体" w:asciiTheme="minorEastAsia" w:hAnsiTheme="minorEastAsia" w:eastAsiaTheme="minorEastAsia"/>
          <w:sz w:val="18"/>
          <w:szCs w:val="18"/>
        </w:rPr>
        <w:t xml:space="preserve"> </w:t>
      </w:r>
      <w:r>
        <w:rPr>
          <w:rFonts w:hint="eastAsia" w:cs="宋体" w:asciiTheme="minorEastAsia" w:hAnsiTheme="minorEastAsia" w:eastAsiaTheme="minorEastAsia"/>
          <w:sz w:val="18"/>
          <w:szCs w:val="18"/>
        </w:rPr>
        <w:t>理财产品基本情况”</w:t>
      </w:r>
      <w:r>
        <w:rPr>
          <w:rFonts w:hint="eastAsia" w:cs="宋体" w:asciiTheme="majorEastAsia" w:hAnsiTheme="majorEastAsia" w:eastAsiaTheme="majorEastAsia"/>
          <w:bCs/>
          <w:sz w:val="18"/>
          <w:szCs w:val="18"/>
        </w:rPr>
        <w:t>为准</w:t>
      </w:r>
      <w:r>
        <w:rPr>
          <w:rFonts w:hint="eastAsia" w:ascii="Calibri" w:hAnsi="Calibri" w:cs="宋体"/>
          <w:bCs/>
          <w:sz w:val="18"/>
          <w:szCs w:val="18"/>
        </w:rPr>
        <w:t>。</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（2）理财产品的销售服务费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本产品的销售服务费按当日理财产品的份额与销售服务费每日费率每日计提。销售服务费的计算方法如下：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H＝E×销售服务费年费率÷365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H为每日应计提的销售服务费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销售服务费依照上述约定，从理财财产中支付。费率具体数值以《产品说明书》“第二条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（3）理财产品的投资管理费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本产品的投资管理费按当日理财产品的份额与投资管理费每日费率每日计提。投资管理费的计算方法如下：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H＝E×投资管理费年费率÷365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H为每日应计提的产品投资管理费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投资管理费依照上述约定，从理财财产中支付。费率具体数值以《产品说明书》“第二条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（4）超额业绩报酬</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本产品不收取超额业绩报酬。</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（5）理财产品的产品托管费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本产品的产品托管费按当日理财产品的份额与产品托管费每日费率每日计提。产品托管费的计算方法如下：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H＝E×产品托管费年费率÷365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H为每日应计提的产品托管费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cs="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ascii="宋体" w:hAnsi="宋体" w:cs="宋体"/>
          <w:sz w:val="18"/>
          <w:szCs w:val="18"/>
        </w:rPr>
      </w:pPr>
      <w:r>
        <w:rPr>
          <w:rFonts w:hint="eastAsia" w:ascii="宋体" w:hAnsi="宋体" w:cs="宋体"/>
          <w:sz w:val="18"/>
          <w:szCs w:val="18"/>
        </w:rPr>
        <w:t>产品托管费依照上述约定，从理财财产中支付。费率具体数值以《产品说明书》“第二条 理财产品基本情况”为准。</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w:t>
      </w:r>
      <w:r>
        <w:rPr>
          <w:rFonts w:ascii="宋体" w:hAnsi="宋体" w:cs="宋体"/>
          <w:kern w:val="0"/>
          <w:sz w:val="18"/>
          <w:szCs w:val="18"/>
        </w:rPr>
        <w:t>上述</w:t>
      </w:r>
      <w:r>
        <w:rPr>
          <w:rFonts w:hint="eastAsia" w:ascii="宋体" w:hAnsi="宋体" w:cs="宋体"/>
          <w:kern w:val="0"/>
          <w:sz w:val="18"/>
          <w:szCs w:val="18"/>
        </w:rPr>
        <w:t>理财产品的证券交易费用</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按费用实际支出金额列入当期费用，从理财财产中支付。</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7）上述</w:t>
      </w:r>
      <w:r>
        <w:rPr>
          <w:rFonts w:hint="eastAsia" w:ascii="宋体" w:hAnsi="宋体" w:cs="宋体"/>
          <w:kern w:val="0"/>
          <w:sz w:val="18"/>
          <w:szCs w:val="18"/>
        </w:rPr>
        <w:t>理财产品</w:t>
      </w:r>
      <w:r>
        <w:rPr>
          <w:rFonts w:ascii="宋体" w:hAnsi="宋体" w:cs="宋体"/>
          <w:kern w:val="0"/>
          <w:sz w:val="18"/>
          <w:szCs w:val="18"/>
        </w:rPr>
        <w:t>验资费、审计费、律师费、信息披露费、</w:t>
      </w:r>
      <w:r>
        <w:rPr>
          <w:rFonts w:hint="eastAsia" w:ascii="宋体" w:hAnsi="宋体" w:cs="宋体"/>
          <w:kern w:val="0"/>
          <w:sz w:val="18"/>
          <w:szCs w:val="18"/>
        </w:rPr>
        <w:t>清算费、</w:t>
      </w:r>
      <w:r>
        <w:rPr>
          <w:rFonts w:ascii="宋体" w:hAnsi="宋体" w:cs="宋体"/>
          <w:kern w:val="0"/>
          <w:sz w:val="18"/>
          <w:szCs w:val="18"/>
        </w:rPr>
        <w:t>执行费用等相关费用</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按费用实际支出金额列入当期费用，从理财财产中支付。产品管理人因处理上述事务而先行垫付上述</w:t>
      </w:r>
      <w:r>
        <w:rPr>
          <w:rFonts w:ascii="宋体" w:hAnsi="宋体" w:cs="宋体"/>
          <w:kern w:val="0"/>
          <w:sz w:val="18"/>
          <w:szCs w:val="18"/>
        </w:rPr>
        <w:t>费用</w:t>
      </w:r>
      <w:r>
        <w:rPr>
          <w:rFonts w:hint="eastAsia" w:ascii="宋体" w:hAnsi="宋体" w:cs="宋体"/>
          <w:kern w:val="0"/>
          <w:sz w:val="18"/>
          <w:szCs w:val="18"/>
        </w:rPr>
        <w:t>的，管理人有权从理财产品资产中优先受偿。</w:t>
      </w:r>
    </w:p>
    <w:p>
      <w:pPr>
        <w:widowControl w:val="0"/>
        <w:autoSpaceDE w:val="0"/>
        <w:autoSpaceDN w:val="0"/>
        <w:adjustRightInd w:val="0"/>
        <w:spacing w:line="360" w:lineRule="auto"/>
        <w:ind w:firstLine="360" w:firstLineChars="200"/>
        <w:rPr>
          <w:rFonts w:ascii="黑体" w:hAnsi="黑体" w:eastAsia="黑体" w:cs="宋体"/>
          <w:color w:val="auto"/>
          <w:sz w:val="18"/>
          <w:szCs w:val="24"/>
          <w:lang w:val="en-US" w:eastAsia="zh-CN" w:bidi="ar-SA"/>
        </w:rPr>
      </w:pPr>
      <w:r>
        <w:rPr>
          <w:rFonts w:ascii="黑体" w:hAnsi="黑体" w:eastAsia="黑体" w:cs="宋体"/>
          <w:color w:val="auto"/>
          <w:sz w:val="18"/>
          <w:szCs w:val="24"/>
          <w:lang w:val="en-US" w:eastAsia="zh-CN" w:bidi="ar-SA"/>
        </w:rPr>
        <w:t>3.</w:t>
      </w:r>
      <w:r>
        <w:rPr>
          <w:rFonts w:ascii="宋体" w:hAnsi="宋体" w:eastAsia="宋体" w:cs="宋体"/>
          <w:color w:val="auto"/>
          <w:sz w:val="18"/>
          <w:szCs w:val="18"/>
          <w:lang w:val="en-US" w:eastAsia="zh-CN" w:bidi="ar-SA"/>
        </w:rPr>
        <w:t>★</w:t>
      </w:r>
      <w:r>
        <w:rPr>
          <w:rFonts w:hint="eastAsia" w:ascii="黑体" w:hAnsi="黑体" w:eastAsia="黑体" w:cs="宋体"/>
          <w:color w:val="auto"/>
          <w:sz w:val="18"/>
          <w:szCs w:val="18"/>
          <w:lang w:val="en-US" w:eastAsia="zh-CN" w:bidi="ar-SA"/>
        </w:rPr>
        <w:t>理财产品费用</w:t>
      </w:r>
      <w:r>
        <w:rPr>
          <w:rFonts w:hint="eastAsia" w:ascii="黑体" w:hAnsi="黑体" w:eastAsia="黑体" w:cs="宋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ascii="黑体" w:hAnsi="黑体" w:eastAsia="黑体" w:cs="宋体"/>
          <w:color w:val="auto"/>
          <w:sz w:val="18"/>
          <w:szCs w:val="24"/>
          <w:lang w:val="en-US" w:eastAsia="zh-CN" w:bidi="ar-SA"/>
        </w:rPr>
      </w:pPr>
      <w:r>
        <w:rPr>
          <w:rFonts w:hint="eastAsia" w:ascii="黑体" w:hAnsi="黑体" w:eastAsia="黑体" w:cs="宋体"/>
          <w:color w:val="auto"/>
          <w:sz w:val="18"/>
          <w:szCs w:val="24"/>
          <w:lang w:val="en-US" w:eastAsia="zh-CN" w:bidi="ar-SA"/>
        </w:rPr>
        <w:t>（1）发生巨额赎回时，为保护投资者利益，产品管理人有权对赎回日至赎回确认日之间的各项费用进行减免。</w:t>
      </w:r>
    </w:p>
    <w:p>
      <w:pPr>
        <w:widowControl w:val="0"/>
        <w:autoSpaceDE w:val="0"/>
        <w:autoSpaceDN w:val="0"/>
        <w:adjustRightInd w:val="0"/>
        <w:spacing w:line="360" w:lineRule="auto"/>
        <w:ind w:firstLine="360" w:firstLineChars="200"/>
        <w:rPr>
          <w:rFonts w:ascii="黑体" w:hAnsi="黑体" w:eastAsia="黑体" w:cs="宋体"/>
          <w:b/>
          <w:color w:val="auto"/>
          <w:sz w:val="18"/>
          <w:szCs w:val="24"/>
          <w:lang w:val="en-US" w:eastAsia="zh-CN" w:bidi="ar-SA"/>
        </w:rPr>
      </w:pPr>
      <w:r>
        <w:rPr>
          <w:rFonts w:hint="eastAsia" w:ascii="黑体" w:hAnsi="黑体" w:eastAsia="黑体" w:cs="宋体"/>
          <w:color w:val="auto"/>
          <w:sz w:val="18"/>
          <w:szCs w:val="24"/>
          <w:lang w:val="en-US" w:eastAsia="zh-CN" w:bidi="ar-SA"/>
        </w:rPr>
        <w:t>（2）产品管理人有权</w:t>
      </w:r>
      <w:r>
        <w:rPr>
          <w:rFonts w:hint="eastAsia" w:ascii="黑体" w:hAnsi="黑体" w:eastAsia="黑体" w:cs="宋体"/>
          <w:color w:val="auto"/>
          <w:sz w:val="18"/>
          <w:szCs w:val="18"/>
          <w:lang w:val="en-US" w:eastAsia="zh-CN" w:bidi="ar-SA"/>
        </w:rPr>
        <w:t>根据相关法律和国家政策规定，</w:t>
      </w:r>
      <w:r>
        <w:rPr>
          <w:rFonts w:hint="eastAsia" w:ascii="黑体" w:hAnsi="黑体" w:eastAsia="黑体" w:cs="宋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宋体"/>
          <w:bCs/>
          <w:color w:val="auto"/>
          <w:sz w:val="18"/>
          <w:szCs w:val="24"/>
          <w:lang w:val="en-US" w:eastAsia="zh-CN" w:bidi="ar-SA"/>
        </w:rPr>
        <w:t>将依约定进行公告。</w:t>
      </w:r>
    </w:p>
    <w:p>
      <w:pPr>
        <w:widowControl w:val="0"/>
        <w:autoSpaceDE w:val="0"/>
        <w:autoSpaceDN w:val="0"/>
        <w:adjustRightInd w:val="0"/>
        <w:spacing w:line="360" w:lineRule="auto"/>
        <w:ind w:firstLine="361" w:firstLineChars="200"/>
        <w:rPr>
          <w:rFonts w:cs="宋体" w:asciiTheme="majorEastAsia" w:hAnsiTheme="majorEastAsia" w:eastAsiaTheme="majorEastAsia"/>
          <w:b/>
          <w:color w:val="auto"/>
          <w:sz w:val="18"/>
          <w:szCs w:val="18"/>
          <w:lang w:val="en-US" w:eastAsia="zh-CN" w:bidi="ar-SA"/>
        </w:rPr>
      </w:pPr>
      <w:r>
        <w:rPr>
          <w:rFonts w:hint="eastAsia" w:cs="宋体" w:asciiTheme="majorEastAsia" w:hAnsiTheme="majorEastAsia" w:eastAsiaTheme="majorEastAsia"/>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86" w:name="_Toc3963"/>
      <w:bookmarkStart w:id="187" w:name="_Toc1745"/>
      <w:r>
        <w:rPr>
          <w:rFonts w:ascii="Calibri" w:hAnsi="Calibri" w:eastAsia="宋体" w:cs="宋体"/>
          <w:b/>
          <w:bCs/>
          <w:kern w:val="44"/>
          <w:sz w:val="44"/>
          <w:szCs w:val="44"/>
          <w:lang w:val="en-US" w:eastAsia="zh-CN" w:bidi="ar-SA"/>
        </w:rPr>
        <w:br w:type="page"/>
      </w:r>
      <w:bookmarkStart w:id="188" w:name="_Toc79154673"/>
      <w:bookmarkStart w:id="189" w:name="_Toc18383"/>
      <w:bookmarkStart w:id="190" w:name="_Toc3572"/>
      <w:bookmarkStart w:id="191" w:name="_Toc18206"/>
      <w:bookmarkStart w:id="192" w:name="_Toc725"/>
      <w:bookmarkStart w:id="193" w:name="_Toc10398"/>
      <w:bookmarkStart w:id="194" w:name="_Toc16164"/>
      <w:bookmarkStart w:id="195" w:name="_Toc176189287"/>
      <w:bookmarkStart w:id="196" w:name="_Toc123051455"/>
      <w:bookmarkStart w:id="197" w:name="_Toc123102456"/>
      <w:bookmarkStart w:id="198" w:name="_Toc31821"/>
      <w:bookmarkStart w:id="199" w:name="_Toc98560355"/>
      <w:bookmarkStart w:id="200" w:name="_Toc3080"/>
      <w:bookmarkStart w:id="201" w:name="_Toc21735"/>
      <w:bookmarkStart w:id="202" w:name="_Toc74065746"/>
      <w:bookmarkStart w:id="203" w:name="_Toc139991739"/>
      <w:bookmarkStart w:id="204" w:name="_Toc123112237"/>
      <w:bookmarkStart w:id="205" w:name="_Toc141703889"/>
      <w:r>
        <w:rPr>
          <w:rFonts w:hint="eastAsia" w:ascii="Calibri" w:hAnsi="Calibri" w:eastAsia="宋体" w:cs="宋体"/>
          <w:b/>
          <w:bCs/>
          <w:kern w:val="44"/>
          <w:sz w:val="30"/>
          <w:szCs w:val="44"/>
          <w:lang w:val="en-US" w:eastAsia="zh-CN" w:bidi="ar-SA"/>
        </w:rPr>
        <w:t>第十条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spacing w:line="360" w:lineRule="auto"/>
        <w:ind w:firstLine="361" w:firstLineChars="200"/>
        <w:rPr>
          <w:rFonts w:cs="宋体" w:asciiTheme="majorEastAsia" w:hAnsiTheme="majorEastAsia" w:eastAsiaTheme="majorEastAsia"/>
          <w:b/>
          <w:bCs/>
          <w:sz w:val="18"/>
          <w:szCs w:val="18"/>
        </w:rPr>
      </w:pPr>
      <w:bookmarkStart w:id="206" w:name="_Toc79392593"/>
      <w:bookmarkStart w:id="207" w:name="_Toc57530252"/>
      <w:bookmarkStart w:id="208" w:name="_Toc15118245"/>
      <w:r>
        <w:rPr>
          <w:rFonts w:hint="eastAsia" w:cs="宋体"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cs="宋体" w:asciiTheme="majorEastAsia" w:hAnsiTheme="majorEastAsia" w:eastAsiaTheme="majorEastAsia"/>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1）</w:t>
      </w:r>
      <w:r>
        <w:rPr>
          <w:rFonts w:hint="eastAsia" w:cs="宋体" w:asciiTheme="majorEastAsia" w:hAnsiTheme="majorEastAsia" w:eastAsiaTheme="majorEastAsia"/>
          <w:bCs/>
          <w:sz w:val="18"/>
          <w:szCs w:val="18"/>
        </w:rPr>
        <w:t>因不可抗力原因导致理财产品无法继续运作。</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2）</w:t>
      </w:r>
      <w:r>
        <w:rPr>
          <w:rFonts w:hint="eastAsia" w:cs="宋体"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3）</w:t>
      </w:r>
      <w:r>
        <w:rPr>
          <w:rFonts w:hint="eastAsia" w:cs="宋体"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4）</w:t>
      </w:r>
      <w:r>
        <w:rPr>
          <w:rFonts w:hint="eastAsia" w:cs="宋体"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5）</w:t>
      </w:r>
      <w:r>
        <w:rPr>
          <w:rFonts w:hint="eastAsia" w:cs="宋体"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6）</w:t>
      </w:r>
      <w:r>
        <w:rPr>
          <w:rFonts w:hint="eastAsia" w:cs="宋体"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8）提前终止产品比维持产品运作更有利于保护产品持有人的</w:t>
      </w:r>
      <w:r>
        <w:rPr>
          <w:rFonts w:hint="eastAsia" w:cs="宋体" w:asciiTheme="majorEastAsia" w:hAnsiTheme="majorEastAsia" w:eastAsiaTheme="majorEastAsia"/>
          <w:bCs/>
          <w:sz w:val="18"/>
          <w:szCs w:val="18"/>
        </w:rPr>
        <w:t>权益。</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w:t>
      </w:r>
      <w:r>
        <w:rPr>
          <w:rFonts w:cs="宋体" w:asciiTheme="majorEastAsia" w:hAnsiTheme="majorEastAsia" w:eastAsiaTheme="majorEastAsia"/>
          <w:bCs/>
          <w:sz w:val="18"/>
          <w:szCs w:val="18"/>
        </w:rPr>
        <w:t>9）</w:t>
      </w:r>
      <w:r>
        <w:rPr>
          <w:rFonts w:hint="eastAsia" w:cs="宋体"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cs="宋体" w:asciiTheme="majorEastAsia" w:hAnsiTheme="majorEastAsia" w:eastAsiaTheme="majorEastAsia"/>
          <w:b/>
          <w:bCs/>
          <w:sz w:val="18"/>
          <w:szCs w:val="18"/>
        </w:rPr>
      </w:pPr>
      <w:r>
        <w:rPr>
          <w:rFonts w:hint="eastAsia" w:cs="宋体" w:asciiTheme="majorEastAsia" w:hAnsiTheme="majorEastAsia" w:eastAsiaTheme="majorEastAsia"/>
          <w:b/>
          <w:bCs/>
          <w:sz w:val="18"/>
          <w:szCs w:val="18"/>
        </w:rPr>
        <w:t>（二）理财产品的清算</w:t>
      </w:r>
    </w:p>
    <w:bookmarkEnd w:id="206"/>
    <w:bookmarkEnd w:id="207"/>
    <w:bookmarkEnd w:id="208"/>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209" w:name="_Toc26192"/>
      <w:bookmarkStart w:id="210" w:name="_Toc8791"/>
      <w:bookmarkStart w:id="211" w:name="_Toc3329"/>
      <w:bookmarkStart w:id="212" w:name="_Toc48649708"/>
      <w:bookmarkStart w:id="213" w:name="_Toc176189288"/>
      <w:bookmarkStart w:id="214" w:name="_Toc739"/>
      <w:bookmarkStart w:id="215" w:name="_Toc123102457"/>
      <w:bookmarkStart w:id="216" w:name="_Toc74065747"/>
      <w:bookmarkStart w:id="217" w:name="_Toc139991740"/>
      <w:bookmarkStart w:id="218" w:name="_Toc21237"/>
      <w:bookmarkStart w:id="219" w:name="_Toc141703890"/>
      <w:bookmarkStart w:id="220" w:name="_Toc17920"/>
      <w:bookmarkStart w:id="221" w:name="_Toc79392622"/>
      <w:bookmarkStart w:id="222" w:name="_Toc79154674"/>
      <w:bookmarkStart w:id="223" w:name="_Toc123112238"/>
      <w:bookmarkStart w:id="224" w:name="_Toc17198"/>
      <w:bookmarkStart w:id="225" w:name="_Toc123051456"/>
      <w:bookmarkStart w:id="226" w:name="_Toc29408"/>
      <w:bookmarkStart w:id="227" w:name="_Toc32092"/>
      <w:bookmarkStart w:id="228" w:name="_Toc5170"/>
      <w:bookmarkStart w:id="229" w:name="_Toc98560356"/>
      <w:bookmarkStart w:id="230" w:name="_Toc32584"/>
      <w:r>
        <w:rPr>
          <w:rFonts w:ascii="Times New Roman" w:hAnsi="Calibri" w:eastAsia="宋体" w:cs="宋体"/>
          <w:b/>
          <w:bCs/>
          <w:kern w:val="44"/>
          <w:sz w:val="30"/>
          <w:szCs w:val="44"/>
          <w:lang w:val="en-US" w:eastAsia="zh-CN" w:bidi="ar-SA"/>
        </w:rPr>
        <w:t>第十</w:t>
      </w:r>
      <w:r>
        <w:rPr>
          <w:rFonts w:hint="eastAsia" w:ascii="Times New Roman" w:hAnsi="Calibri" w:eastAsia="宋体" w:cs="宋体"/>
          <w:b/>
          <w:bCs/>
          <w:kern w:val="44"/>
          <w:sz w:val="30"/>
          <w:szCs w:val="44"/>
          <w:lang w:val="en-US" w:eastAsia="zh-CN" w:bidi="ar-SA"/>
        </w:rPr>
        <w:t>一条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spacing w:line="360" w:lineRule="auto"/>
        <w:ind w:firstLine="361" w:firstLineChars="200"/>
        <w:rPr>
          <w:rFonts w:ascii="宋体" w:hAnsi="宋体" w:cs="宋体"/>
          <w:b/>
          <w:bCs/>
          <w:sz w:val="18"/>
          <w:szCs w:val="18"/>
        </w:rPr>
      </w:pPr>
      <w:bookmarkStart w:id="231" w:name="_Toc85201647"/>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firstLineChars="20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firstLineChars="20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cs="宋体"/>
          <w:bCs/>
          <w:sz w:val="18"/>
          <w:szCs w:val="18"/>
        </w:rPr>
        <w:t>投资者及时关注。</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firstLineChars="200"/>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cs="宋体"/>
          <w:bCs/>
          <w:sz w:val="18"/>
          <w:szCs w:val="18"/>
        </w:rPr>
      </w:pPr>
      <w:r>
        <w:rPr>
          <w:rFonts w:ascii="宋体" w:hAnsi="宋体" w:cs="宋体"/>
          <w:bCs/>
          <w:sz w:val="18"/>
          <w:szCs w:val="18"/>
        </w:rPr>
        <w:t>4</w:t>
      </w:r>
      <w:r>
        <w:rPr>
          <w:rFonts w:hint="eastAsia" w:ascii="宋体" w:hAnsi="宋体" w:cs="宋体"/>
          <w:bCs/>
          <w:sz w:val="18"/>
          <w:szCs w:val="18"/>
        </w:rPr>
        <w:t>.在保障投资者知情权的前提下，产品管理人保留变更信息披露渠道的权利。</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firstLineChars="20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cs="宋体" w:asciiTheme="minorEastAsia" w:hAnsiTheme="minorEastAsia"/>
          <w:bCs/>
          <w:sz w:val="18"/>
          <w:szCs w:val="18"/>
        </w:rPr>
        <w:t>每万份理财产品份额收益及</w:t>
      </w:r>
      <w:r>
        <w:rPr>
          <w:rFonts w:cs="宋体" w:asciiTheme="minorEastAsia" w:hAnsiTheme="minorEastAsia"/>
          <w:bCs/>
          <w:sz w:val="18"/>
          <w:szCs w:val="18"/>
        </w:rPr>
        <w:t>7日年化收益率</w:t>
      </w:r>
      <w:r>
        <w:rPr>
          <w:rFonts w:hint="eastAsia" w:cs="宋体" w:asciiTheme="minorEastAsia" w:hAnsiTheme="minorEastAsia"/>
          <w:bCs/>
          <w:sz w:val="18"/>
          <w:szCs w:val="18"/>
        </w:rPr>
        <w:t>、</w:t>
      </w:r>
      <w:r>
        <w:rPr>
          <w:rFonts w:cs="宋体" w:asciiTheme="minorEastAsia" w:hAnsiTheme="minorEastAsia"/>
          <w:bCs/>
          <w:sz w:val="18"/>
          <w:szCs w:val="18"/>
        </w:rPr>
        <w:t>前</w:t>
      </w:r>
      <w:r>
        <w:rPr>
          <w:rFonts w:hint="eastAsia" w:cs="宋体" w:asciiTheme="minorEastAsia" w:hAnsiTheme="minorEastAsia"/>
          <w:bCs/>
          <w:sz w:val="18"/>
          <w:szCs w:val="18"/>
        </w:rPr>
        <w:t>1</w:t>
      </w:r>
      <w:r>
        <w:rPr>
          <w:rFonts w:cs="宋体" w:asciiTheme="minorEastAsia" w:hAnsiTheme="minorEastAsia"/>
          <w:bCs/>
          <w:sz w:val="18"/>
          <w:szCs w:val="18"/>
        </w:rPr>
        <w:t>0名投资者类别</w:t>
      </w:r>
      <w:r>
        <w:rPr>
          <w:rFonts w:hint="eastAsia" w:cs="宋体" w:asciiTheme="minorEastAsia" w:hAnsiTheme="minorEastAsia"/>
          <w:bCs/>
          <w:sz w:val="18"/>
          <w:szCs w:val="18"/>
        </w:rPr>
        <w:t>和</w:t>
      </w:r>
      <w:r>
        <w:rPr>
          <w:rFonts w:cs="宋体" w:asciiTheme="minorEastAsia" w:hAnsiTheme="minorEastAsia"/>
          <w:bCs/>
          <w:sz w:val="18"/>
          <w:szCs w:val="18"/>
        </w:rPr>
        <w:t>持有份额及</w:t>
      </w:r>
      <w:r>
        <w:rPr>
          <w:rFonts w:hint="eastAsia" w:cs="宋体" w:asciiTheme="minorEastAsia" w:hAnsiTheme="minorEastAsia"/>
          <w:bCs/>
          <w:sz w:val="18"/>
          <w:szCs w:val="18"/>
        </w:rPr>
        <w:t>占总份额比例</w:t>
      </w:r>
      <w:r>
        <w:rPr>
          <w:rFonts w:hint="eastAsia" w:ascii="宋体" w:hAnsi="宋体" w:cs="宋体"/>
          <w:bCs/>
          <w:sz w:val="18"/>
          <w:szCs w:val="18"/>
        </w:rPr>
        <w:t>等信息。</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firstLineChars="20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产品成立公告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本产品成立后5个工作日内，产品管理人将发布产品成立公告。</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重大事项公告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firstLineChars="200"/>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w:t>
      </w:r>
      <w:r>
        <w:rPr>
          <w:rFonts w:ascii="宋体" w:hAnsi="宋体" w:cs="宋体"/>
          <w:bCs/>
          <w:sz w:val="18"/>
          <w:szCs w:val="18"/>
        </w:rPr>
        <w:t>定期报告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cs="宋体"/>
          <w:bCs/>
          <w:sz w:val="18"/>
          <w:szCs w:val="18"/>
        </w:rPr>
      </w:pPr>
      <w:r>
        <w:rPr>
          <w:rFonts w:ascii="宋体" w:hAnsi="宋体" w:cs="宋体"/>
          <w:bCs/>
          <w:sz w:val="18"/>
          <w:szCs w:val="18"/>
        </w:rPr>
        <w:t>4</w:t>
      </w:r>
      <w:r>
        <w:rPr>
          <w:rFonts w:hint="eastAsia" w:ascii="宋体" w:hAnsi="宋体" w:cs="宋体"/>
          <w:bCs/>
          <w:sz w:val="18"/>
          <w:szCs w:val="18"/>
        </w:rPr>
        <w:t>.</w:t>
      </w:r>
      <w:r>
        <w:rPr>
          <w:rFonts w:ascii="宋体" w:hAnsi="宋体" w:cs="宋体"/>
          <w:bCs/>
          <w:sz w:val="18"/>
          <w:szCs w:val="18"/>
        </w:rPr>
        <w:t>到期公告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cs="宋体"/>
          <w:bCs/>
          <w:sz w:val="18"/>
          <w:szCs w:val="18"/>
        </w:rPr>
      </w:pPr>
      <w:r>
        <w:rPr>
          <w:rFonts w:ascii="宋体" w:hAnsi="宋体" w:cs="宋体"/>
          <w:bCs/>
          <w:sz w:val="18"/>
          <w:szCs w:val="18"/>
        </w:rPr>
        <w:t>5</w:t>
      </w:r>
      <w:r>
        <w:rPr>
          <w:rFonts w:hint="eastAsia" w:ascii="宋体" w:hAnsi="宋体" w:cs="宋体"/>
          <w:bCs/>
          <w:sz w:val="18"/>
          <w:szCs w:val="18"/>
        </w:rPr>
        <w:t>.</w:t>
      </w:r>
      <w:r>
        <w:rPr>
          <w:rFonts w:ascii="宋体" w:hAnsi="宋体" w:cs="宋体"/>
          <w:bCs/>
          <w:sz w:val="18"/>
          <w:szCs w:val="18"/>
        </w:rPr>
        <w:t>开放日</w:t>
      </w:r>
      <w:r>
        <w:rPr>
          <w:rFonts w:hint="eastAsia" w:ascii="宋体" w:hAnsi="宋体" w:cs="宋体"/>
          <w:bCs/>
          <w:sz w:val="18"/>
          <w:szCs w:val="18"/>
        </w:rPr>
        <w:t>/</w:t>
      </w:r>
      <w:r>
        <w:rPr>
          <w:rFonts w:ascii="宋体" w:hAnsi="宋体" w:cs="宋体"/>
          <w:bCs/>
          <w:sz w:val="18"/>
          <w:szCs w:val="18"/>
        </w:rPr>
        <w:t>估值日公告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产品管理人在每个开放日公告前一个开放日每万份理财收益和</w:t>
      </w:r>
      <w:r>
        <w:rPr>
          <w:rFonts w:ascii="宋体" w:hAnsi="宋体" w:cs="宋体"/>
          <w:bCs/>
          <w:sz w:val="18"/>
          <w:szCs w:val="18"/>
        </w:rPr>
        <w:t>7</w:t>
      </w:r>
      <w:r>
        <w:rPr>
          <w:rFonts w:hint="eastAsia" w:ascii="宋体" w:hAnsi="宋体" w:cs="宋体"/>
          <w:bCs/>
          <w:sz w:val="18"/>
          <w:szCs w:val="18"/>
        </w:rPr>
        <w:t>日年化收益率。如遇法定节假日顺延。</w:t>
      </w:r>
    </w:p>
    <w:p>
      <w:pPr>
        <w:spacing w:line="360" w:lineRule="auto"/>
        <w:ind w:firstLine="360" w:firstLineChars="200"/>
        <w:rPr>
          <w:rFonts w:ascii="宋体" w:hAnsi="宋体" w:cs="宋体"/>
          <w:bCs/>
          <w:sz w:val="18"/>
          <w:szCs w:val="18"/>
        </w:rPr>
      </w:pPr>
      <w:r>
        <w:rPr>
          <w:rFonts w:ascii="宋体" w:hAnsi="宋体" w:cs="宋体"/>
          <w:bCs/>
          <w:sz w:val="18"/>
          <w:szCs w:val="18"/>
        </w:rPr>
        <w:t>6.临时公告</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w:t>
      </w:r>
      <w:r>
        <w:rPr>
          <w:rFonts w:ascii="宋体" w:hAnsi="宋体" w:cs="宋体"/>
          <w:bCs/>
          <w:sz w:val="18"/>
          <w:szCs w:val="18"/>
        </w:rPr>
        <w:t>/申购</w:t>
      </w:r>
      <w:r>
        <w:rPr>
          <w:rFonts w:hint="eastAsia" w:ascii="宋体" w:hAnsi="宋体" w:cs="宋体"/>
          <w:bCs/>
          <w:sz w:val="18"/>
          <w:szCs w:val="18"/>
        </w:rPr>
        <w:t>申请、暂停接受</w:t>
      </w:r>
      <w:r>
        <w:rPr>
          <w:rFonts w:ascii="宋体" w:hAnsi="宋体" w:cs="宋体"/>
          <w:bCs/>
          <w:sz w:val="18"/>
          <w:szCs w:val="18"/>
        </w:rPr>
        <w:t>投资者</w:t>
      </w:r>
      <w:r>
        <w:rPr>
          <w:rFonts w:hint="eastAsia" w:ascii="宋体" w:hAnsi="宋体" w:cs="宋体"/>
          <w:bCs/>
          <w:sz w:val="18"/>
          <w:szCs w:val="18"/>
        </w:rPr>
        <w:t>赎回申请、延缓支付赎回款项、</w:t>
      </w:r>
      <w:r>
        <w:rPr>
          <w:rFonts w:ascii="宋体" w:hAnsi="宋体" w:cs="宋体"/>
          <w:bCs/>
          <w:sz w:val="18"/>
          <w:szCs w:val="18"/>
        </w:rPr>
        <w:t>巨额赎回</w:t>
      </w:r>
      <w:r>
        <w:rPr>
          <w:rFonts w:hint="eastAsia" w:ascii="宋体" w:hAnsi="宋体" w:cs="宋体"/>
          <w:bCs/>
          <w:sz w:val="18"/>
          <w:szCs w:val="18"/>
        </w:rPr>
        <w:t>、暂停理财产品估值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bookmarkEnd w:id="231"/>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32" w:name="_Toc176189289"/>
      <w:bookmarkStart w:id="233" w:name="_Toc79154675"/>
      <w:bookmarkStart w:id="234" w:name="_Toc20251"/>
      <w:bookmarkStart w:id="235" w:name="_GoBack"/>
      <w:bookmarkEnd w:id="235"/>
      <w:r>
        <w:rPr>
          <w:rFonts w:hint="eastAsia" w:ascii="Times New Roman" w:hAnsi="Calibri" w:eastAsia="宋体" w:cs="宋体"/>
          <w:b/>
          <w:bCs/>
          <w:kern w:val="44"/>
          <w:sz w:val="30"/>
          <w:szCs w:val="44"/>
          <w:lang w:val="en-US" w:eastAsia="zh-CN" w:bidi="ar-SA"/>
        </w:rPr>
        <w:t>第十二条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32"/>
      <w:bookmarkEnd w:id="233"/>
      <w:bookmarkEnd w:id="234"/>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r>
        <w:rPr>
          <w:rFonts w:hint="eastAsia" w:ascii="宋体" w:hAnsi="宋体" w:cs="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cs="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cs="宋体"/>
          <w:sz w:val="18"/>
          <w:szCs w:val="18"/>
        </w:rPr>
        <w:t>】</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w:t>
      </w:r>
      <w:r>
        <w:rPr>
          <w:rFonts w:hint="eastAsia" w:cs="宋体" w:asciiTheme="minorEastAsia" w:hAnsiTheme="minorEastAsia" w:eastAsiaTheme="minorEastAsia"/>
          <w:sz w:val="18"/>
          <w:szCs w:val="18"/>
        </w:rPr>
        <w:t>每万份理财收益和</w:t>
      </w:r>
      <w:r>
        <w:rPr>
          <w:rFonts w:cs="宋体" w:asciiTheme="minorEastAsia" w:hAnsiTheme="minorEastAsia" w:eastAsiaTheme="minorEastAsia"/>
          <w:sz w:val="18"/>
          <w:szCs w:val="18"/>
        </w:rPr>
        <w:t>7</w:t>
      </w:r>
      <w:r>
        <w:rPr>
          <w:rFonts w:hint="eastAsia" w:cs="宋体" w:asciiTheme="minorEastAsia" w:hAnsiTheme="minorEastAsia" w:eastAsiaTheme="minorEastAsia"/>
          <w:sz w:val="18"/>
          <w:szCs w:val="18"/>
        </w:rPr>
        <w:t>日年化收益率</w:t>
      </w:r>
      <w:r>
        <w:rPr>
          <w:rFonts w:hint="eastAsia" w:ascii="宋体" w:hAnsi="宋体" w:cs="宋体"/>
          <w:sz w:val="18"/>
          <w:szCs w:val="18"/>
        </w:rPr>
        <w:t>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w:t>
      </w:r>
      <w:r>
        <w:rPr>
          <w:rFonts w:hint="eastAsia" w:cs="宋体" w:asciiTheme="minorEastAsia" w:hAnsiTheme="minorEastAsia" w:eastAsiaTheme="minorEastAsia"/>
          <w:sz w:val="18"/>
          <w:szCs w:val="18"/>
        </w:rPr>
        <w:t>每万份理财收益和</w:t>
      </w:r>
      <w:r>
        <w:rPr>
          <w:rFonts w:cs="宋体" w:asciiTheme="minorEastAsia" w:hAnsiTheme="minorEastAsia" w:eastAsiaTheme="minorEastAsia"/>
          <w:sz w:val="18"/>
          <w:szCs w:val="18"/>
        </w:rPr>
        <w:t>7</w:t>
      </w:r>
      <w:r>
        <w:rPr>
          <w:rFonts w:hint="eastAsia" w:cs="宋体" w:asciiTheme="minorEastAsia" w:hAnsiTheme="minorEastAsia" w:eastAsiaTheme="minorEastAsia"/>
          <w:sz w:val="18"/>
          <w:szCs w:val="18"/>
        </w:rPr>
        <w:t>日年化收益率</w:t>
      </w:r>
      <w:r>
        <w:rPr>
          <w:rFonts w:hint="eastAsia" w:ascii="宋体" w:hAnsi="宋体" w:cs="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7</w:t>
      </w:r>
      <w:r>
        <w:rPr>
          <w:rFonts w:ascii="宋体" w:hAnsi="宋体" w:cs="宋体"/>
          <w:sz w:val="18"/>
          <w:szCs w:val="18"/>
        </w:rPr>
        <w:t>.</w:t>
      </w:r>
      <w:r>
        <w:rPr>
          <w:rFonts w:hint="eastAsia" w:ascii="宋体" w:hAnsi="宋体" w:cs="宋体"/>
          <w:sz w:val="18"/>
          <w:szCs w:val="18"/>
        </w:rPr>
        <w:t>关联交易风险</w:t>
      </w:r>
    </w:p>
    <w:p>
      <w:pPr>
        <w:spacing w:line="360" w:lineRule="auto"/>
        <w:ind w:firstLine="360" w:firstLineChars="200"/>
        <w:rPr>
          <w:rFonts w:ascii="宋体" w:hAnsi="宋体" w:cs="宋体"/>
          <w:sz w:val="18"/>
          <w:szCs w:val="18"/>
        </w:rPr>
      </w:pPr>
      <w:r>
        <w:rPr>
          <w:rFonts w:hint="eastAsia" w:ascii="宋体" w:hAnsi="宋体" w:cs="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cs="宋体"/>
          <w:sz w:val="18"/>
          <w:szCs w:val="18"/>
        </w:rPr>
        <w:t>关系</w:t>
      </w:r>
      <w:r>
        <w:rPr>
          <w:rFonts w:hint="eastAsia" w:ascii="宋体" w:hAnsi="宋体" w:cs="宋体"/>
          <w:sz w:val="18"/>
          <w:szCs w:val="18"/>
        </w:rPr>
        <w:t>仍可能产生</w:t>
      </w:r>
      <w:r>
        <w:rPr>
          <w:rFonts w:ascii="宋体" w:hAnsi="宋体" w:cs="宋体"/>
          <w:sz w:val="18"/>
          <w:szCs w:val="18"/>
        </w:rPr>
        <w:t>不利影响和投资</w:t>
      </w:r>
      <w:r>
        <w:rPr>
          <w:rFonts w:hint="eastAsia" w:ascii="宋体" w:hAnsi="宋体" w:cs="宋体"/>
          <w:sz w:val="18"/>
          <w:szCs w:val="18"/>
        </w:rPr>
        <w:t>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rPr>
          <w:rFonts w:ascii="宋体" w:hAnsi="宋体" w:cs="宋体"/>
          <w:sz w:val="18"/>
          <w:szCs w:val="18"/>
        </w:rPr>
      </w:pPr>
      <w:r>
        <w:rPr>
          <w:rFonts w:ascii="宋体" w:hAnsi="宋体" w:cs="宋体"/>
          <w:sz w:val="18"/>
          <w:szCs w:val="18"/>
        </w:rPr>
        <w:br w:type="page"/>
      </w:r>
    </w:p>
    <w:tbl>
      <w:tblPr>
        <w:tblStyle w:val="9"/>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投资者（签名</w:t>
            </w:r>
            <w:r>
              <w:rPr>
                <w:rFonts w:ascii="Calibri" w:hAnsi="Calibri" w:cs="宋体"/>
                <w:sz w:val="18"/>
                <w:szCs w:val="18"/>
              </w:rPr>
              <w:t>/</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宋体"/>
                <w:sz w:val="18"/>
                <w:szCs w:val="18"/>
              </w:rPr>
              <w:t>/</w:t>
            </w:r>
            <w:r>
              <w:rPr>
                <w:rFonts w:hint="eastAsia" w:ascii="Calibri" w:hAnsi="Calibri" w:cs="宋体"/>
                <w:sz w:val="18"/>
                <w:szCs w:val="18"/>
              </w:rPr>
              <w:t>线上确认</w:t>
            </w:r>
            <w:r>
              <w:rPr>
                <w:rFonts w:hint="eastAsia" w:ascii="Calibri" w:hAnsi="Calibri" w:cs="Arial"/>
                <w:sz w:val="18"/>
                <w:szCs w:val="18"/>
              </w:rPr>
              <w:t>）：</w:t>
            </w:r>
          </w:p>
          <w:p>
            <w:pPr>
              <w:spacing w:line="360" w:lineRule="auto"/>
              <w:ind w:firstLine="360"/>
              <w:jc w:val="left"/>
              <w:rPr>
                <w:rFonts w:ascii="Calibri" w:hAnsi="Calibri" w:cs="Arial"/>
                <w:sz w:val="18"/>
                <w:szCs w:val="18"/>
              </w:rPr>
            </w:pP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w:t>
            </w:r>
            <w:r>
              <w:rPr>
                <w:rFonts w:hint="eastAsia" w:ascii="Calibri" w:hAnsi="Calibri" w:cs="宋体"/>
                <w:sz w:val="18"/>
                <w:szCs w:val="18"/>
              </w:rPr>
              <w:t>名</w:t>
            </w:r>
            <w:r>
              <w:rPr>
                <w:rFonts w:ascii="Calibri" w:hAnsi="Calibri" w:cs="宋体"/>
                <w:sz w:val="18"/>
                <w:szCs w:val="18"/>
              </w:rPr>
              <w:t>/</w:t>
            </w:r>
            <w:r>
              <w:rPr>
                <w:rFonts w:hint="eastAsia" w:ascii="Calibri" w:hAnsi="Calibri" w:cs="Arial"/>
                <w:sz w:val="18"/>
                <w:szCs w:val="18"/>
              </w:rPr>
              <w:t>盖章</w:t>
            </w:r>
            <w:r>
              <w:rPr>
                <w:rFonts w:ascii="Calibri" w:hAnsi="Calibri" w:cs="宋体"/>
                <w:sz w:val="18"/>
                <w:szCs w:val="18"/>
              </w:rPr>
              <w:t>/</w:t>
            </w:r>
            <w:r>
              <w:rPr>
                <w:rFonts w:hint="eastAsia" w:ascii="Calibri" w:hAnsi="Calibri" w:cs="宋体"/>
                <w:sz w:val="18"/>
                <w:szCs w:val="18"/>
              </w:rPr>
              <w:t>线上确认</w:t>
            </w:r>
            <w:r>
              <w:rPr>
                <w:rFonts w:hint="eastAsia" w:ascii="Calibri" w:hAnsi="Calibri" w:cs="Arial"/>
                <w:sz w:val="18"/>
                <w:szCs w:val="18"/>
              </w:rPr>
              <w:t>）：</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Cs/>
          <w:szCs w:val="22"/>
        </w:rPr>
      </w:pPr>
      <w:r>
        <w:rPr>
          <w:rFonts w:hint="eastAsia" w:ascii="宋体" w:hAnsi="宋体" w:cs="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rPr>
          <w:rFonts w:ascii="Calibri" w:hAnsi="Calibri" w:cs="宋体"/>
          <w:szCs w:val="22"/>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w:t>
      </w:r>
      <w:r>
        <w:rPr>
          <w:rFonts w:hint="eastAsia" w:ascii="黑体" w:hAnsi="黑体" w:eastAsia="黑体" w:cs="宋体"/>
          <w:b/>
          <w:sz w:val="28"/>
          <w:szCs w:val="28"/>
          <w:lang w:val="en-US" w:eastAsia="zh-CN"/>
        </w:rPr>
        <w:t>添利</w:t>
      </w:r>
      <w:r>
        <w:rPr>
          <w:rFonts w:hint="eastAsia" w:ascii="黑体" w:hAnsi="黑体" w:eastAsia="黑体" w:cs="宋体"/>
          <w:b/>
          <w:sz w:val="28"/>
          <w:szCs w:val="28"/>
        </w:rPr>
        <w:t>】理财产品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sym w:font="Wingdings 2" w:char="00A3"/>
      </w:r>
      <w:r>
        <w:rPr>
          <w:rFonts w:hint="eastAsia" w:cs="宋体" w:asciiTheme="majorEastAsia" w:hAnsiTheme="majorEastAsia" w:eastAsiaTheme="majorEastAsia"/>
          <w:sz w:val="18"/>
          <w:szCs w:val="18"/>
        </w:rPr>
        <w:t xml:space="preserve"> 参照本条第（1）款非机构投资者要求执行；</w:t>
      </w:r>
    </w:p>
    <w:p>
      <w:pPr>
        <w:widowControl/>
        <w:spacing w:line="360" w:lineRule="auto"/>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sym w:font="Wingdings 2" w:char="00A3"/>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w:t>
            </w:r>
            <w:r>
              <w:rPr>
                <w:rFonts w:ascii="Calibri" w:hAnsi="Calibri" w:cs="宋体"/>
                <w:kern w:val="0"/>
                <w:sz w:val="18"/>
                <w:szCs w:val="18"/>
              </w:rPr>
              <w:t>/</w:t>
            </w:r>
            <w:r>
              <w:rPr>
                <w:rFonts w:hint="eastAsia" w:ascii="Calibri" w:hAnsi="Calibri" w:cs="宋体"/>
                <w:kern w:val="0"/>
                <w:sz w:val="18"/>
                <w:szCs w:val="18"/>
              </w:rPr>
              <w:t>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w:t>
            </w:r>
            <w:r>
              <w:rPr>
                <w:rFonts w:ascii="Calibri" w:hAnsi="Calibri" w:cs="宋体"/>
                <w:kern w:val="0"/>
                <w:sz w:val="18"/>
                <w:szCs w:val="18"/>
              </w:rPr>
              <w:t>/</w:t>
            </w:r>
            <w:r>
              <w:rPr>
                <w:rFonts w:hint="eastAsia" w:ascii="Calibri" w:hAnsi="Calibri" w:cs="宋体"/>
                <w:kern w:val="0"/>
                <w:sz w:val="18"/>
                <w:szCs w:val="18"/>
              </w:rPr>
              <w:t>线上确认</w:t>
            </w:r>
            <w:r>
              <w:rPr>
                <w:rFonts w:hint="eastAsia" w:ascii="Calibri" w:hAnsi="Calibri" w:cs="Arial"/>
                <w:kern w:val="0"/>
                <w:sz w:val="18"/>
                <w:szCs w:val="18"/>
              </w:rPr>
              <w:t>）：</w:t>
            </w:r>
          </w:p>
          <w:p>
            <w:pPr>
              <w:spacing w:line="360" w:lineRule="auto"/>
              <w:rPr>
                <w:rFonts w:ascii="Calibri" w:hAnsi="Calibri" w:cs="Arial"/>
                <w:kern w:val="0"/>
                <w:sz w:val="18"/>
                <w:szCs w:val="18"/>
              </w:rPr>
            </w:pPr>
          </w:p>
          <w:p>
            <w:pPr>
              <w:spacing w:line="360" w:lineRule="auto"/>
              <w:rPr>
                <w:rFonts w:ascii="Calibri" w:hAnsi="Calibri" w:cs="宋体"/>
                <w:b/>
                <w:kern w:val="0"/>
                <w:sz w:val="18"/>
                <w:szCs w:val="18"/>
              </w:rPr>
            </w:pPr>
            <w:r>
              <w:rPr>
                <w:rFonts w:hint="eastAsia" w:ascii="Calibri" w:hAnsi="Calibri" w:cs="Arial"/>
                <w:kern w:val="0"/>
                <w:sz w:val="18"/>
                <w:szCs w:val="18"/>
              </w:rPr>
              <w:t>甲方法定代表人或授权代理人（签名</w:t>
            </w:r>
            <w:r>
              <w:rPr>
                <w:rFonts w:ascii="Calibri" w:hAnsi="Calibri" w:cs="宋体"/>
                <w:kern w:val="0"/>
                <w:sz w:val="18"/>
                <w:szCs w:val="18"/>
              </w:rPr>
              <w:t>/</w:t>
            </w:r>
            <w:r>
              <w:rPr>
                <w:rFonts w:hint="eastAsia" w:ascii="Calibri" w:hAnsi="Calibri" w:cs="Arial"/>
                <w:kern w:val="0"/>
                <w:sz w:val="18"/>
                <w:szCs w:val="18"/>
              </w:rPr>
              <w:t>盖章</w:t>
            </w:r>
            <w:r>
              <w:rPr>
                <w:rFonts w:ascii="Calibri" w:hAnsi="Calibri" w:cs="宋体"/>
                <w:kern w:val="0"/>
                <w:sz w:val="18"/>
                <w:szCs w:val="18"/>
              </w:rPr>
              <w:t>/</w:t>
            </w:r>
            <w:r>
              <w:rPr>
                <w:rFonts w:hint="eastAsia" w:ascii="Calibri" w:hAnsi="Calibri" w:cs="宋体"/>
                <w:kern w:val="0"/>
                <w:sz w:val="18"/>
                <w:szCs w:val="18"/>
              </w:rPr>
              <w:t>线上确认</w:t>
            </w:r>
            <w:r>
              <w:rPr>
                <w:rFonts w:hint="eastAsia" w:ascii="Calibri" w:hAnsi="Calibri" w:cs="Arial"/>
                <w:kern w:val="0"/>
                <w:sz w:val="18"/>
                <w:szCs w:val="18"/>
              </w:rPr>
              <w:t>）：</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兴银理财【添利】</w:t>
      </w:r>
      <w:r>
        <w:rPr>
          <w:rFonts w:ascii="黑体" w:hAnsi="黑体" w:eastAsia="黑体" w:cs="宋体"/>
          <w:b/>
          <w:bCs/>
          <w:sz w:val="28"/>
          <w:szCs w:val="28"/>
        </w:rPr>
        <w:t>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cs="宋体" w:asciiTheme="minorEastAsia" w:hAnsiTheme="minorEastAsia"/>
          <w:sz w:val="18"/>
          <w:szCs w:val="18"/>
        </w:rPr>
        <w:t>兴银理财添利天天利</w:t>
      </w:r>
      <w:r>
        <w:rPr>
          <w:rFonts w:hint="eastAsia" w:cs="宋体" w:asciiTheme="minorEastAsia" w:hAnsiTheme="minorEastAsia"/>
          <w:sz w:val="18"/>
          <w:szCs w:val="18"/>
          <w:lang w:val="en-US" w:eastAsia="zh-CN"/>
        </w:rPr>
        <w:t>53</w:t>
      </w:r>
      <w:r>
        <w:rPr>
          <w:rFonts w:hint="eastAsia" w:cs="宋体" w:asciiTheme="minorEastAsia" w:hAnsiTheme="minorEastAsia"/>
          <w:sz w:val="18"/>
          <w:szCs w:val="18"/>
        </w:rPr>
        <w:t>号现金管理型理财产品</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cs="宋体" w:asciiTheme="majorEastAsia" w:hAnsiTheme="majorEastAsia" w:eastAsiaTheme="majorEastAsia"/>
          <w:bCs/>
          <w:kern w:val="0"/>
          <w:sz w:val="18"/>
          <w:szCs w:val="18"/>
        </w:rPr>
        <w:t>【</w:t>
      </w:r>
      <w:r>
        <w:rPr>
          <w:rFonts w:hint="eastAsia" w:cs="宋体" w:asciiTheme="minorEastAsia" w:hAnsiTheme="minorEastAsia"/>
          <w:sz w:val="18"/>
          <w:szCs w:val="18"/>
        </w:rPr>
        <w:t>兴银添利天天利53号J（鑫福款）</w:t>
      </w:r>
      <w:r>
        <w:rPr>
          <w:rFonts w:hint="eastAsia" w:cs="宋体"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J</w:t>
      </w:r>
      <w:r>
        <w:rPr>
          <w:rFonts w:hint="eastAsia" w:ascii="宋体" w:hAnsi="宋体" w:cs="仿宋_GB2312"/>
          <w:kern w:val="0"/>
          <w:sz w:val="18"/>
          <w:szCs w:val="18"/>
        </w:rPr>
        <w:t>】类份额）</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hint="eastAsia" w:ascii="宋体" w:hAnsi="宋体" w:cs="宋体"/>
          <w:bCs/>
          <w:sz w:val="18"/>
          <w:szCs w:val="18"/>
        </w:rPr>
        <w:t>Z70020250001</w:t>
      </w:r>
      <w:r>
        <w:rPr>
          <w:rFonts w:hint="eastAsia" w:ascii="宋体" w:hAnsi="宋体" w:cs="宋体"/>
          <w:bCs/>
          <w:sz w:val="18"/>
          <w:szCs w:val="18"/>
          <w:lang w:val="en-US" w:eastAsia="zh-CN"/>
        </w:rPr>
        <w:t>27</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本理财产品风险评级最终定义为【R1</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hint="eastAsia" w:ascii="宋体" w:hAnsi="宋体" w:cs="仿宋_GB2312"/>
          <w:kern w:val="0"/>
          <w:sz w:val="18"/>
          <w:szCs w:val="18"/>
          <w:lang w:val="en-US" w:eastAsia="zh-CN"/>
        </w:rPr>
        <w:t>R1</w:t>
      </w:r>
      <w:r>
        <w:rPr>
          <w:rFonts w:hint="eastAsia" w:ascii="宋体" w:hAnsi="宋体" w:cs="仿宋_GB2312"/>
          <w:kern w:val="0"/>
          <w:sz w:val="18"/>
          <w:szCs w:val="18"/>
        </w:rPr>
        <w:t>】；代理销售机构定义的产品风险评级为【</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r>
        <w:rPr>
          <w:rFonts w:hint="eastAsia" w:cs="宋体"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■个人投资者</w:t>
      </w:r>
      <w:r>
        <w:rPr>
          <w:rFonts w:cs="宋体" w:asciiTheme="majorEastAsia" w:hAnsiTheme="majorEastAsia" w:eastAsiaTheme="majorEastAsia"/>
          <w:bCs/>
          <w:color w:val="000000" w:themeColor="text1"/>
          <w:sz w:val="18"/>
          <w:szCs w:val="18"/>
          <w14:textFill>
            <w14:solidFill>
              <w14:schemeClr w14:val="tx1"/>
            </w14:solidFill>
          </w14:textFill>
        </w:rPr>
        <w:t>：</w:t>
      </w:r>
      <w:r>
        <w:rPr>
          <w:rFonts w:hint="eastAsia" w:cs="宋体" w:asciiTheme="majorEastAsia" w:hAnsiTheme="majorEastAsia" w:eastAsiaTheme="majorEastAsia"/>
          <w:bCs/>
          <w:color w:val="000000" w:themeColor="text1"/>
          <w:sz w:val="18"/>
          <w:szCs w:val="18"/>
          <w14:textFill>
            <w14:solidFill>
              <w14:schemeClr w14:val="tx1"/>
            </w14:solidFill>
          </w14:textFill>
        </w:rPr>
        <w:t>【■</w:t>
      </w:r>
      <w:r>
        <w:rPr>
          <w:rFonts w:cs="宋体"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C2、</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C3、</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C4、</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C5</w:t>
      </w:r>
      <w:r>
        <w:rPr>
          <w:rFonts w:hint="eastAsia" w:cs="宋体"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w:t>
      </w:r>
      <w:r>
        <w:rPr>
          <w:rFonts w:hint="eastAsia" w:cs="宋体" w:asciiTheme="majorEastAsia" w:hAnsiTheme="majorEastAsia" w:eastAsiaTheme="majorEastAsia"/>
          <w:bCs/>
          <w:color w:val="000000" w:themeColor="text1"/>
          <w:sz w:val="18"/>
          <w:szCs w:val="18"/>
          <w14:textFill>
            <w14:solidFill>
              <w14:schemeClr w14:val="tx1"/>
            </w14:solidFill>
          </w14:textFill>
        </w:rPr>
        <w:t>6</w:t>
      </w:r>
      <w:r>
        <w:rPr>
          <w:rFonts w:cs="宋体" w:asciiTheme="majorEastAsia" w:hAnsiTheme="majorEastAsia" w:eastAsiaTheme="majorEastAsia"/>
          <w:bCs/>
          <w:color w:val="000000" w:themeColor="text1"/>
          <w:sz w:val="18"/>
          <w:szCs w:val="18"/>
          <w14:textFill>
            <w14:solidFill>
              <w14:schemeClr w14:val="tx1"/>
            </w14:solidFill>
          </w14:textFill>
        </w:rPr>
        <w:t>】</w:t>
      </w:r>
      <w:r>
        <w:rPr>
          <w:rFonts w:hint="eastAsia" w:cs="宋体"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cs="宋体" w:asciiTheme="majorEastAsia" w:hAnsiTheme="majorEastAsia" w:eastAsiaTheme="majorEastAsia"/>
          <w:bCs/>
          <w:color w:val="000000" w:themeColor="text1"/>
          <w:sz w:val="18"/>
          <w:szCs w:val="18"/>
          <w:lang w:eastAsia="zh-CN"/>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■机构投资者：■一般机构客户【■</w:t>
      </w:r>
      <w:r>
        <w:rPr>
          <w:rFonts w:cs="宋体"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C2、</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C3、</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C4、</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C5</w:t>
      </w:r>
      <w:r>
        <w:rPr>
          <w:rFonts w:hint="eastAsia" w:cs="宋体" w:asciiTheme="majorEastAsia" w:hAnsiTheme="majorEastAsia" w:eastAsiaTheme="majorEastAsia"/>
          <w:bCs/>
          <w:color w:val="000000" w:themeColor="text1"/>
          <w:sz w:val="18"/>
          <w:szCs w:val="18"/>
          <w14:textFill>
            <w14:solidFill>
              <w14:schemeClr w14:val="tx1"/>
            </w14:solidFill>
          </w14:textFill>
        </w:rPr>
        <w:t>】，■金融同业客户【■</w:t>
      </w:r>
      <w:r>
        <w:rPr>
          <w:rFonts w:cs="宋体"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C2、</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C3、</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C4、</w:t>
      </w:r>
      <w:r>
        <w:rPr>
          <w:rFonts w:hint="eastAsia" w:cs="宋体" w:asciiTheme="majorEastAsia" w:hAnsiTheme="majorEastAsia" w:eastAsiaTheme="majorEastAsia"/>
          <w:bCs/>
          <w:color w:val="000000" w:themeColor="text1"/>
          <w:sz w:val="18"/>
          <w:szCs w:val="18"/>
          <w14:textFill>
            <w14:solidFill>
              <w14:schemeClr w14:val="tx1"/>
            </w14:solidFill>
          </w14:textFill>
        </w:rPr>
        <w:t xml:space="preserve">■ </w:t>
      </w:r>
      <w:r>
        <w:rPr>
          <w:rFonts w:cs="宋体" w:asciiTheme="majorEastAsia" w:hAnsiTheme="majorEastAsia" w:eastAsiaTheme="majorEastAsia"/>
          <w:bCs/>
          <w:color w:val="000000" w:themeColor="text1"/>
          <w:sz w:val="18"/>
          <w:szCs w:val="18"/>
          <w14:textFill>
            <w14:solidFill>
              <w14:schemeClr w14:val="tx1"/>
            </w14:solidFill>
          </w14:textFill>
        </w:rPr>
        <w:t>C5</w:t>
      </w:r>
      <w:r>
        <w:rPr>
          <w:rFonts w:hint="eastAsia" w:cs="宋体"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r>
        <w:rPr>
          <w:rFonts w:hint="eastAsia" w:ascii="宋体" w:hAnsi="宋体" w:cs="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cs="宋体"/>
          <w:sz w:val="18"/>
          <w:szCs w:val="18"/>
        </w:rPr>
      </w:pPr>
      <w:r>
        <w:rPr>
          <w:rFonts w:hint="eastAsia" w:ascii="宋体" w:hAnsi="宋体" w:cs="宋体"/>
          <w:sz w:val="18"/>
          <w:szCs w:val="18"/>
        </w:rPr>
        <w:t>】</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（二）投资者投资本产品可能面临的一般风险主要包括（但不限于）：</w:t>
      </w:r>
      <w:r>
        <w:rPr>
          <w:rFonts w:ascii="宋体" w:hAnsi="宋体" w:eastAsia="宋体" w:cs="宋体"/>
          <w:b/>
          <w:bCs/>
          <w:kern w:val="2"/>
          <w:sz w:val="18"/>
          <w:szCs w:val="18"/>
          <w:lang w:val="en-US" w:eastAsia="zh-CN" w:bidi="ar-SA"/>
        </w:rPr>
        <w:t xml:space="preserve">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420"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420" w:firstLineChars="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w:t>
      </w:r>
      <w:r>
        <w:rPr>
          <w:rFonts w:hint="eastAsia" w:cs="宋体" w:asciiTheme="minorEastAsia" w:hAnsiTheme="minorEastAsia" w:eastAsiaTheme="minorEastAsia"/>
          <w:kern w:val="2"/>
          <w:sz w:val="18"/>
          <w:szCs w:val="18"/>
          <w:lang w:val="en-US" w:eastAsia="zh-CN" w:bidi="ar-SA"/>
        </w:rPr>
        <w:t>每万份理财收益和</w:t>
      </w:r>
      <w:r>
        <w:rPr>
          <w:rFonts w:cs="宋体" w:asciiTheme="minorEastAsia" w:hAnsiTheme="minorEastAsia" w:eastAsiaTheme="minorEastAsia"/>
          <w:kern w:val="2"/>
          <w:sz w:val="18"/>
          <w:szCs w:val="18"/>
          <w:lang w:val="en-US" w:eastAsia="zh-CN" w:bidi="ar-SA"/>
        </w:rPr>
        <w:t>7</w:t>
      </w:r>
      <w:r>
        <w:rPr>
          <w:rFonts w:hint="eastAsia" w:cs="宋体" w:asciiTheme="minorEastAsia" w:hAnsiTheme="minorEastAsia" w:eastAsiaTheme="minorEastAsia"/>
          <w:kern w:val="2"/>
          <w:sz w:val="18"/>
          <w:szCs w:val="18"/>
          <w:lang w:val="en-US" w:eastAsia="zh-CN" w:bidi="ar-SA"/>
        </w:rPr>
        <w:t>日年化收益率</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存在下跌的风险。</w:t>
      </w:r>
    </w:p>
    <w:p>
      <w:pPr>
        <w:widowControl w:val="0"/>
        <w:ind w:firstLine="420"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420" w:firstLineChars="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w:t>
      </w:r>
      <w:r>
        <w:rPr>
          <w:rFonts w:hint="eastAsia" w:cs="宋体" w:asciiTheme="minorEastAsia" w:hAnsiTheme="minorEastAsia" w:eastAsiaTheme="minorEastAsia"/>
          <w:kern w:val="2"/>
          <w:sz w:val="18"/>
          <w:szCs w:val="18"/>
          <w:lang w:val="en-US" w:eastAsia="zh-CN" w:bidi="ar-SA"/>
        </w:rPr>
        <w:t>每万份理财收益和</w:t>
      </w:r>
      <w:r>
        <w:rPr>
          <w:rFonts w:cs="宋体" w:asciiTheme="minorEastAsia" w:hAnsiTheme="minorEastAsia" w:eastAsiaTheme="minorEastAsia"/>
          <w:kern w:val="2"/>
          <w:sz w:val="18"/>
          <w:szCs w:val="18"/>
          <w:lang w:val="en-US" w:eastAsia="zh-CN" w:bidi="ar-SA"/>
        </w:rPr>
        <w:t>7</w:t>
      </w:r>
      <w:r>
        <w:rPr>
          <w:rFonts w:hint="eastAsia" w:cs="宋体" w:asciiTheme="minorEastAsia" w:hAnsiTheme="minorEastAsia" w:eastAsiaTheme="minorEastAsia"/>
          <w:kern w:val="2"/>
          <w:sz w:val="18"/>
          <w:szCs w:val="18"/>
          <w:lang w:val="en-US" w:eastAsia="zh-CN" w:bidi="ar-SA"/>
        </w:rPr>
        <w:t>日年化收益率</w:t>
      </w:r>
      <w:r>
        <w:rPr>
          <w:rFonts w:hint="eastAsia" w:ascii="宋体" w:hAnsi="宋体" w:eastAsia="宋体" w:cs="宋体"/>
          <w:bCs/>
          <w:kern w:val="2"/>
          <w:sz w:val="18"/>
          <w:szCs w:val="18"/>
          <w:lang w:val="en-US" w:eastAsia="zh-CN" w:bidi="ar-SA"/>
        </w:rPr>
        <w:t>。</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17.关联交易风险</w:t>
      </w:r>
    </w:p>
    <w:p>
      <w:pPr>
        <w:widowControl w:val="0"/>
        <w:ind w:firstLine="420" w:firstLineChars="0"/>
        <w:jc w:val="both"/>
        <w:rPr>
          <w:rFonts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宋体"/>
          <w:bCs/>
          <w:sz w:val="18"/>
          <w:szCs w:val="18"/>
        </w:rPr>
      </w:pPr>
      <w:r>
        <w:rPr>
          <w:rFonts w:hint="eastAsia" w:ascii="黑体" w:hAnsi="黑体" w:eastAsia="黑体" w:cs="宋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销售机构（【</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9"/>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1"/>
          <w:rFonts w:ascii="黑体" w:hAnsi="黑体" w:eastAsia="黑体" w:cs="Times New Roman"/>
          <w:sz w:val="28"/>
          <w:szCs w:val="28"/>
        </w:rPr>
      </w:pPr>
      <w:r>
        <w:rPr>
          <w:rStyle w:val="11"/>
          <w:rFonts w:hint="eastAsia" w:ascii="黑体" w:hAnsi="黑体" w:eastAsia="黑体" w:cstheme="minorBidi"/>
          <w:sz w:val="28"/>
          <w:szCs w:val="28"/>
        </w:rPr>
        <w:t>兴银理财【添利】理财产品</w:t>
      </w:r>
    </w:p>
    <w:p>
      <w:pPr>
        <w:adjustRightInd w:val="0"/>
        <w:spacing w:line="276" w:lineRule="auto"/>
        <w:jc w:val="center"/>
        <w:rPr>
          <w:rStyle w:val="11"/>
          <w:rFonts w:ascii="黑体" w:hAnsi="黑体" w:eastAsia="黑体" w:cs="Times New Roman"/>
          <w:sz w:val="28"/>
          <w:szCs w:val="28"/>
        </w:rPr>
      </w:pPr>
      <w:r>
        <w:rPr>
          <w:rStyle w:val="11"/>
          <w:rFonts w:hint="eastAsia" w:ascii="黑体" w:hAnsi="黑体" w:eastAsia="黑体" w:cstheme="minorBidi"/>
          <w:sz w:val="28"/>
          <w:szCs w:val="28"/>
        </w:rPr>
        <w:t>投资者权益须知</w:t>
      </w:r>
    </w:p>
    <w:p>
      <w:pPr>
        <w:widowControl w:val="0"/>
        <w:autoSpaceDE w:val="0"/>
        <w:autoSpaceDN w:val="0"/>
        <w:adjustRightInd w:val="0"/>
        <w:jc w:val="center"/>
        <w:rPr>
          <w:rFonts w:ascii="宋体" w:hAnsi="宋体" w:eastAsia="宋体" w:cs="Times New Roman"/>
          <w:b/>
          <w:color w:val="auto"/>
          <w:sz w:val="28"/>
          <w:szCs w:val="28"/>
          <w:lang w:val="en-US" w:eastAsia="zh-CN" w:bidi="ar-SA"/>
        </w:rPr>
      </w:pPr>
      <w:r>
        <w:rPr>
          <w:rFonts w:hint="eastAsia" w:ascii="宋体" w:hAnsi="宋体" w:eastAsia="宋体" w:cs="Times New Roman"/>
          <w:b/>
          <w:color w:val="auto"/>
          <w:sz w:val="28"/>
          <w:szCs w:val="28"/>
          <w:lang w:val="en-US" w:eastAsia="zh-CN" w:bidi="ar-SA"/>
        </w:rPr>
        <w:t>（适用于个人投资者）</w:t>
      </w:r>
    </w:p>
    <w:p>
      <w:pPr>
        <w:rPr>
          <w:rFonts w:ascii="宋体" w:hAnsi="宋体" w:eastAsia="宋体" w:cs="Times New Roman"/>
          <w:b/>
          <w:sz w:val="18"/>
          <w:szCs w:val="18"/>
        </w:rPr>
      </w:pPr>
      <w:r>
        <w:rPr>
          <w:rFonts w:hint="eastAsia" w:ascii="宋体" w:hAnsi="宋体" w:eastAsia="宋体" w:cs="Times New Roman"/>
          <w:b/>
          <w:sz w:val="18"/>
          <w:szCs w:val="18"/>
        </w:rPr>
        <w:t>尊敬的投资者：</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感谢您通过销售机构【】以(□ 直销：产品管理人销售/</w:t>
      </w:r>
      <w:r>
        <w:rPr>
          <w:rFonts w:hint="eastAsia" w:ascii="宋体" w:hAnsi="宋体" w:eastAsia="宋体" w:cs="宋体"/>
          <w:sz w:val="18"/>
          <w:szCs w:val="18"/>
        </w:rPr>
        <w:t>■</w:t>
      </w:r>
      <w:r>
        <w:rPr>
          <w:rFonts w:hint="eastAsia" w:ascii="宋体" w:hAnsi="宋体" w:eastAsia="宋体" w:cs="Times New Roman"/>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请仔细阅读本《投资者权益须知》，行使您在本业务项下的权益。</w:t>
      </w:r>
      <w:r>
        <w:rPr>
          <w:rFonts w:ascii="宋体" w:hAnsi="宋体" w:eastAsia="宋体" w:cs="Times New Roman"/>
          <w:sz w:val="18"/>
          <w:szCs w:val="18"/>
        </w:rPr>
        <w:t xml:space="preserve"> </w:t>
      </w:r>
    </w:p>
    <w:p>
      <w:pPr>
        <w:ind w:firstLine="360" w:firstLineChars="200"/>
        <w:rPr>
          <w:rFonts w:ascii="宋体" w:hAnsi="宋体" w:eastAsia="宋体" w:cs="Times New Roman"/>
          <w:sz w:val="18"/>
          <w:szCs w:val="18"/>
        </w:rPr>
      </w:pPr>
    </w:p>
    <w:p>
      <w:pPr>
        <w:ind w:firstLine="361" w:firstLineChars="200"/>
        <w:rPr>
          <w:rFonts w:ascii="宋体" w:hAnsi="宋体" w:eastAsia="宋体" w:cs="Times New Roman"/>
          <w:b/>
          <w:sz w:val="18"/>
          <w:szCs w:val="18"/>
        </w:rPr>
      </w:pPr>
      <w:r>
        <w:rPr>
          <w:rFonts w:hint="eastAsia" w:ascii="宋体" w:hAnsi="宋体" w:eastAsia="宋体" w:cs="Times New Roman"/>
          <w:b/>
          <w:sz w:val="18"/>
          <w:szCs w:val="18"/>
        </w:rPr>
        <w:t>一、理财产品购买流程</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ascii="宋体" w:hAnsi="宋体" w:eastAsia="宋体" w:cs="Times New Roman"/>
          <w:sz w:val="18"/>
          <w:szCs w:val="18"/>
        </w:rPr>
        <w:t>开立或持有</w:t>
      </w:r>
      <w:r>
        <w:rPr>
          <w:rFonts w:hint="eastAsia" w:ascii="宋体" w:hAnsi="宋体" w:eastAsia="宋体" w:cs="Times New Roman"/>
          <w:sz w:val="18"/>
          <w:szCs w:val="18"/>
        </w:rPr>
        <w:t>销售机构</w:t>
      </w:r>
      <w:r>
        <w:rPr>
          <w:rFonts w:ascii="宋体" w:hAnsi="宋体" w:eastAsia="宋体" w:cs="Times New Roman"/>
          <w:sz w:val="18"/>
          <w:szCs w:val="18"/>
        </w:rPr>
        <w:t>账户，该账户用于本产品的理财资金划转及</w:t>
      </w:r>
      <w:r>
        <w:rPr>
          <w:rFonts w:hint="eastAsia" w:ascii="宋体" w:hAnsi="宋体" w:eastAsia="宋体" w:cs="Times New Roman"/>
          <w:sz w:val="18"/>
          <w:szCs w:val="18"/>
        </w:rPr>
        <w:t>分配</w:t>
      </w:r>
      <w:r>
        <w:rPr>
          <w:rFonts w:ascii="宋体" w:hAnsi="宋体" w:eastAsia="宋体" w:cs="Times New Roman"/>
          <w:sz w:val="18"/>
          <w:szCs w:val="18"/>
        </w:rPr>
        <w:t>，您应确保持有本产品期间所指定账户不做销户。</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（二）</w:t>
      </w:r>
      <w:r>
        <w:rPr>
          <w:rFonts w:ascii="宋体" w:hAnsi="宋体" w:eastAsia="宋体" w:cs="Times New Roman"/>
          <w:sz w:val="18"/>
          <w:szCs w:val="18"/>
        </w:rPr>
        <w:t>接受并完成</w:t>
      </w:r>
      <w:r>
        <w:rPr>
          <w:rFonts w:hint="eastAsia" w:ascii="宋体" w:hAnsi="宋体" w:eastAsia="宋体" w:cs="Times New Roman"/>
          <w:sz w:val="18"/>
          <w:szCs w:val="18"/>
        </w:rPr>
        <w:t>销售机构</w:t>
      </w:r>
      <w:r>
        <w:rPr>
          <w:rFonts w:ascii="宋体" w:hAnsi="宋体" w:eastAsia="宋体" w:cs="Times New Roman"/>
          <w:sz w:val="18"/>
          <w:szCs w:val="18"/>
        </w:rPr>
        <w:t>对您的风险承受能力评估，并根据风险评估结果选择适合的产品。</w:t>
      </w:r>
      <w:r>
        <w:rPr>
          <w:rFonts w:hint="eastAsia" w:ascii="宋体" w:hAnsi="宋体" w:eastAsia="宋体" w:cs="Times New Roman"/>
          <w:sz w:val="18"/>
          <w:szCs w:val="18"/>
        </w:rPr>
        <w:t>若销售机构对您风险承受能力评估事宜另有安排的，以销售机构政策为准。</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（三）</w:t>
      </w:r>
      <w:r>
        <w:rPr>
          <w:rFonts w:ascii="宋体" w:hAnsi="宋体" w:eastAsia="宋体" w:cs="Times New Roman"/>
          <w:sz w:val="18"/>
          <w:szCs w:val="18"/>
        </w:rPr>
        <w:t>请仔细阅读《</w:t>
      </w:r>
      <w:r>
        <w:rPr>
          <w:rFonts w:hint="eastAsia" w:ascii="宋体" w:hAnsi="宋体" w:eastAsia="宋体" w:cs="Times New Roman"/>
          <w:sz w:val="18"/>
          <w:szCs w:val="18"/>
        </w:rPr>
        <w:t>投资</w:t>
      </w:r>
      <w:r>
        <w:rPr>
          <w:rFonts w:ascii="宋体" w:hAnsi="宋体" w:eastAsia="宋体" w:cs="Times New Roman"/>
          <w:sz w:val="18"/>
          <w:szCs w:val="18"/>
        </w:rPr>
        <w:t>协议书》《产品说明书》</w:t>
      </w:r>
      <w:r>
        <w:rPr>
          <w:rFonts w:hint="eastAsia" w:ascii="宋体" w:hAnsi="宋体" w:eastAsia="宋体" w:cs="Times New Roman"/>
          <w:sz w:val="18"/>
          <w:szCs w:val="18"/>
        </w:rPr>
        <w:t>《（代理）销售</w:t>
      </w:r>
      <w:r>
        <w:rPr>
          <w:rFonts w:ascii="宋体" w:hAnsi="宋体" w:eastAsia="宋体" w:cs="Times New Roman"/>
          <w:sz w:val="18"/>
          <w:szCs w:val="18"/>
        </w:rPr>
        <w:t>协议书</w:t>
      </w:r>
      <w:r>
        <w:rPr>
          <w:rFonts w:hint="eastAsia" w:ascii="宋体" w:hAnsi="宋体" w:eastAsia="宋体" w:cs="Times New Roman"/>
          <w:sz w:val="18"/>
          <w:szCs w:val="18"/>
        </w:rPr>
        <w:t>》</w:t>
      </w:r>
      <w:r>
        <w:rPr>
          <w:rFonts w:ascii="宋体" w:hAnsi="宋体" w:eastAsia="宋体" w:cs="Times New Roman"/>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eastAsia="宋体" w:cs="Times New Roman"/>
          <w:b/>
          <w:sz w:val="18"/>
          <w:szCs w:val="18"/>
        </w:rPr>
      </w:pPr>
      <w:r>
        <w:rPr>
          <w:rFonts w:hint="eastAsia" w:ascii="宋体" w:hAnsi="宋体" w:eastAsia="宋体" w:cs="Times New Roman"/>
          <w:b/>
          <w:sz w:val="18"/>
          <w:szCs w:val="18"/>
        </w:rPr>
        <w:t>二、投资者风险承受能力与产品风险评级</w:t>
      </w:r>
    </w:p>
    <w:p>
      <w:pPr>
        <w:ind w:firstLine="361" w:firstLineChars="200"/>
        <w:rPr>
          <w:rFonts w:ascii="宋体" w:hAnsi="宋体" w:eastAsia="宋体" w:cs="Times New Roman"/>
          <w:b/>
          <w:sz w:val="18"/>
          <w:szCs w:val="18"/>
        </w:rPr>
      </w:pPr>
      <w:r>
        <w:rPr>
          <w:rFonts w:hint="eastAsia" w:ascii="宋体" w:hAnsi="宋体" w:eastAsia="宋体" w:cs="Times New Roman"/>
          <w:b/>
          <w:sz w:val="18"/>
          <w:szCs w:val="18"/>
        </w:rPr>
        <w:t>（一）投资者风险承受能力评估说明</w:t>
      </w:r>
    </w:p>
    <w:p>
      <w:pPr>
        <w:ind w:firstLine="360" w:firstLineChars="200"/>
        <w:rPr>
          <w:rFonts w:ascii="宋体" w:hAnsi="宋体" w:eastAsia="宋体" w:cs="Times New Roman"/>
          <w:sz w:val="18"/>
          <w:szCs w:val="18"/>
        </w:rPr>
      </w:pPr>
      <w:r>
        <w:rPr>
          <w:rFonts w:ascii="宋体" w:hAnsi="宋体" w:eastAsia="宋体" w:cs="Times New Roman"/>
          <w:sz w:val="18"/>
          <w:szCs w:val="18"/>
        </w:rPr>
        <w:t>1</w:t>
      </w:r>
      <w:r>
        <w:rPr>
          <w:rFonts w:hint="eastAsia" w:ascii="宋体" w:hAnsi="宋体" w:eastAsia="宋体" w:cs="Times New Roman"/>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eastAsia="宋体" w:cs="Times New Roman"/>
          <w:sz w:val="18"/>
          <w:szCs w:val="18"/>
        </w:rPr>
        <w:t>线下渠道</w:t>
      </w:r>
      <w:r>
        <w:rPr>
          <w:rFonts w:hint="eastAsia" w:ascii="宋体" w:hAnsi="宋体" w:eastAsia="宋体" w:cs="Times New Roman"/>
          <w:sz w:val="18"/>
          <w:szCs w:val="18"/>
        </w:rPr>
        <w:t>或</w:t>
      </w:r>
      <w:r>
        <w:rPr>
          <w:rFonts w:ascii="宋体" w:hAnsi="宋体" w:eastAsia="宋体" w:cs="Times New Roman"/>
          <w:sz w:val="18"/>
          <w:szCs w:val="18"/>
        </w:rPr>
        <w:t>线上渠道</w:t>
      </w:r>
      <w:r>
        <w:rPr>
          <w:rFonts w:hint="eastAsia" w:ascii="宋体" w:hAnsi="宋体" w:eastAsia="宋体" w:cs="Times New Roman"/>
          <w:sz w:val="18"/>
          <w:szCs w:val="18"/>
        </w:rPr>
        <w:t>进行风险承受能力持续评估。</w:t>
      </w:r>
      <w:r>
        <w:rPr>
          <w:rFonts w:hint="eastAsia" w:ascii="黑体" w:hAnsi="黑体" w:eastAsia="黑体" w:cs="Times New Roman"/>
          <w:sz w:val="18"/>
          <w:szCs w:val="18"/>
        </w:rPr>
        <w:t>如影响您风险承受能力的因素发生变化，请您及时重新完成风险承受能力评估。</w:t>
      </w:r>
    </w:p>
    <w:p>
      <w:pPr>
        <w:ind w:firstLine="361" w:firstLineChars="200"/>
        <w:rPr>
          <w:rFonts w:ascii="宋体" w:hAnsi="宋体" w:eastAsia="宋体" w:cs="Times New Roman"/>
          <w:b/>
          <w:sz w:val="18"/>
          <w:szCs w:val="18"/>
        </w:rPr>
      </w:pPr>
      <w:r>
        <w:rPr>
          <w:rFonts w:ascii="宋体" w:hAnsi="宋体" w:eastAsia="宋体" w:cs="Times New Roman"/>
          <w:b/>
          <w:sz w:val="18"/>
          <w:szCs w:val="18"/>
        </w:rPr>
        <w:t>2.</w:t>
      </w:r>
      <w:r>
        <w:rPr>
          <w:rFonts w:hint="eastAsia" w:ascii="宋体" w:hAnsi="宋体" w:eastAsia="宋体" w:cs="Times New Roman"/>
          <w:b/>
          <w:sz w:val="18"/>
          <w:szCs w:val="18"/>
        </w:rPr>
        <w:t>投资者风险承受能力评级与理财产品风险评级</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销售机构</w:t>
      </w:r>
      <w:r>
        <w:rPr>
          <w:rFonts w:ascii="宋体" w:hAnsi="宋体" w:eastAsia="宋体" w:cs="Times New Roman"/>
          <w:sz w:val="18"/>
          <w:szCs w:val="18"/>
        </w:rPr>
        <w:t>根据</w:t>
      </w:r>
      <w:r>
        <w:rPr>
          <w:rFonts w:hint="eastAsia" w:ascii="宋体" w:hAnsi="宋体" w:eastAsia="宋体" w:cs="Times New Roman"/>
          <w:sz w:val="18"/>
          <w:szCs w:val="18"/>
        </w:rPr>
        <w:t>投资者风险承受能力，个人投资者由低至高分为【</w:t>
      </w:r>
      <w:r>
        <w:rPr>
          <w:rFonts w:hint="eastAsia" w:ascii="宋体" w:hAnsi="宋体" w:eastAsia="宋体" w:cs="Times New Roman"/>
          <w:sz w:val="18"/>
          <w:szCs w:val="18"/>
          <w:lang w:val="en-US" w:eastAsia="zh-CN"/>
        </w:rPr>
        <w:t>C1-C6</w:t>
      </w:r>
      <w:r>
        <w:rPr>
          <w:rFonts w:hint="eastAsia" w:ascii="宋体" w:hAnsi="宋体" w:eastAsia="宋体" w:cs="Times New Roman"/>
          <w:sz w:val="18"/>
          <w:szCs w:val="18"/>
        </w:rPr>
        <w:t>】</w:t>
      </w:r>
      <w:r>
        <w:rPr>
          <w:rFonts w:ascii="宋体" w:hAnsi="宋体" w:eastAsia="宋体" w:cs="Times New Roman"/>
          <w:sz w:val="18"/>
          <w:szCs w:val="18"/>
        </w:rPr>
        <w:t>。其中，</w:t>
      </w:r>
      <w:r>
        <w:rPr>
          <w:rFonts w:hint="eastAsia" w:ascii="宋体" w:hAnsi="宋体" w:eastAsia="宋体" w:cs="Times New Roman"/>
          <w:sz w:val="18"/>
          <w:szCs w:val="18"/>
        </w:rPr>
        <w:t>【</w:t>
      </w:r>
      <w:r>
        <w:rPr>
          <w:rFonts w:hint="eastAsia" w:ascii="宋体" w:hAnsi="宋体" w:eastAsia="宋体" w:cs="Times New Roman"/>
          <w:sz w:val="18"/>
          <w:szCs w:val="18"/>
          <w:lang w:val="en-US" w:eastAsia="zh-CN"/>
        </w:rPr>
        <w:t>C1</w:t>
      </w:r>
      <w:r>
        <w:rPr>
          <w:rFonts w:hint="eastAsia" w:ascii="宋体" w:hAnsi="宋体" w:eastAsia="宋体" w:cs="Times New Roman"/>
          <w:sz w:val="18"/>
          <w:szCs w:val="18"/>
        </w:rPr>
        <w:t>】</w:t>
      </w:r>
      <w:r>
        <w:rPr>
          <w:rFonts w:ascii="宋体" w:hAnsi="宋体" w:eastAsia="宋体" w:cs="Times New Roman"/>
          <w:sz w:val="18"/>
          <w:szCs w:val="18"/>
        </w:rPr>
        <w:t>为风险承受能力最低类别，</w:t>
      </w:r>
      <w:r>
        <w:rPr>
          <w:rFonts w:hint="eastAsia" w:ascii="宋体" w:hAnsi="宋体" w:eastAsia="宋体" w:cs="Times New Roman"/>
          <w:sz w:val="18"/>
          <w:szCs w:val="18"/>
        </w:rPr>
        <w:t>【</w:t>
      </w:r>
      <w:r>
        <w:rPr>
          <w:rFonts w:hint="eastAsia" w:ascii="宋体" w:hAnsi="宋体" w:eastAsia="宋体" w:cs="Times New Roman"/>
          <w:sz w:val="18"/>
          <w:szCs w:val="18"/>
          <w:lang w:val="en-US" w:eastAsia="zh-CN"/>
        </w:rPr>
        <w:t>C6</w:t>
      </w:r>
      <w:r>
        <w:rPr>
          <w:rFonts w:hint="eastAsia" w:ascii="宋体" w:hAnsi="宋体" w:eastAsia="宋体" w:cs="Times New Roman"/>
          <w:sz w:val="18"/>
          <w:szCs w:val="18"/>
        </w:rPr>
        <w:t>】</w:t>
      </w:r>
      <w:r>
        <w:rPr>
          <w:rFonts w:ascii="宋体" w:hAnsi="宋体" w:eastAsia="宋体" w:cs="Times New Roman"/>
          <w:sz w:val="18"/>
          <w:szCs w:val="18"/>
        </w:rPr>
        <w:t>为风险承受能力最高类别。</w:t>
      </w:r>
      <w:r>
        <w:rPr>
          <w:rFonts w:hint="eastAsia" w:ascii="宋体" w:hAnsi="宋体" w:eastAsia="宋体" w:cs="Times New Roman"/>
          <w:sz w:val="18"/>
          <w:szCs w:val="18"/>
        </w:rPr>
        <w:t>投资者根据其风险承受能力评级购买对应的理财产品。</w:t>
      </w:r>
      <w:r>
        <w:rPr>
          <w:rFonts w:ascii="宋体" w:hAnsi="宋体" w:eastAsia="宋体" w:cs="Times New Roman"/>
          <w:sz w:val="18"/>
          <w:szCs w:val="18"/>
        </w:rPr>
        <w:t>投资者风险承受能力评级类型与适合购买的理财产品的对应关系为：</w:t>
      </w:r>
    </w:p>
    <w:tbl>
      <w:tblPr>
        <w:tblStyle w:val="8"/>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cs="Times New Roman"/>
          <w:sz w:val="18"/>
          <w:szCs w:val="18"/>
        </w:rPr>
      </w:pPr>
      <w:r>
        <w:rPr>
          <w:rFonts w:hint="eastAsia" w:ascii="黑体" w:hAnsi="黑体" w:eastAsia="黑体" w:cs="仿宋_GB2312"/>
          <w:bCs/>
          <w:kern w:val="0"/>
          <w:sz w:val="18"/>
          <w:szCs w:val="18"/>
        </w:rPr>
        <w:t>★</w:t>
      </w:r>
      <w:r>
        <w:rPr>
          <w:rFonts w:hint="eastAsia" w:ascii="黑体" w:hAnsi="黑体" w:eastAsia="黑体" w:cs="Times New Roman"/>
          <w:sz w:val="18"/>
          <w:szCs w:val="18"/>
        </w:rPr>
        <w:t>（二）针对“理财产品风险评级”、 “投资者风险承受能力”、“适合投资者类型”的不同划分与表述的特别提示</w:t>
      </w:r>
    </w:p>
    <w:p>
      <w:pPr>
        <w:ind w:firstLine="360" w:firstLineChars="200"/>
        <w:rPr>
          <w:rFonts w:ascii="黑体" w:hAnsi="黑体" w:eastAsia="黑体" w:cs="Times New Roman"/>
          <w:sz w:val="18"/>
          <w:szCs w:val="18"/>
        </w:rPr>
      </w:pPr>
      <w:r>
        <w:rPr>
          <w:rFonts w:hint="eastAsia" w:ascii="黑体" w:hAnsi="黑体" w:eastAsia="黑体" w:cs="Times New Roman"/>
          <w:sz w:val="18"/>
          <w:szCs w:val="18"/>
        </w:rPr>
        <w:t>1</w:t>
      </w:r>
      <w:r>
        <w:rPr>
          <w:rFonts w:ascii="黑体" w:hAnsi="黑体" w:eastAsia="黑体" w:cs="Times New Roman"/>
          <w:sz w:val="18"/>
          <w:szCs w:val="18"/>
        </w:rPr>
        <w:t>.</w:t>
      </w:r>
      <w:r>
        <w:rPr>
          <w:rFonts w:hint="eastAsia" w:ascii="黑体" w:hAnsi="黑体" w:eastAsia="黑体" w:cs="Times New Roman"/>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cs="Times New Roman"/>
          <w:sz w:val="18"/>
          <w:szCs w:val="18"/>
        </w:rPr>
      </w:pPr>
      <w:r>
        <w:rPr>
          <w:rFonts w:ascii="黑体" w:hAnsi="黑体" w:eastAsia="黑体" w:cs="Times New Roman"/>
          <w:sz w:val="18"/>
          <w:szCs w:val="18"/>
        </w:rPr>
        <w:t>2.</w:t>
      </w:r>
      <w:r>
        <w:rPr>
          <w:rFonts w:hint="eastAsia" w:ascii="黑体" w:hAnsi="黑体" w:eastAsia="黑体" w:cs="Times New Roman"/>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eastAsia="宋体" w:cs="Times New Roman"/>
          <w:b/>
          <w:sz w:val="18"/>
          <w:szCs w:val="18"/>
        </w:rPr>
      </w:pPr>
      <w:r>
        <w:rPr>
          <w:rFonts w:hint="eastAsia" w:ascii="宋体" w:hAnsi="宋体" w:eastAsia="宋体" w:cs="Times New Roman"/>
          <w:b/>
          <w:sz w:val="18"/>
          <w:szCs w:val="18"/>
        </w:rPr>
        <w:t>三、关于理财产品的信息披露</w:t>
      </w:r>
    </w:p>
    <w:p>
      <w:pPr>
        <w:ind w:firstLine="360" w:firstLineChars="200"/>
        <w:rPr>
          <w:rFonts w:eastAsia="宋体" w:cs="Times New Roman" w:asciiTheme="minorEastAsia" w:hAnsiTheme="minorEastAsia"/>
          <w:sz w:val="18"/>
          <w:szCs w:val="18"/>
        </w:rPr>
      </w:pPr>
      <w:r>
        <w:rPr>
          <w:rFonts w:hint="eastAsia" w:ascii="宋体" w:hAnsi="宋体" w:eastAsia="宋体" w:cs="Times New Roman"/>
          <w:bCs/>
          <w:sz w:val="18"/>
          <w:szCs w:val="18"/>
        </w:rPr>
        <w:t>理财产品的信息披露将通过产品管理人或销售机构的门户网站、电子销售渠道或营业网点等进行。</w:t>
      </w:r>
      <w:r>
        <w:rPr>
          <w:rFonts w:eastAsia="宋体" w:cs="Times New Roman" w:asciiTheme="minorEastAsia" w:hAnsiTheme="minorEastAsia"/>
          <w:sz w:val="18"/>
          <w:szCs w:val="18"/>
        </w:rPr>
        <w:t>具体</w:t>
      </w:r>
      <w:r>
        <w:rPr>
          <w:rFonts w:hint="eastAsia" w:eastAsia="宋体" w:cs="Times New Roman" w:asciiTheme="minorEastAsia" w:hAnsiTheme="minorEastAsia"/>
          <w:sz w:val="18"/>
          <w:szCs w:val="18"/>
        </w:rPr>
        <w:t>信息披露的方式、渠道和频率等</w:t>
      </w:r>
      <w:r>
        <w:rPr>
          <w:rFonts w:eastAsia="宋体" w:cs="Times New Roman" w:asciiTheme="minorEastAsia" w:hAnsiTheme="minorEastAsia"/>
          <w:sz w:val="18"/>
          <w:szCs w:val="18"/>
        </w:rPr>
        <w:t>以《产品说明书》中“信息披露</w:t>
      </w:r>
      <w:r>
        <w:rPr>
          <w:rFonts w:hint="eastAsia" w:eastAsia="宋体" w:cs="Times New Roman" w:asciiTheme="minorEastAsia" w:hAnsiTheme="minorEastAsia"/>
          <w:sz w:val="18"/>
          <w:szCs w:val="18"/>
        </w:rPr>
        <w:t>”约定为准。</w:t>
      </w:r>
    </w:p>
    <w:p>
      <w:pPr>
        <w:ind w:firstLine="361" w:firstLineChars="200"/>
        <w:rPr>
          <w:rFonts w:eastAsia="宋体" w:cs="Times New Roman" w:asciiTheme="minorEastAsia" w:hAnsiTheme="minorEastAsia"/>
          <w:b/>
          <w:sz w:val="18"/>
          <w:szCs w:val="18"/>
        </w:rPr>
      </w:pPr>
      <w:r>
        <w:rPr>
          <w:rFonts w:hint="eastAsia" w:ascii="宋体" w:hAnsi="宋体" w:eastAsia="宋体" w:cs="Times New Roman"/>
          <w:b/>
          <w:sz w:val="18"/>
          <w:szCs w:val="18"/>
        </w:rPr>
        <w:t>四、关于投诉与建议</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hint="eastAsia" w:eastAsia="宋体" w:cs="Times New Roman" w:asciiTheme="minorEastAsia" w:hAnsiTheme="minorEastAsia"/>
          <w:sz w:val="18"/>
          <w:szCs w:val="18"/>
        </w:rPr>
        <w:t>您对本产品有任何意见或异议，可向产品管理人或</w:t>
      </w:r>
      <w:r>
        <w:rPr>
          <w:rFonts w:hint="eastAsia" w:ascii="宋体" w:hAnsi="宋体" w:eastAsia="宋体" w:cs="Times New Roman"/>
          <w:sz w:val="18"/>
          <w:szCs w:val="18"/>
        </w:rPr>
        <w:t>销售机构</w:t>
      </w:r>
      <w:r>
        <w:rPr>
          <w:rFonts w:hint="eastAsia" w:eastAsia="宋体" w:cs="Times New Roman" w:asciiTheme="minorEastAsia" w:hAnsiTheme="minorEastAsia"/>
          <w:sz w:val="18"/>
          <w:szCs w:val="18"/>
        </w:rPr>
        <w:t>反馈</w:t>
      </w:r>
      <w:r>
        <w:rPr>
          <w:rFonts w:hint="eastAsia" w:ascii="宋体" w:hAnsi="宋体" w:eastAsia="宋体" w:cs="Times New Roman"/>
          <w:sz w:val="18"/>
          <w:szCs w:val="18"/>
        </w:rPr>
        <w:t>，产品管理人或销售机构将由专人接听、记录您的意见或建议，并由各方协商共同解决。</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（二）联络方式</w:t>
      </w:r>
      <w:r>
        <w:rPr>
          <w:rFonts w:ascii="宋体" w:hAnsi="宋体" w:eastAsia="宋体" w:cs="Times New Roman"/>
          <w:sz w:val="18"/>
          <w:szCs w:val="18"/>
        </w:rPr>
        <w:t xml:space="preserve"> </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1.产品管理人：兴银理财有限责任公司</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客户服务热线：40015-95561。</w:t>
      </w:r>
    </w:p>
    <w:p>
      <w:pPr>
        <w:spacing w:line="280" w:lineRule="atLeast"/>
        <w:ind w:firstLine="360" w:firstLineChars="200"/>
        <w:outlineLvl w:val="2"/>
        <w:rPr>
          <w:rFonts w:ascii="宋体" w:hAnsi="宋体" w:eastAsia="宋体" w:cs="Times New Roman"/>
          <w:sz w:val="18"/>
          <w:szCs w:val="18"/>
        </w:rPr>
      </w:pPr>
      <w:r>
        <w:rPr>
          <w:rFonts w:hint="eastAsia" w:ascii="宋体" w:hAnsi="宋体" w:eastAsia="宋体" w:cs="Times New Roman"/>
          <w:sz w:val="18"/>
          <w:szCs w:val="18"/>
        </w:rPr>
        <w:t>2.</w:t>
      </w:r>
      <w:r>
        <w:rPr>
          <w:rFonts w:ascii="宋体" w:hAnsi="宋体" w:eastAsia="宋体" w:cs="Times New Roman"/>
          <w:sz w:val="18"/>
          <w:szCs w:val="18"/>
        </w:rPr>
        <w:t>销售机构</w:t>
      </w:r>
      <w:r>
        <w:rPr>
          <w:rFonts w:hint="eastAsia" w:ascii="宋体" w:hAnsi="宋体" w:eastAsia="宋体" w:cs="Times New Roman"/>
          <w:sz w:val="18"/>
          <w:szCs w:val="18"/>
        </w:rPr>
        <w:t>：兴业银行股份有限公司</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兴业银行理财经理或兴业银行各营业网点。</w:t>
      </w:r>
    </w:p>
    <w:p>
      <w:pPr>
        <w:spacing w:line="280" w:lineRule="atLeast"/>
        <w:ind w:firstLine="360" w:firstLineChars="200"/>
        <w:rPr>
          <w:rFonts w:ascii="宋体" w:hAnsi="宋体" w:eastAsia="宋体" w:cs="Times New Roman"/>
          <w:sz w:val="18"/>
          <w:szCs w:val="18"/>
        </w:rPr>
      </w:pPr>
      <w:r>
        <w:rPr>
          <w:rFonts w:ascii="宋体" w:hAnsi="宋体" w:eastAsia="宋体" w:cs="Times New Roman"/>
          <w:sz w:val="18"/>
          <w:szCs w:val="18"/>
        </w:rPr>
        <w:t>兴业银行</w:t>
      </w:r>
      <w:r>
        <w:rPr>
          <w:rFonts w:hint="eastAsia" w:ascii="宋体" w:hAnsi="宋体" w:eastAsia="宋体" w:cs="Times New Roman"/>
          <w:sz w:val="18"/>
          <w:szCs w:val="18"/>
        </w:rPr>
        <w:t>客户投诉电话：【</w:t>
      </w:r>
      <w:r>
        <w:rPr>
          <w:rFonts w:eastAsia="宋体" w:cs="Times New Roman" w:asciiTheme="minorEastAsia" w:hAnsiTheme="minorEastAsia"/>
          <w:sz w:val="18"/>
          <w:szCs w:val="18"/>
        </w:rPr>
        <w:t>95561</w:t>
      </w:r>
      <w:r>
        <w:rPr>
          <w:rFonts w:hint="eastAsia" w:ascii="宋体" w:hAnsi="宋体" w:eastAsia="宋体" w:cs="Times New Roman"/>
          <w:sz w:val="18"/>
          <w:szCs w:val="18"/>
        </w:rPr>
        <w:t>】。</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兴业银行总行消费者投诉受理邮箱：【9</w:t>
      </w:r>
      <w:r>
        <w:rPr>
          <w:rFonts w:ascii="宋体" w:hAnsi="宋体" w:eastAsia="宋体" w:cs="Times New Roman"/>
          <w:sz w:val="18"/>
          <w:szCs w:val="18"/>
        </w:rPr>
        <w:t>5561</w:t>
      </w:r>
      <w:r>
        <w:rPr>
          <w:rFonts w:hint="eastAsia" w:ascii="宋体" w:hAnsi="宋体" w:eastAsia="宋体" w:cs="Times New Roman"/>
          <w:sz w:val="18"/>
          <w:szCs w:val="18"/>
        </w:rPr>
        <w:t>@</w:t>
      </w:r>
      <w:r>
        <w:rPr>
          <w:rFonts w:eastAsia="宋体" w:cs="Times New Roman" w:asciiTheme="minorEastAsia" w:hAnsiTheme="minorEastAsia"/>
          <w:sz w:val="18"/>
          <w:szCs w:val="18"/>
        </w:rPr>
        <w:t>cib.com.cn</w:t>
      </w:r>
      <w:r>
        <w:rPr>
          <w:rFonts w:hint="eastAsia" w:ascii="宋体" w:hAnsi="宋体" w:eastAsia="宋体" w:cs="Times New Roman"/>
          <w:sz w:val="18"/>
          <w:szCs w:val="18"/>
        </w:rPr>
        <w:t>】。</w:t>
      </w:r>
    </w:p>
    <w:p>
      <w:pPr>
        <w:ind w:firstLine="360" w:firstLineChars="200"/>
        <w:outlineLvl w:val="2"/>
        <w:rPr>
          <w:rFonts w:ascii="宋体" w:hAnsi="宋体" w:eastAsia="宋体" w:cs="Times New Roman"/>
          <w:sz w:val="18"/>
          <w:szCs w:val="18"/>
        </w:rPr>
      </w:pPr>
      <w:r>
        <w:rPr>
          <w:rFonts w:hint="eastAsia" w:ascii="宋体" w:hAnsi="宋体" w:eastAsia="宋体" w:cs="Times New Roman"/>
          <w:sz w:val="18"/>
          <w:szCs w:val="18"/>
        </w:rPr>
        <w:t>3.销售机构：【】</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w:t>
      </w:r>
    </w:p>
    <w:p>
      <w:pPr>
        <w:autoSpaceDE w:val="0"/>
        <w:autoSpaceDN w:val="0"/>
        <w:adjustRightInd w:val="0"/>
        <w:jc w:val="left"/>
        <w:rPr>
          <w:rFonts w:ascii="仿宋_GB2312" w:hAnsi="Times New Roman" w:eastAsia="仿宋_GB2312" w:cs="仿宋_GB2312"/>
          <w:color w:val="000000"/>
          <w:kern w:val="0"/>
          <w:sz w:val="24"/>
          <w:szCs w:val="24"/>
        </w:rPr>
      </w:pPr>
    </w:p>
    <w:p>
      <w:pPr>
        <w:widowControl/>
        <w:jc w:val="left"/>
        <w:rPr>
          <w:rFonts w:ascii="宋体" w:hAnsi="宋体" w:eastAsia="宋体" w:cs="Times New Roman"/>
          <w:b/>
          <w:sz w:val="28"/>
          <w:szCs w:val="28"/>
        </w:rPr>
      </w:pPr>
      <w:r>
        <w:rPr>
          <w:rFonts w:ascii="宋体" w:hAnsi="宋体" w:eastAsia="宋体" w:cs="Times New Roman"/>
          <w:b/>
          <w:sz w:val="28"/>
          <w:szCs w:val="28"/>
        </w:rPr>
        <w:br w:type="page"/>
      </w:r>
    </w:p>
    <w:p>
      <w:pPr>
        <w:adjustRightInd w:val="0"/>
        <w:spacing w:line="280" w:lineRule="atLeast"/>
        <w:jc w:val="center"/>
        <w:rPr>
          <w:rStyle w:val="11"/>
          <w:rFonts w:ascii="黑体" w:hAnsi="黑体" w:eastAsia="黑体" w:cs="Times New Roman"/>
          <w:sz w:val="28"/>
          <w:szCs w:val="28"/>
        </w:rPr>
      </w:pPr>
      <w:r>
        <w:rPr>
          <w:rStyle w:val="11"/>
          <w:rFonts w:hint="eastAsia" w:ascii="黑体" w:hAnsi="黑体" w:eastAsia="黑体" w:cstheme="minorBidi"/>
          <w:sz w:val="28"/>
          <w:szCs w:val="28"/>
        </w:rPr>
        <w:t>兴银理财【添利】理财产品</w:t>
      </w:r>
    </w:p>
    <w:p>
      <w:pPr>
        <w:adjustRightInd w:val="0"/>
        <w:spacing w:line="280" w:lineRule="atLeast"/>
        <w:jc w:val="center"/>
        <w:rPr>
          <w:rStyle w:val="11"/>
          <w:rFonts w:ascii="黑体" w:hAnsi="黑体" w:eastAsia="黑体" w:cs="Times New Roman"/>
          <w:sz w:val="28"/>
          <w:szCs w:val="28"/>
        </w:rPr>
      </w:pPr>
      <w:r>
        <w:rPr>
          <w:rStyle w:val="11"/>
          <w:rFonts w:hint="eastAsia" w:ascii="黑体" w:hAnsi="黑体" w:eastAsia="黑体" w:cstheme="minorBidi"/>
          <w:sz w:val="28"/>
          <w:szCs w:val="28"/>
        </w:rPr>
        <w:t>投资者权益须知</w:t>
      </w:r>
    </w:p>
    <w:p>
      <w:pPr>
        <w:widowControl w:val="0"/>
        <w:autoSpaceDE w:val="0"/>
        <w:autoSpaceDN w:val="0"/>
        <w:adjustRightInd w:val="0"/>
        <w:spacing w:line="280" w:lineRule="atLeast"/>
        <w:jc w:val="center"/>
        <w:rPr>
          <w:rFonts w:ascii="宋体" w:hAnsi="宋体" w:eastAsia="宋体" w:cs="Times New Roman"/>
          <w:b/>
          <w:color w:val="auto"/>
          <w:sz w:val="28"/>
          <w:szCs w:val="28"/>
          <w:lang w:val="en-US" w:eastAsia="zh-CN" w:bidi="ar-SA"/>
        </w:rPr>
      </w:pPr>
      <w:r>
        <w:rPr>
          <w:rFonts w:hint="eastAsia" w:ascii="宋体" w:hAnsi="宋体" w:eastAsia="宋体" w:cs="Times New Roman"/>
          <w:b/>
          <w:color w:val="auto"/>
          <w:sz w:val="28"/>
          <w:szCs w:val="28"/>
          <w:lang w:val="en-US" w:eastAsia="zh-CN" w:bidi="ar-SA"/>
        </w:rPr>
        <w:t>（适用于一般机构客户）</w:t>
      </w:r>
    </w:p>
    <w:p>
      <w:pPr>
        <w:spacing w:line="280" w:lineRule="atLeast"/>
        <w:rPr>
          <w:rFonts w:ascii="宋体" w:hAnsi="宋体" w:eastAsia="宋体" w:cs="Times New Roman"/>
          <w:b/>
          <w:sz w:val="18"/>
          <w:szCs w:val="18"/>
        </w:rPr>
      </w:pPr>
      <w:r>
        <w:rPr>
          <w:rFonts w:hint="eastAsia" w:ascii="宋体" w:hAnsi="宋体" w:eastAsia="宋体" w:cs="Times New Roman"/>
          <w:b/>
          <w:sz w:val="18"/>
          <w:szCs w:val="18"/>
        </w:rPr>
        <w:t>尊敬的投资者：</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感谢您通过销售机构【】以(□ 直销：产品管理人销售/</w:t>
      </w:r>
      <w:r>
        <w:rPr>
          <w:rFonts w:hint="eastAsia" w:cs="Times New Roman" w:asciiTheme="majorEastAsia" w:hAnsiTheme="majorEastAsia" w:eastAsiaTheme="majorEastAsia"/>
          <w:bCs/>
          <w:sz w:val="18"/>
          <w:szCs w:val="18"/>
        </w:rPr>
        <w:t>■</w:t>
      </w:r>
      <w:r>
        <w:rPr>
          <w:rFonts w:hint="eastAsia" w:ascii="宋体" w:hAnsi="宋体" w:eastAsia="宋体" w:cs="Times New Roman"/>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请仔细阅读本《投资者权益须知》，行使您在本业务项下的权益。</w:t>
      </w:r>
      <w:r>
        <w:rPr>
          <w:rFonts w:ascii="宋体" w:hAnsi="宋体" w:eastAsia="宋体" w:cs="Times New Roman"/>
          <w:sz w:val="18"/>
          <w:szCs w:val="18"/>
        </w:rPr>
        <w:t xml:space="preserve"> </w:t>
      </w:r>
    </w:p>
    <w:p>
      <w:pPr>
        <w:spacing w:line="280" w:lineRule="atLeast"/>
        <w:ind w:firstLine="360" w:firstLineChars="200"/>
        <w:rPr>
          <w:rFonts w:ascii="宋体" w:hAnsi="宋体" w:eastAsia="宋体" w:cs="Times New Roman"/>
          <w:sz w:val="18"/>
          <w:szCs w:val="18"/>
        </w:rPr>
      </w:pP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一、理财产品购买流程</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ascii="宋体" w:hAnsi="宋体" w:eastAsia="宋体" w:cs="Times New Roman"/>
          <w:sz w:val="18"/>
          <w:szCs w:val="18"/>
        </w:rPr>
        <w:t>开立或持有</w:t>
      </w:r>
      <w:r>
        <w:rPr>
          <w:rFonts w:hint="eastAsia" w:ascii="宋体" w:hAnsi="宋体" w:eastAsia="宋体" w:cs="Times New Roman"/>
          <w:sz w:val="18"/>
          <w:szCs w:val="18"/>
        </w:rPr>
        <w:t>销售机构</w:t>
      </w:r>
      <w:r>
        <w:rPr>
          <w:rFonts w:ascii="宋体" w:hAnsi="宋体" w:eastAsia="宋体" w:cs="Times New Roman"/>
          <w:sz w:val="18"/>
          <w:szCs w:val="18"/>
        </w:rPr>
        <w:t>账户，该账户用于本产品的理财资金划转及</w:t>
      </w:r>
      <w:r>
        <w:rPr>
          <w:rFonts w:hint="eastAsia" w:ascii="宋体" w:hAnsi="宋体" w:eastAsia="宋体" w:cs="Times New Roman"/>
          <w:sz w:val="18"/>
          <w:szCs w:val="18"/>
        </w:rPr>
        <w:t>分配</w:t>
      </w:r>
      <w:r>
        <w:rPr>
          <w:rFonts w:ascii="宋体" w:hAnsi="宋体" w:eastAsia="宋体" w:cs="Times New Roman"/>
          <w:sz w:val="18"/>
          <w:szCs w:val="18"/>
        </w:rPr>
        <w:t>，您应确保持有本产品期间所指定账户不做销户。</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（二）</w:t>
      </w:r>
      <w:r>
        <w:rPr>
          <w:rFonts w:ascii="宋体" w:hAnsi="宋体" w:eastAsia="宋体" w:cs="Times New Roman"/>
          <w:sz w:val="18"/>
          <w:szCs w:val="18"/>
        </w:rPr>
        <w:t>接受并完成</w:t>
      </w:r>
      <w:r>
        <w:rPr>
          <w:rFonts w:hint="eastAsia" w:ascii="宋体" w:hAnsi="宋体" w:eastAsia="宋体" w:cs="Times New Roman"/>
          <w:sz w:val="18"/>
          <w:szCs w:val="18"/>
        </w:rPr>
        <w:t>销售机构</w:t>
      </w:r>
      <w:r>
        <w:rPr>
          <w:rFonts w:ascii="宋体" w:hAnsi="宋体" w:eastAsia="宋体" w:cs="Times New Roman"/>
          <w:sz w:val="18"/>
          <w:szCs w:val="18"/>
        </w:rPr>
        <w:t>对您的风险承受能力评估，并根据风险评估结果选择适合的产品。</w:t>
      </w:r>
      <w:r>
        <w:rPr>
          <w:rFonts w:hint="eastAsia" w:ascii="宋体" w:hAnsi="宋体" w:eastAsia="宋体" w:cs="Times New Roman"/>
          <w:sz w:val="18"/>
          <w:szCs w:val="18"/>
        </w:rPr>
        <w:t>若销售机构对您风险承受能力评估事宜另有安排的，以销售机构政策为准。</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（三）</w:t>
      </w:r>
      <w:r>
        <w:rPr>
          <w:rFonts w:ascii="宋体" w:hAnsi="宋体" w:eastAsia="宋体" w:cs="Times New Roman"/>
          <w:sz w:val="18"/>
          <w:szCs w:val="18"/>
        </w:rPr>
        <w:t>请仔细阅读《</w:t>
      </w:r>
      <w:r>
        <w:rPr>
          <w:rFonts w:hint="eastAsia" w:ascii="宋体" w:hAnsi="宋体" w:eastAsia="宋体" w:cs="Times New Roman"/>
          <w:sz w:val="18"/>
          <w:szCs w:val="18"/>
        </w:rPr>
        <w:t>投资</w:t>
      </w:r>
      <w:r>
        <w:rPr>
          <w:rFonts w:ascii="宋体" w:hAnsi="宋体" w:eastAsia="宋体" w:cs="Times New Roman"/>
          <w:sz w:val="18"/>
          <w:szCs w:val="18"/>
        </w:rPr>
        <w:t>协议书》《产品说明书》</w:t>
      </w:r>
      <w:r>
        <w:rPr>
          <w:rFonts w:hint="eastAsia" w:ascii="宋体" w:hAnsi="宋体" w:eastAsia="宋体" w:cs="Times New Roman"/>
          <w:sz w:val="18"/>
          <w:szCs w:val="18"/>
        </w:rPr>
        <w:t>《（代理）销售</w:t>
      </w:r>
      <w:r>
        <w:rPr>
          <w:rFonts w:ascii="宋体" w:hAnsi="宋体" w:eastAsia="宋体" w:cs="Times New Roman"/>
          <w:sz w:val="18"/>
          <w:szCs w:val="18"/>
        </w:rPr>
        <w:t>协议书</w:t>
      </w:r>
      <w:r>
        <w:rPr>
          <w:rFonts w:hint="eastAsia" w:ascii="宋体" w:hAnsi="宋体" w:eastAsia="宋体" w:cs="Times New Roman"/>
          <w:sz w:val="18"/>
          <w:szCs w:val="18"/>
        </w:rPr>
        <w:t>》</w:t>
      </w:r>
      <w:r>
        <w:rPr>
          <w:rFonts w:ascii="宋体" w:hAnsi="宋体" w:eastAsia="宋体" w:cs="Times New Roman"/>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二、投资者风险承受能力与产品风险评级</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（一）投资者风险承受能力评估说明</w:t>
      </w:r>
    </w:p>
    <w:p>
      <w:pPr>
        <w:spacing w:line="280" w:lineRule="atLeast"/>
        <w:ind w:firstLine="360" w:firstLineChars="200"/>
        <w:rPr>
          <w:rFonts w:ascii="黑体" w:hAnsi="黑体" w:eastAsia="黑体" w:cs="Times New Roman"/>
          <w:sz w:val="18"/>
          <w:szCs w:val="18"/>
        </w:rPr>
      </w:pPr>
      <w:r>
        <w:rPr>
          <w:rFonts w:hint="eastAsia" w:ascii="宋体" w:hAnsi="宋体" w:eastAsia="宋体" w:cs="Times New Roman"/>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eastAsia="宋体" w:cs="Times New Roman"/>
          <w:sz w:val="18"/>
          <w:szCs w:val="18"/>
        </w:rPr>
        <w:t>线下渠道</w:t>
      </w:r>
      <w:r>
        <w:rPr>
          <w:rFonts w:hint="eastAsia" w:ascii="宋体" w:hAnsi="宋体" w:eastAsia="宋体" w:cs="Times New Roman"/>
          <w:sz w:val="18"/>
          <w:szCs w:val="18"/>
        </w:rPr>
        <w:t>或</w:t>
      </w:r>
      <w:r>
        <w:rPr>
          <w:rFonts w:ascii="宋体" w:hAnsi="宋体" w:eastAsia="宋体" w:cs="Times New Roman"/>
          <w:sz w:val="18"/>
          <w:szCs w:val="18"/>
        </w:rPr>
        <w:t>线上渠道</w:t>
      </w:r>
      <w:r>
        <w:rPr>
          <w:rFonts w:hint="eastAsia" w:ascii="宋体" w:hAnsi="宋体" w:eastAsia="宋体" w:cs="Times New Roman"/>
          <w:sz w:val="18"/>
          <w:szCs w:val="18"/>
        </w:rPr>
        <w:t>进行风险承受能力持续评估。</w:t>
      </w:r>
      <w:r>
        <w:rPr>
          <w:rFonts w:hint="eastAsia" w:ascii="黑体" w:hAnsi="黑体" w:eastAsia="黑体" w:cs="Times New Roman"/>
          <w:sz w:val="18"/>
          <w:szCs w:val="18"/>
        </w:rPr>
        <w:t>如影响您风险承受能力的因素发生变化，请您及时重新完成风险承受能力评估。</w:t>
      </w:r>
    </w:p>
    <w:p>
      <w:pPr>
        <w:ind w:firstLine="361" w:firstLineChars="200"/>
        <w:rPr>
          <w:rFonts w:ascii="宋体" w:hAnsi="宋体" w:eastAsia="宋体" w:cs="Times New Roman"/>
          <w:b/>
          <w:sz w:val="18"/>
          <w:szCs w:val="18"/>
        </w:rPr>
      </w:pPr>
      <w:r>
        <w:rPr>
          <w:rFonts w:ascii="宋体" w:hAnsi="宋体" w:eastAsia="宋体" w:cs="Times New Roman"/>
          <w:b/>
          <w:sz w:val="18"/>
          <w:szCs w:val="18"/>
        </w:rPr>
        <w:t>2</w:t>
      </w:r>
      <w:r>
        <w:rPr>
          <w:rFonts w:hint="eastAsia" w:ascii="宋体" w:hAnsi="宋体" w:eastAsia="宋体" w:cs="Times New Roman"/>
          <w:b/>
          <w:sz w:val="18"/>
          <w:szCs w:val="18"/>
        </w:rPr>
        <w:t>.投资者风险承受能力评级与理财产品风险评级</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销售机构</w:t>
      </w:r>
      <w:r>
        <w:rPr>
          <w:rFonts w:ascii="宋体" w:hAnsi="宋体" w:eastAsia="宋体" w:cs="Times New Roman"/>
          <w:sz w:val="18"/>
          <w:szCs w:val="18"/>
        </w:rPr>
        <w:t>根据</w:t>
      </w:r>
      <w:r>
        <w:rPr>
          <w:rFonts w:hint="eastAsia" w:ascii="宋体" w:hAnsi="宋体" w:eastAsia="宋体" w:cs="Times New Roman"/>
          <w:sz w:val="18"/>
          <w:szCs w:val="18"/>
        </w:rPr>
        <w:t>投资者风险承受能力，机构投资者由低至高分为【</w:t>
      </w:r>
      <w:r>
        <w:rPr>
          <w:rFonts w:hint="eastAsia" w:cs="Times New Roman" w:asciiTheme="majorEastAsia" w:hAnsiTheme="majorEastAsia" w:eastAsiaTheme="majorEastAsia"/>
          <w:bCs/>
          <w:sz w:val="18"/>
          <w:szCs w:val="18"/>
        </w:rPr>
        <w:t>□ C1、□C2、□ C3、□ C4、□ C5</w:t>
      </w:r>
      <w:r>
        <w:rPr>
          <w:rFonts w:hint="eastAsia" w:ascii="宋体" w:hAnsi="宋体" w:eastAsia="宋体" w:cs="Times New Roman"/>
          <w:sz w:val="18"/>
          <w:szCs w:val="18"/>
        </w:rPr>
        <w:t>】</w:t>
      </w:r>
      <w:r>
        <w:rPr>
          <w:rFonts w:ascii="宋体" w:hAnsi="宋体" w:eastAsia="宋体" w:cs="Times New Roman"/>
          <w:sz w:val="18"/>
          <w:szCs w:val="18"/>
        </w:rPr>
        <w:t>。其中，</w:t>
      </w:r>
      <w:r>
        <w:rPr>
          <w:rFonts w:hint="eastAsia" w:ascii="宋体" w:hAnsi="宋体" w:eastAsia="宋体" w:cs="Times New Roman"/>
          <w:sz w:val="18"/>
          <w:szCs w:val="18"/>
        </w:rPr>
        <w:t>【</w:t>
      </w:r>
      <w:r>
        <w:rPr>
          <w:rFonts w:hint="eastAsia" w:ascii="宋体" w:hAnsi="宋体" w:eastAsia="宋体" w:cs="Times New Roman"/>
          <w:sz w:val="18"/>
          <w:szCs w:val="18"/>
          <w:lang w:val="en-US" w:eastAsia="zh-CN"/>
        </w:rPr>
        <w:t>C1</w:t>
      </w:r>
      <w:r>
        <w:rPr>
          <w:rFonts w:hint="eastAsia" w:ascii="宋体" w:hAnsi="宋体" w:eastAsia="宋体" w:cs="Times New Roman"/>
          <w:sz w:val="18"/>
          <w:szCs w:val="18"/>
        </w:rPr>
        <w:t>】</w:t>
      </w:r>
      <w:r>
        <w:rPr>
          <w:rFonts w:ascii="宋体" w:hAnsi="宋体" w:eastAsia="宋体" w:cs="Times New Roman"/>
          <w:sz w:val="18"/>
          <w:szCs w:val="18"/>
        </w:rPr>
        <w:t>为风险承受能力最低类别，</w:t>
      </w:r>
      <w:r>
        <w:rPr>
          <w:rFonts w:hint="eastAsia" w:ascii="宋体" w:hAnsi="宋体" w:eastAsia="宋体" w:cs="Times New Roman"/>
          <w:sz w:val="18"/>
          <w:szCs w:val="18"/>
        </w:rPr>
        <w:t>【</w:t>
      </w:r>
      <w:r>
        <w:rPr>
          <w:rFonts w:hint="eastAsia" w:ascii="宋体" w:hAnsi="宋体" w:eastAsia="宋体" w:cs="Times New Roman"/>
          <w:sz w:val="18"/>
          <w:szCs w:val="18"/>
          <w:lang w:val="en-US" w:eastAsia="zh-CN"/>
        </w:rPr>
        <w:t>C5</w:t>
      </w:r>
      <w:r>
        <w:rPr>
          <w:rFonts w:hint="eastAsia" w:ascii="宋体" w:hAnsi="宋体" w:eastAsia="宋体" w:cs="Times New Roman"/>
          <w:sz w:val="18"/>
          <w:szCs w:val="18"/>
        </w:rPr>
        <w:t>】</w:t>
      </w:r>
      <w:r>
        <w:rPr>
          <w:rFonts w:ascii="宋体" w:hAnsi="宋体" w:eastAsia="宋体" w:cs="Times New Roman"/>
          <w:sz w:val="18"/>
          <w:szCs w:val="18"/>
        </w:rPr>
        <w:t>为风险承受能力最高类别。</w:t>
      </w:r>
      <w:r>
        <w:rPr>
          <w:rFonts w:hint="eastAsia" w:ascii="宋体" w:hAnsi="宋体" w:eastAsia="宋体" w:cs="Times New Roman"/>
          <w:sz w:val="18"/>
          <w:szCs w:val="18"/>
        </w:rPr>
        <w:t>投资者根据其风险承受能力评级购买对应的理财产品。</w:t>
      </w:r>
      <w:r>
        <w:rPr>
          <w:rFonts w:ascii="宋体" w:hAnsi="宋体" w:eastAsia="宋体" w:cs="Times New Roman"/>
          <w:sz w:val="18"/>
          <w:szCs w:val="18"/>
        </w:rPr>
        <w:t>投资者风险承受能力评级类型与适合购买的理财产品的对应关系为：</w:t>
      </w:r>
    </w:p>
    <w:tbl>
      <w:tblPr>
        <w:tblStyle w:val="8"/>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 xml:space="preserve">是指产品总体风险很低，投资本金遭受损失的可能性极低，收益波动很小；在本金未遭受损失的前提下，实现投资预期的可能性很高。 </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保守型（C1）</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是指产品总体风险程度较低，投资本金遭受损失的可能性低，收益波动较小；在本金未遭受损失的前提下，实现投资预期的可能性较高；产品结构与估值方法简单清晰。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谨慎型（C2）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是指产品总体风险中等，投资本金出现损失的可能性不容忽视，收益随投资的市场表现波动明显或者具有较大不确定性；产品结构与估值方法相对简单清晰。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稳健型（C3）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是指产品总体风险较高，投资本金出现损失的可能性较高，收益随投资的市场表现波动明显且幅度较大；产品结构存在一定复杂性，估值方法较清晰。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积极型（C4）</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是指产品总体风险程度高，投资本金出现重大损失的可能性高，收益随投资的市场表现波动剧烈明显且幅度大；产品结构复杂或非常复杂，估值方法复杂或非常复杂。投资者须谨慎选择、并积极关注风险。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eastAsia="宋体" w:cs="Times New Roman"/>
                <w:sz w:val="18"/>
                <w:szCs w:val="18"/>
              </w:rPr>
            </w:pPr>
            <w:r>
              <w:rPr>
                <w:rFonts w:hint="eastAsia" w:ascii="宋体" w:hAnsi="宋体" w:eastAsia="宋体" w:cs="Times New Roman"/>
                <w:color w:val="000000" w:themeColor="text1"/>
                <w:sz w:val="18"/>
                <w:szCs w:val="18"/>
                <w14:textFill>
                  <w14:solidFill>
                    <w14:schemeClr w14:val="tx1"/>
                  </w14:solidFill>
                </w14:textFill>
              </w:rPr>
              <w:t>进取型（C5）</w:t>
            </w:r>
          </w:p>
        </w:tc>
      </w:tr>
    </w:tbl>
    <w:p>
      <w:pPr>
        <w:ind w:firstLine="360" w:firstLineChars="200"/>
        <w:rPr>
          <w:rFonts w:ascii="黑体" w:hAnsi="黑体" w:eastAsia="黑体" w:cs="Times New Roman"/>
          <w:sz w:val="18"/>
          <w:szCs w:val="18"/>
        </w:rPr>
      </w:pPr>
      <w:r>
        <w:rPr>
          <w:rFonts w:hint="eastAsia" w:ascii="黑体" w:hAnsi="黑体" w:eastAsia="黑体" w:cs="仿宋_GB2312"/>
          <w:bCs/>
          <w:kern w:val="0"/>
          <w:sz w:val="18"/>
          <w:szCs w:val="18"/>
        </w:rPr>
        <w:t>★</w:t>
      </w:r>
      <w:r>
        <w:rPr>
          <w:rFonts w:hint="eastAsia" w:ascii="黑体" w:hAnsi="黑体" w:eastAsia="黑体" w:cs="Times New Roman"/>
          <w:sz w:val="18"/>
          <w:szCs w:val="18"/>
        </w:rPr>
        <w:t>（二）针对“理财产品风险评级”、 “投资者风险承受能力”、“适合投资者类型”的不同划分与表述的特别提示</w:t>
      </w:r>
    </w:p>
    <w:p>
      <w:pPr>
        <w:ind w:firstLine="360" w:firstLineChars="200"/>
        <w:rPr>
          <w:rFonts w:ascii="黑体" w:hAnsi="黑体" w:eastAsia="黑体" w:cs="Times New Roman"/>
          <w:sz w:val="18"/>
          <w:szCs w:val="18"/>
        </w:rPr>
      </w:pPr>
      <w:r>
        <w:rPr>
          <w:rFonts w:hint="eastAsia" w:ascii="黑体" w:hAnsi="黑体" w:eastAsia="黑体" w:cs="Times New Roman"/>
          <w:sz w:val="18"/>
          <w:szCs w:val="18"/>
        </w:rPr>
        <w:t>1</w:t>
      </w:r>
      <w:r>
        <w:rPr>
          <w:rFonts w:ascii="黑体" w:hAnsi="黑体" w:eastAsia="黑体" w:cs="Times New Roman"/>
          <w:sz w:val="18"/>
          <w:szCs w:val="18"/>
        </w:rPr>
        <w:t>.</w:t>
      </w:r>
      <w:r>
        <w:rPr>
          <w:rFonts w:hint="eastAsia" w:ascii="黑体" w:hAnsi="黑体" w:eastAsia="黑体" w:cs="Times New Roman"/>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cs="Times New Roman"/>
          <w:sz w:val="18"/>
          <w:szCs w:val="18"/>
        </w:rPr>
      </w:pPr>
      <w:r>
        <w:rPr>
          <w:rFonts w:ascii="黑体" w:hAnsi="黑体" w:eastAsia="黑体" w:cs="Times New Roman"/>
          <w:sz w:val="18"/>
          <w:szCs w:val="18"/>
        </w:rPr>
        <w:t>2.</w:t>
      </w:r>
      <w:r>
        <w:rPr>
          <w:rFonts w:hint="eastAsia" w:ascii="黑体" w:hAnsi="黑体" w:eastAsia="黑体" w:cs="Times New Roman"/>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三、关于理财产品的信息披露</w:t>
      </w:r>
    </w:p>
    <w:p>
      <w:pPr>
        <w:ind w:firstLine="360" w:firstLineChars="200"/>
        <w:rPr>
          <w:rFonts w:eastAsia="宋体" w:cs="Times New Roman" w:asciiTheme="minorEastAsia" w:hAnsiTheme="minorEastAsia"/>
          <w:sz w:val="18"/>
          <w:szCs w:val="18"/>
        </w:rPr>
      </w:pPr>
      <w:r>
        <w:rPr>
          <w:rFonts w:hint="eastAsia" w:ascii="宋体" w:hAnsi="宋体" w:eastAsia="宋体" w:cs="Times New Roman"/>
          <w:bCs/>
          <w:sz w:val="18"/>
          <w:szCs w:val="18"/>
        </w:rPr>
        <w:t>理财产品的信息披露将通过产品管理人或销售机构的门户网站、电子销售渠道或营业网点等进行。</w:t>
      </w:r>
      <w:r>
        <w:rPr>
          <w:rFonts w:eastAsia="宋体" w:cs="Times New Roman" w:asciiTheme="minorEastAsia" w:hAnsiTheme="minorEastAsia"/>
          <w:sz w:val="18"/>
          <w:szCs w:val="18"/>
        </w:rPr>
        <w:t>具体</w:t>
      </w:r>
      <w:r>
        <w:rPr>
          <w:rFonts w:hint="eastAsia" w:eastAsia="宋体" w:cs="Times New Roman" w:asciiTheme="minorEastAsia" w:hAnsiTheme="minorEastAsia"/>
          <w:sz w:val="18"/>
          <w:szCs w:val="18"/>
        </w:rPr>
        <w:t>信息披露的方式、渠道和频率等</w:t>
      </w:r>
      <w:r>
        <w:rPr>
          <w:rFonts w:eastAsia="宋体" w:cs="Times New Roman" w:asciiTheme="minorEastAsia" w:hAnsiTheme="minorEastAsia"/>
          <w:sz w:val="18"/>
          <w:szCs w:val="18"/>
        </w:rPr>
        <w:t>以《产品说明书》中“信息披露</w:t>
      </w:r>
      <w:r>
        <w:rPr>
          <w:rFonts w:hint="eastAsia" w:eastAsia="宋体" w:cs="Times New Roman" w:asciiTheme="minorEastAsia" w:hAnsiTheme="minorEastAsia"/>
          <w:sz w:val="18"/>
          <w:szCs w:val="18"/>
        </w:rPr>
        <w:t>”约定为准。</w:t>
      </w:r>
    </w:p>
    <w:p>
      <w:pPr>
        <w:spacing w:line="280" w:lineRule="atLeast"/>
        <w:ind w:firstLine="361" w:firstLineChars="200"/>
        <w:rPr>
          <w:rFonts w:eastAsia="宋体" w:cs="Times New Roman" w:asciiTheme="minorEastAsia" w:hAnsiTheme="minorEastAsia"/>
          <w:sz w:val="18"/>
          <w:szCs w:val="18"/>
        </w:rPr>
      </w:pPr>
      <w:r>
        <w:rPr>
          <w:rFonts w:hint="eastAsia" w:ascii="宋体" w:hAnsi="宋体" w:eastAsia="宋体" w:cs="Times New Roman"/>
          <w:b/>
          <w:sz w:val="18"/>
          <w:szCs w:val="18"/>
        </w:rPr>
        <w:t>四、关于投诉与建议</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hint="eastAsia" w:eastAsia="宋体" w:cs="Times New Roman" w:asciiTheme="minorEastAsia" w:hAnsiTheme="minorEastAsia"/>
          <w:sz w:val="18"/>
          <w:szCs w:val="18"/>
        </w:rPr>
        <w:t>您对本产品有任何意见或异议，可向产品管理人或</w:t>
      </w:r>
      <w:r>
        <w:rPr>
          <w:rFonts w:hint="eastAsia" w:ascii="宋体" w:hAnsi="宋体" w:eastAsia="宋体" w:cs="Times New Roman"/>
          <w:sz w:val="18"/>
          <w:szCs w:val="18"/>
        </w:rPr>
        <w:t>销售机构</w:t>
      </w:r>
      <w:r>
        <w:rPr>
          <w:rFonts w:hint="eastAsia" w:eastAsia="宋体" w:cs="Times New Roman" w:asciiTheme="minorEastAsia" w:hAnsiTheme="minorEastAsia"/>
          <w:sz w:val="18"/>
          <w:szCs w:val="18"/>
        </w:rPr>
        <w:t>反馈</w:t>
      </w:r>
      <w:r>
        <w:rPr>
          <w:rFonts w:hint="eastAsia" w:ascii="宋体" w:hAnsi="宋体" w:eastAsia="宋体" w:cs="Times New Roman"/>
          <w:sz w:val="18"/>
          <w:szCs w:val="18"/>
        </w:rPr>
        <w:t>，产品管理人或销售机构将由专人接听、记录您的意见或建议，并由各方协商共同解决。</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（二）联络方式：</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1.产品管理人：兴银理财有限责任公司</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客户服务热线：40015-95561。</w:t>
      </w:r>
    </w:p>
    <w:p>
      <w:pPr>
        <w:spacing w:line="280" w:lineRule="atLeast"/>
        <w:ind w:firstLine="360" w:firstLineChars="200"/>
        <w:outlineLvl w:val="2"/>
        <w:rPr>
          <w:rFonts w:ascii="宋体" w:hAnsi="宋体" w:eastAsia="宋体" w:cs="Times New Roman"/>
          <w:sz w:val="18"/>
          <w:szCs w:val="18"/>
        </w:rPr>
      </w:pPr>
      <w:r>
        <w:rPr>
          <w:rFonts w:hint="eastAsia" w:ascii="宋体" w:hAnsi="宋体" w:eastAsia="宋体" w:cs="Times New Roman"/>
          <w:sz w:val="18"/>
          <w:szCs w:val="18"/>
        </w:rPr>
        <w:t>2.</w:t>
      </w:r>
      <w:r>
        <w:rPr>
          <w:rFonts w:ascii="宋体" w:hAnsi="宋体" w:eastAsia="宋体" w:cs="Times New Roman"/>
          <w:sz w:val="18"/>
          <w:szCs w:val="18"/>
        </w:rPr>
        <w:t>销售机构</w:t>
      </w:r>
      <w:r>
        <w:rPr>
          <w:rFonts w:hint="eastAsia" w:ascii="宋体" w:hAnsi="宋体" w:eastAsia="宋体" w:cs="Times New Roman"/>
          <w:sz w:val="18"/>
          <w:szCs w:val="18"/>
        </w:rPr>
        <w:t>：兴业银行股份有限公司</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兴业银行理财经理或兴业银行各营业网点。</w:t>
      </w:r>
    </w:p>
    <w:p>
      <w:pPr>
        <w:spacing w:line="280" w:lineRule="atLeast"/>
        <w:ind w:firstLine="360" w:firstLineChars="200"/>
        <w:rPr>
          <w:rFonts w:ascii="宋体" w:hAnsi="宋体" w:eastAsia="宋体" w:cs="Times New Roman"/>
          <w:sz w:val="18"/>
          <w:szCs w:val="18"/>
        </w:rPr>
      </w:pPr>
      <w:r>
        <w:rPr>
          <w:rFonts w:ascii="宋体" w:hAnsi="宋体" w:eastAsia="宋体" w:cs="Times New Roman"/>
          <w:sz w:val="18"/>
          <w:szCs w:val="18"/>
        </w:rPr>
        <w:t>兴业银行</w:t>
      </w:r>
      <w:r>
        <w:rPr>
          <w:rFonts w:hint="eastAsia" w:ascii="宋体" w:hAnsi="宋体" w:eastAsia="宋体" w:cs="Times New Roman"/>
          <w:sz w:val="18"/>
          <w:szCs w:val="18"/>
        </w:rPr>
        <w:t>客户投诉电话：【</w:t>
      </w:r>
      <w:r>
        <w:rPr>
          <w:rFonts w:eastAsia="宋体" w:cs="Times New Roman" w:asciiTheme="minorEastAsia" w:hAnsiTheme="minorEastAsia"/>
          <w:sz w:val="18"/>
          <w:szCs w:val="18"/>
        </w:rPr>
        <w:t>95561</w:t>
      </w:r>
      <w:r>
        <w:rPr>
          <w:rFonts w:hint="eastAsia" w:ascii="宋体" w:hAnsi="宋体" w:eastAsia="宋体" w:cs="Times New Roman"/>
          <w:sz w:val="18"/>
          <w:szCs w:val="18"/>
        </w:rPr>
        <w:t>】。</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兴业银行总行消费者投诉受理邮箱：【9</w:t>
      </w:r>
      <w:r>
        <w:rPr>
          <w:rFonts w:ascii="宋体" w:hAnsi="宋体" w:eastAsia="宋体" w:cs="Times New Roman"/>
          <w:sz w:val="18"/>
          <w:szCs w:val="18"/>
        </w:rPr>
        <w:t>5561</w:t>
      </w:r>
      <w:r>
        <w:rPr>
          <w:rFonts w:hint="eastAsia" w:ascii="宋体" w:hAnsi="宋体" w:eastAsia="宋体" w:cs="Times New Roman"/>
          <w:sz w:val="18"/>
          <w:szCs w:val="18"/>
        </w:rPr>
        <w:t>@</w:t>
      </w:r>
      <w:r>
        <w:rPr>
          <w:rFonts w:eastAsia="宋体" w:cs="Times New Roman" w:asciiTheme="minorEastAsia" w:hAnsiTheme="minorEastAsia"/>
          <w:sz w:val="18"/>
          <w:szCs w:val="18"/>
        </w:rPr>
        <w:t>cib.com.cn</w:t>
      </w:r>
      <w:r>
        <w:rPr>
          <w:rFonts w:hint="eastAsia" w:ascii="宋体" w:hAnsi="宋体" w:eastAsia="宋体" w:cs="Times New Roman"/>
          <w:sz w:val="18"/>
          <w:szCs w:val="18"/>
        </w:rPr>
        <w:t>】。</w:t>
      </w: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40" w:lineRule="auto"/>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center"/>
        <w:rPr>
          <w:rStyle w:val="11"/>
          <w:rFonts w:hint="eastAsia" w:ascii="黑体" w:hAnsi="黑体" w:eastAsia="黑体" w:cs="Times New Roman"/>
          <w:sz w:val="28"/>
          <w:szCs w:val="28"/>
        </w:rPr>
      </w:pPr>
    </w:p>
    <w:p>
      <w:pPr>
        <w:adjustRightInd w:val="0"/>
        <w:spacing w:line="280" w:lineRule="atLeast"/>
        <w:jc w:val="both"/>
        <w:rPr>
          <w:rStyle w:val="11"/>
          <w:rFonts w:hint="eastAsia" w:ascii="黑体" w:hAnsi="黑体" w:eastAsia="黑体" w:cs="Times New Roman"/>
          <w:sz w:val="28"/>
          <w:szCs w:val="28"/>
        </w:rPr>
      </w:pPr>
    </w:p>
    <w:p>
      <w:pPr>
        <w:adjustRightInd w:val="0"/>
        <w:spacing w:line="280" w:lineRule="atLeast"/>
        <w:jc w:val="center"/>
        <w:rPr>
          <w:rStyle w:val="11"/>
          <w:rFonts w:ascii="黑体" w:hAnsi="黑体" w:eastAsia="黑体" w:cs="Times New Roman"/>
          <w:sz w:val="28"/>
          <w:szCs w:val="28"/>
        </w:rPr>
      </w:pPr>
      <w:r>
        <w:rPr>
          <w:rStyle w:val="11"/>
          <w:rFonts w:hint="eastAsia" w:ascii="黑体" w:hAnsi="黑体" w:eastAsia="黑体" w:cstheme="minorBidi"/>
          <w:sz w:val="28"/>
          <w:szCs w:val="28"/>
        </w:rPr>
        <w:t>兴银理财【添利】理财产品</w:t>
      </w:r>
    </w:p>
    <w:p>
      <w:pPr>
        <w:adjustRightInd w:val="0"/>
        <w:spacing w:line="280" w:lineRule="atLeast"/>
        <w:jc w:val="center"/>
        <w:rPr>
          <w:rStyle w:val="11"/>
          <w:rFonts w:ascii="黑体" w:hAnsi="黑体" w:eastAsia="黑体" w:cs="Times New Roman"/>
          <w:sz w:val="28"/>
          <w:szCs w:val="28"/>
        </w:rPr>
      </w:pPr>
      <w:r>
        <w:rPr>
          <w:rStyle w:val="11"/>
          <w:rFonts w:hint="eastAsia" w:ascii="黑体" w:hAnsi="黑体" w:eastAsia="黑体" w:cstheme="minorBidi"/>
          <w:sz w:val="28"/>
          <w:szCs w:val="28"/>
        </w:rPr>
        <w:t>投资者权益须知</w:t>
      </w:r>
    </w:p>
    <w:p>
      <w:pPr>
        <w:widowControl w:val="0"/>
        <w:autoSpaceDE w:val="0"/>
        <w:autoSpaceDN w:val="0"/>
        <w:adjustRightInd w:val="0"/>
        <w:spacing w:line="280" w:lineRule="atLeast"/>
        <w:jc w:val="center"/>
        <w:rPr>
          <w:rFonts w:ascii="宋体" w:hAnsi="宋体" w:eastAsia="宋体" w:cs="Times New Roman"/>
          <w:b/>
          <w:color w:val="auto"/>
          <w:sz w:val="28"/>
          <w:szCs w:val="28"/>
          <w:lang w:val="en-US" w:eastAsia="zh-CN" w:bidi="ar-SA"/>
        </w:rPr>
      </w:pPr>
      <w:r>
        <w:rPr>
          <w:rFonts w:hint="eastAsia" w:ascii="宋体" w:hAnsi="宋体" w:eastAsia="宋体" w:cs="Times New Roman"/>
          <w:b/>
          <w:color w:val="auto"/>
          <w:sz w:val="28"/>
          <w:szCs w:val="28"/>
          <w:lang w:val="en-US" w:eastAsia="zh-CN" w:bidi="ar-SA"/>
        </w:rPr>
        <w:t>（适用于金融</w:t>
      </w:r>
      <w:r>
        <w:rPr>
          <w:rFonts w:ascii="宋体" w:hAnsi="宋体" w:eastAsia="宋体" w:cs="Times New Roman"/>
          <w:b/>
          <w:color w:val="auto"/>
          <w:sz w:val="28"/>
          <w:szCs w:val="28"/>
          <w:lang w:val="en-US" w:eastAsia="zh-CN" w:bidi="ar-SA"/>
        </w:rPr>
        <w:t>同业客户</w:t>
      </w:r>
      <w:r>
        <w:rPr>
          <w:rFonts w:hint="eastAsia" w:ascii="宋体" w:hAnsi="宋体" w:eastAsia="宋体" w:cs="Times New Roman"/>
          <w:b/>
          <w:color w:val="auto"/>
          <w:sz w:val="28"/>
          <w:szCs w:val="28"/>
          <w:lang w:val="en-US" w:eastAsia="zh-CN" w:bidi="ar-SA"/>
        </w:rPr>
        <w:t>）</w:t>
      </w:r>
    </w:p>
    <w:p>
      <w:pPr>
        <w:spacing w:line="280" w:lineRule="atLeast"/>
        <w:rPr>
          <w:rFonts w:ascii="宋体" w:hAnsi="宋体" w:eastAsia="宋体" w:cs="Times New Roman"/>
          <w:b/>
          <w:sz w:val="18"/>
          <w:szCs w:val="18"/>
        </w:rPr>
      </w:pPr>
      <w:r>
        <w:rPr>
          <w:rFonts w:hint="eastAsia" w:ascii="宋体" w:hAnsi="宋体" w:eastAsia="宋体" w:cs="Times New Roman"/>
          <w:b/>
          <w:sz w:val="18"/>
          <w:szCs w:val="18"/>
        </w:rPr>
        <w:t>尊敬的投资者：</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感谢您通过销售机构【】以(□ 直销：产品管理人销售/</w:t>
      </w:r>
      <w:r>
        <w:rPr>
          <w:rFonts w:hint="eastAsia" w:cs="Times New Roman" w:asciiTheme="majorEastAsia" w:hAnsiTheme="majorEastAsia" w:eastAsiaTheme="majorEastAsia"/>
          <w:bCs/>
          <w:sz w:val="18"/>
          <w:szCs w:val="18"/>
        </w:rPr>
        <w:t>■</w:t>
      </w:r>
      <w:r>
        <w:rPr>
          <w:rFonts w:hint="eastAsia" w:cs="Times New Roman" w:asciiTheme="majorEastAsia" w:hAnsiTheme="majorEastAsia" w:eastAsiaTheme="majorEastAsia"/>
          <w:bCs/>
          <w:sz w:val="18"/>
          <w:szCs w:val="18"/>
          <w:lang w:val="en-US" w:eastAsia="zh-CN"/>
        </w:rPr>
        <w:t xml:space="preserve"> </w:t>
      </w:r>
      <w:r>
        <w:rPr>
          <w:rFonts w:hint="eastAsia" w:ascii="宋体" w:hAnsi="宋体" w:eastAsia="宋体" w:cs="Times New Roman"/>
          <w:sz w:val="18"/>
          <w:szCs w:val="18"/>
        </w:rPr>
        <w:t>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eastAsia="宋体" w:cs="Times New Roman"/>
          <w:sz w:val="18"/>
          <w:szCs w:val="18"/>
        </w:rPr>
      </w:pPr>
      <w:r>
        <w:rPr>
          <w:rFonts w:hint="eastAsia" w:ascii="宋体" w:hAnsi="宋体" w:eastAsia="宋体" w:cs="Times New Roman"/>
          <w:sz w:val="18"/>
          <w:szCs w:val="18"/>
        </w:rPr>
        <w:t>请仔细阅读本《投资者权益须知》，行使您在本业务项下的权益。</w:t>
      </w:r>
      <w:r>
        <w:rPr>
          <w:rFonts w:ascii="宋体" w:hAnsi="宋体" w:eastAsia="宋体" w:cs="Times New Roman"/>
          <w:sz w:val="18"/>
          <w:szCs w:val="18"/>
        </w:rPr>
        <w:t xml:space="preserve"> </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一、理财产品购买流程</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ascii="宋体" w:hAnsi="宋体" w:eastAsia="宋体" w:cs="Times New Roman"/>
          <w:sz w:val="18"/>
          <w:szCs w:val="18"/>
        </w:rPr>
        <w:t>开立或持有</w:t>
      </w:r>
      <w:r>
        <w:rPr>
          <w:rFonts w:hint="eastAsia" w:ascii="宋体" w:hAnsi="宋体" w:eastAsia="宋体" w:cs="Times New Roman"/>
          <w:sz w:val="18"/>
          <w:szCs w:val="18"/>
        </w:rPr>
        <w:t>销售机构</w:t>
      </w:r>
      <w:r>
        <w:rPr>
          <w:rFonts w:ascii="宋体" w:hAnsi="宋体" w:eastAsia="宋体" w:cs="Times New Roman"/>
          <w:sz w:val="18"/>
          <w:szCs w:val="18"/>
        </w:rPr>
        <w:t>账户，该账户用于本产品的理财资金划转及</w:t>
      </w:r>
      <w:r>
        <w:rPr>
          <w:rFonts w:hint="eastAsia" w:ascii="宋体" w:hAnsi="宋体" w:eastAsia="宋体" w:cs="Times New Roman"/>
          <w:sz w:val="18"/>
          <w:szCs w:val="18"/>
        </w:rPr>
        <w:t>分配</w:t>
      </w:r>
      <w:r>
        <w:rPr>
          <w:rFonts w:ascii="宋体" w:hAnsi="宋体" w:eastAsia="宋体" w:cs="Times New Roman"/>
          <w:sz w:val="18"/>
          <w:szCs w:val="18"/>
        </w:rPr>
        <w:t>，您应确保持有本产品期间所指定账户不做销户。</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（二）</w:t>
      </w:r>
      <w:r>
        <w:rPr>
          <w:rFonts w:ascii="宋体" w:hAnsi="宋体" w:eastAsia="宋体" w:cs="Times New Roman"/>
          <w:sz w:val="18"/>
          <w:szCs w:val="18"/>
        </w:rPr>
        <w:t>接受并完成</w:t>
      </w:r>
      <w:r>
        <w:rPr>
          <w:rFonts w:hint="eastAsia" w:ascii="宋体" w:hAnsi="宋体" w:eastAsia="宋体" w:cs="Times New Roman"/>
          <w:sz w:val="18"/>
          <w:szCs w:val="18"/>
        </w:rPr>
        <w:t>销售机构</w:t>
      </w:r>
      <w:r>
        <w:rPr>
          <w:rFonts w:ascii="宋体" w:hAnsi="宋体" w:eastAsia="宋体" w:cs="Times New Roman"/>
          <w:sz w:val="18"/>
          <w:szCs w:val="18"/>
        </w:rPr>
        <w:t>对您的风险承受能力评估，并根据风险评估结果选择适合的产品。</w:t>
      </w:r>
      <w:r>
        <w:rPr>
          <w:rFonts w:hint="eastAsia" w:ascii="宋体" w:hAnsi="宋体" w:eastAsia="宋体" w:cs="Times New Roman"/>
          <w:sz w:val="18"/>
          <w:szCs w:val="18"/>
        </w:rPr>
        <w:t>若销售机构对您风险承受能力评估事宜另有安排的，以销售机构政策为准。</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（三）</w:t>
      </w:r>
      <w:r>
        <w:rPr>
          <w:rFonts w:ascii="宋体" w:hAnsi="宋体" w:eastAsia="宋体" w:cs="Times New Roman"/>
          <w:sz w:val="18"/>
          <w:szCs w:val="18"/>
        </w:rPr>
        <w:t>请仔细阅读《</w:t>
      </w:r>
      <w:r>
        <w:rPr>
          <w:rFonts w:hint="eastAsia" w:ascii="宋体" w:hAnsi="宋体" w:eastAsia="宋体" w:cs="Times New Roman"/>
          <w:sz w:val="18"/>
          <w:szCs w:val="18"/>
        </w:rPr>
        <w:t>投资</w:t>
      </w:r>
      <w:r>
        <w:rPr>
          <w:rFonts w:ascii="宋体" w:hAnsi="宋体" w:eastAsia="宋体" w:cs="Times New Roman"/>
          <w:sz w:val="18"/>
          <w:szCs w:val="18"/>
        </w:rPr>
        <w:t>协议书》《产品说明书》</w:t>
      </w:r>
      <w:r>
        <w:rPr>
          <w:rFonts w:hint="eastAsia" w:ascii="宋体" w:hAnsi="宋体" w:eastAsia="宋体" w:cs="Times New Roman"/>
          <w:sz w:val="18"/>
          <w:szCs w:val="18"/>
        </w:rPr>
        <w:t>《（代理）销售</w:t>
      </w:r>
      <w:r>
        <w:rPr>
          <w:rFonts w:ascii="宋体" w:hAnsi="宋体" w:eastAsia="宋体" w:cs="Times New Roman"/>
          <w:sz w:val="18"/>
          <w:szCs w:val="18"/>
        </w:rPr>
        <w:t>协议书</w:t>
      </w:r>
      <w:r>
        <w:rPr>
          <w:rFonts w:hint="eastAsia" w:ascii="宋体" w:hAnsi="宋体" w:eastAsia="宋体" w:cs="Times New Roman"/>
          <w:sz w:val="18"/>
          <w:szCs w:val="18"/>
        </w:rPr>
        <w:t>》</w:t>
      </w:r>
      <w:r>
        <w:rPr>
          <w:rFonts w:ascii="宋体" w:hAnsi="宋体" w:eastAsia="宋体" w:cs="Times New Roman"/>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二、投资者风险承受能力与产品风险评级</w:t>
      </w:r>
    </w:p>
    <w:p>
      <w:pPr>
        <w:spacing w:line="280" w:lineRule="atLeast"/>
        <w:ind w:firstLine="360" w:firstLineChars="200"/>
        <w:rPr>
          <w:rFonts w:ascii="黑体" w:hAnsi="黑体" w:eastAsia="黑体" w:cs="Times New Roman"/>
          <w:sz w:val="18"/>
          <w:szCs w:val="18"/>
        </w:rPr>
      </w:pPr>
      <w:r>
        <w:rPr>
          <w:rFonts w:hint="eastAsia" w:ascii="宋体" w:hAnsi="宋体" w:eastAsia="宋体" w:cs="Times New Roman"/>
          <w:sz w:val="18"/>
          <w:szCs w:val="18"/>
        </w:rPr>
        <w:t>鉴于您为金融同业客户，销售机构暂不对您进行风险承受能力评估，请您根据您自身的</w:t>
      </w:r>
      <w:r>
        <w:rPr>
          <w:rFonts w:ascii="宋体" w:hAnsi="宋体" w:eastAsia="宋体" w:cs="Times New Roman"/>
          <w:sz w:val="18"/>
          <w:szCs w:val="18"/>
        </w:rPr>
        <w:t>风险承受能力购买</w:t>
      </w:r>
      <w:r>
        <w:rPr>
          <w:rFonts w:hint="eastAsia" w:ascii="宋体" w:hAnsi="宋体" w:eastAsia="宋体" w:cs="Times New Roman"/>
          <w:sz w:val="18"/>
          <w:szCs w:val="18"/>
        </w:rPr>
        <w:t>产品风险评级适合您的</w:t>
      </w:r>
      <w:r>
        <w:rPr>
          <w:rFonts w:ascii="宋体" w:hAnsi="宋体" w:eastAsia="宋体" w:cs="Times New Roman"/>
          <w:sz w:val="18"/>
          <w:szCs w:val="18"/>
        </w:rPr>
        <w:t>理财产品</w:t>
      </w:r>
      <w:r>
        <w:rPr>
          <w:rFonts w:hint="eastAsia" w:ascii="黑体" w:hAnsi="黑体" w:eastAsia="黑体" w:cs="Times New Roman"/>
          <w:sz w:val="18"/>
          <w:szCs w:val="18"/>
        </w:rPr>
        <w:t>。</w:t>
      </w:r>
    </w:p>
    <w:p>
      <w:pPr>
        <w:spacing w:line="280" w:lineRule="atLeast"/>
        <w:ind w:firstLine="361" w:firstLineChars="200"/>
        <w:rPr>
          <w:rFonts w:ascii="宋体" w:hAnsi="宋体" w:eastAsia="宋体" w:cs="Times New Roman"/>
          <w:b/>
          <w:sz w:val="18"/>
          <w:szCs w:val="18"/>
        </w:rPr>
      </w:pPr>
      <w:r>
        <w:rPr>
          <w:rFonts w:hint="eastAsia" w:ascii="宋体" w:hAnsi="宋体" w:eastAsia="宋体" w:cs="Times New Roman"/>
          <w:b/>
          <w:sz w:val="18"/>
          <w:szCs w:val="18"/>
        </w:rPr>
        <w:t>三、关于理财产品的信息披露</w:t>
      </w:r>
    </w:p>
    <w:p>
      <w:pPr>
        <w:ind w:firstLine="360" w:firstLineChars="200"/>
        <w:rPr>
          <w:rFonts w:eastAsia="宋体" w:cs="Times New Roman" w:asciiTheme="minorEastAsia" w:hAnsiTheme="minorEastAsia"/>
          <w:sz w:val="18"/>
          <w:szCs w:val="18"/>
        </w:rPr>
      </w:pPr>
      <w:r>
        <w:rPr>
          <w:rFonts w:hint="eastAsia" w:ascii="宋体" w:hAnsi="宋体" w:eastAsia="宋体" w:cs="Times New Roman"/>
          <w:bCs/>
          <w:sz w:val="18"/>
          <w:szCs w:val="18"/>
        </w:rPr>
        <w:t>理财产品的信息披露将通过产品管理人或销售机构的门户网站、电子销售渠道或营业网点等进行。</w:t>
      </w:r>
      <w:r>
        <w:rPr>
          <w:rFonts w:eastAsia="宋体" w:cs="Times New Roman" w:asciiTheme="minorEastAsia" w:hAnsiTheme="minorEastAsia"/>
          <w:sz w:val="18"/>
          <w:szCs w:val="18"/>
        </w:rPr>
        <w:t>具体</w:t>
      </w:r>
      <w:r>
        <w:rPr>
          <w:rFonts w:hint="eastAsia" w:eastAsia="宋体" w:cs="Times New Roman" w:asciiTheme="minorEastAsia" w:hAnsiTheme="minorEastAsia"/>
          <w:sz w:val="18"/>
          <w:szCs w:val="18"/>
        </w:rPr>
        <w:t>信息披露的方式、渠道和频率等</w:t>
      </w:r>
      <w:r>
        <w:rPr>
          <w:rFonts w:eastAsia="宋体" w:cs="Times New Roman" w:asciiTheme="minorEastAsia" w:hAnsiTheme="minorEastAsia"/>
          <w:sz w:val="18"/>
          <w:szCs w:val="18"/>
        </w:rPr>
        <w:t>以《产品说明书》中“信息披露</w:t>
      </w:r>
      <w:r>
        <w:rPr>
          <w:rFonts w:hint="eastAsia" w:eastAsia="宋体" w:cs="Times New Roman" w:asciiTheme="minorEastAsia" w:hAnsiTheme="minorEastAsia"/>
          <w:sz w:val="18"/>
          <w:szCs w:val="18"/>
        </w:rPr>
        <w:t>”约定为准。</w:t>
      </w:r>
    </w:p>
    <w:p>
      <w:pPr>
        <w:spacing w:line="280" w:lineRule="atLeast"/>
        <w:ind w:firstLine="361" w:firstLineChars="200"/>
        <w:rPr>
          <w:rFonts w:eastAsia="宋体" w:cs="Times New Roman" w:asciiTheme="minorEastAsia" w:hAnsiTheme="minorEastAsia"/>
          <w:sz w:val="18"/>
          <w:szCs w:val="18"/>
        </w:rPr>
      </w:pPr>
      <w:r>
        <w:rPr>
          <w:rFonts w:hint="eastAsia" w:ascii="宋体" w:hAnsi="宋体" w:eastAsia="宋体" w:cs="Times New Roman"/>
          <w:b/>
          <w:sz w:val="18"/>
          <w:szCs w:val="18"/>
        </w:rPr>
        <w:t>四、关于投诉与建议</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（一）</w:t>
      </w:r>
      <w:r>
        <w:rPr>
          <w:rFonts w:hint="eastAsia" w:eastAsia="宋体" w:cs="Times New Roman" w:asciiTheme="minorEastAsia" w:hAnsiTheme="minorEastAsia"/>
          <w:sz w:val="18"/>
          <w:szCs w:val="18"/>
        </w:rPr>
        <w:t>您对本产品有任何意见或异议，可向产品管理人或</w:t>
      </w:r>
      <w:r>
        <w:rPr>
          <w:rFonts w:hint="eastAsia" w:ascii="宋体" w:hAnsi="宋体" w:eastAsia="宋体" w:cs="Times New Roman"/>
          <w:sz w:val="18"/>
          <w:szCs w:val="18"/>
        </w:rPr>
        <w:t>销售机构</w:t>
      </w:r>
      <w:r>
        <w:rPr>
          <w:rFonts w:hint="eastAsia" w:eastAsia="宋体" w:cs="Times New Roman" w:asciiTheme="minorEastAsia" w:hAnsiTheme="minorEastAsia"/>
          <w:sz w:val="18"/>
          <w:szCs w:val="18"/>
        </w:rPr>
        <w:t>反馈</w:t>
      </w:r>
      <w:r>
        <w:rPr>
          <w:rFonts w:hint="eastAsia" w:ascii="宋体" w:hAnsi="宋体" w:eastAsia="宋体" w:cs="Times New Roman"/>
          <w:sz w:val="18"/>
          <w:szCs w:val="18"/>
        </w:rPr>
        <w:t>，产品管理人或销售机构将由专人接听、记录您的意见或建议，并由各方协商共同解决。</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（二）联络方式：</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1.产品管理人：兴银理财有限责任公司</w:t>
      </w:r>
    </w:p>
    <w:p>
      <w:pPr>
        <w:ind w:firstLine="360" w:firstLineChars="200"/>
        <w:rPr>
          <w:rFonts w:ascii="宋体" w:hAnsi="宋体" w:eastAsia="宋体" w:cs="Times New Roman"/>
          <w:sz w:val="18"/>
          <w:szCs w:val="18"/>
        </w:rPr>
      </w:pPr>
      <w:r>
        <w:rPr>
          <w:rFonts w:hint="eastAsia" w:ascii="宋体" w:hAnsi="宋体" w:eastAsia="宋体" w:cs="Times New Roman"/>
          <w:sz w:val="18"/>
          <w:szCs w:val="18"/>
        </w:rPr>
        <w:t>客户服务热线：40015-95561。</w:t>
      </w:r>
    </w:p>
    <w:p>
      <w:pPr>
        <w:spacing w:line="280" w:lineRule="atLeast"/>
        <w:ind w:firstLine="360" w:firstLineChars="200"/>
        <w:outlineLvl w:val="2"/>
        <w:rPr>
          <w:rFonts w:ascii="宋体" w:hAnsi="宋体" w:eastAsia="宋体" w:cs="Times New Roman"/>
          <w:sz w:val="18"/>
          <w:szCs w:val="18"/>
        </w:rPr>
      </w:pPr>
      <w:r>
        <w:rPr>
          <w:rFonts w:hint="eastAsia" w:ascii="宋体" w:hAnsi="宋体" w:eastAsia="宋体" w:cs="Times New Roman"/>
          <w:sz w:val="18"/>
          <w:szCs w:val="18"/>
        </w:rPr>
        <w:t>2.</w:t>
      </w:r>
      <w:r>
        <w:rPr>
          <w:rFonts w:ascii="宋体" w:hAnsi="宋体" w:eastAsia="宋体" w:cs="Times New Roman"/>
          <w:sz w:val="18"/>
          <w:szCs w:val="18"/>
        </w:rPr>
        <w:t>销售机构</w:t>
      </w:r>
      <w:r>
        <w:rPr>
          <w:rFonts w:hint="eastAsia" w:ascii="宋体" w:hAnsi="宋体" w:eastAsia="宋体" w:cs="Times New Roman"/>
          <w:sz w:val="18"/>
          <w:szCs w:val="18"/>
        </w:rPr>
        <w:t>：兴业银行股份有限公司</w:t>
      </w:r>
    </w:p>
    <w:p>
      <w:pPr>
        <w:spacing w:line="280" w:lineRule="atLeast"/>
        <w:ind w:firstLine="360" w:firstLineChars="200"/>
        <w:rPr>
          <w:rFonts w:ascii="宋体" w:hAnsi="宋体" w:eastAsia="宋体" w:cs="Times New Roman"/>
          <w:sz w:val="18"/>
          <w:szCs w:val="18"/>
        </w:rPr>
      </w:pPr>
      <w:r>
        <w:rPr>
          <w:rFonts w:hint="eastAsia" w:ascii="宋体" w:hAnsi="宋体" w:eastAsia="宋体" w:cs="Times New Roman"/>
          <w:sz w:val="18"/>
          <w:szCs w:val="18"/>
        </w:rPr>
        <w:t>兴业银行理财经理或兴业银行各营业网点。</w:t>
      </w:r>
    </w:p>
    <w:p>
      <w:pPr>
        <w:spacing w:line="280" w:lineRule="atLeast"/>
        <w:ind w:firstLine="360" w:firstLineChars="200"/>
        <w:rPr>
          <w:rFonts w:ascii="宋体" w:hAnsi="宋体" w:eastAsia="宋体" w:cs="Times New Roman"/>
          <w:sz w:val="18"/>
          <w:szCs w:val="18"/>
        </w:rPr>
      </w:pPr>
      <w:r>
        <w:rPr>
          <w:rFonts w:ascii="宋体" w:hAnsi="宋体" w:eastAsia="宋体" w:cs="Times New Roman"/>
          <w:sz w:val="18"/>
          <w:szCs w:val="18"/>
        </w:rPr>
        <w:t>兴业银行</w:t>
      </w:r>
      <w:r>
        <w:rPr>
          <w:rFonts w:hint="eastAsia" w:ascii="宋体" w:hAnsi="宋体" w:eastAsia="宋体" w:cs="Times New Roman"/>
          <w:sz w:val="18"/>
          <w:szCs w:val="18"/>
        </w:rPr>
        <w:t>客户投诉电话：【</w:t>
      </w:r>
      <w:r>
        <w:rPr>
          <w:rFonts w:eastAsia="宋体" w:cs="Times New Roman" w:asciiTheme="minorEastAsia" w:hAnsiTheme="minorEastAsia"/>
          <w:sz w:val="18"/>
          <w:szCs w:val="18"/>
        </w:rPr>
        <w:t>95561</w:t>
      </w:r>
      <w:r>
        <w:rPr>
          <w:rFonts w:hint="eastAsia" w:ascii="宋体" w:hAnsi="宋体" w:eastAsia="宋体" w:cs="Times New Roman"/>
          <w:sz w:val="18"/>
          <w:szCs w:val="18"/>
        </w:rPr>
        <w:t>】。</w:t>
      </w:r>
    </w:p>
    <w:p>
      <w:pPr>
        <w:autoSpaceDE w:val="0"/>
        <w:autoSpaceDN w:val="0"/>
        <w:adjustRightInd w:val="0"/>
        <w:spacing w:line="280" w:lineRule="atLeast"/>
        <w:ind w:firstLine="360" w:firstLineChars="200"/>
        <w:jc w:val="left"/>
        <w:rPr>
          <w:rFonts w:hint="eastAsia" w:ascii="宋体" w:hAnsi="宋体" w:eastAsia="宋体" w:cs="Times New Roman"/>
          <w:sz w:val="18"/>
          <w:szCs w:val="18"/>
        </w:rPr>
      </w:pPr>
      <w:r>
        <w:rPr>
          <w:rFonts w:hint="eastAsia" w:ascii="宋体" w:hAnsi="宋体" w:eastAsia="宋体" w:cs="Times New Roman"/>
          <w:sz w:val="18"/>
          <w:szCs w:val="18"/>
        </w:rPr>
        <w:t>兴业银行总行消费者投诉受理邮箱：</w:t>
      </w:r>
      <w:r>
        <w:rPr>
          <w:rFonts w:hint="eastAsia" w:ascii="宋体" w:hAnsi="宋体" w:eastAsia="宋体" w:cs="Times New Roman"/>
          <w:color w:val="auto"/>
          <w:sz w:val="18"/>
          <w:szCs w:val="18"/>
          <w:u w:val="none"/>
        </w:rPr>
        <w:t>【9</w:t>
      </w:r>
      <w:r>
        <w:rPr>
          <w:rFonts w:ascii="宋体" w:hAnsi="宋体" w:eastAsia="宋体" w:cs="Times New Roman"/>
          <w:color w:val="auto"/>
          <w:sz w:val="18"/>
          <w:szCs w:val="18"/>
          <w:u w:val="none"/>
        </w:rPr>
        <w:t>5561</w:t>
      </w:r>
      <w:r>
        <w:rPr>
          <w:rFonts w:hint="eastAsia" w:ascii="宋体" w:hAnsi="宋体" w:eastAsia="宋体" w:cs="Times New Roman"/>
          <w:color w:val="auto"/>
          <w:sz w:val="18"/>
          <w:szCs w:val="18"/>
          <w:u w:val="none"/>
        </w:rPr>
        <w:t>@</w:t>
      </w:r>
      <w:r>
        <w:rPr>
          <w:rFonts w:eastAsia="宋体" w:cs="Times New Roman" w:asciiTheme="minorEastAsia" w:hAnsiTheme="minorEastAsia"/>
          <w:color w:val="auto"/>
          <w:sz w:val="18"/>
          <w:szCs w:val="18"/>
          <w:u w:val="none"/>
        </w:rPr>
        <w:t>cib.com.cn</w:t>
      </w:r>
      <w:r>
        <w:rPr>
          <w:rFonts w:hint="eastAsia" w:ascii="宋体" w:hAnsi="宋体" w:eastAsia="宋体" w:cs="Times New Roman"/>
          <w:color w:val="auto"/>
          <w:sz w:val="18"/>
          <w:szCs w:val="18"/>
          <w:u w:val="none"/>
        </w:rPr>
        <w:t>】。</w:t>
      </w:r>
    </w:p>
    <w:p>
      <w:pPr>
        <w:autoSpaceDE w:val="0"/>
        <w:autoSpaceDN w:val="0"/>
        <w:adjustRightInd w:val="0"/>
        <w:spacing w:line="280" w:lineRule="atLeast"/>
        <w:jc w:val="left"/>
        <w:rPr>
          <w:rFonts w:ascii="仿宋_GB2312" w:hAnsi="Times New Roman" w:eastAsia="仿宋_GB2312" w:cs="仿宋_GB2312"/>
          <w:color w:val="000000"/>
          <w:kern w:val="0"/>
          <w:sz w:val="24"/>
          <w:szCs w:val="24"/>
        </w:rPr>
      </w:pPr>
    </w:p>
    <w:p>
      <w:pPr>
        <w:widowControl/>
        <w:spacing w:line="280" w:lineRule="atLeast"/>
        <w:jc w:val="left"/>
        <w:rPr>
          <w:rFonts w:ascii="宋体" w:hAnsi="宋体" w:eastAsia="宋体" w:cs="Times New Roman"/>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FF4DDA"/>
    <w:rsid w:val="2BBE5BA7"/>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HTML Preformatt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lang w:val="en-US" w:eastAsia="zh-CN" w:bidi="ar-SA"/>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paragraph" w:styleId="13">
    <w:name w:val="List Paragraph"/>
    <w:basedOn w:val="1"/>
    <w:qFormat/>
    <w:uiPriority w:val="0"/>
    <w:pPr>
      <w:ind w:firstLine="420" w:firstLineChars="200"/>
    </w:pPr>
  </w:style>
  <w:style w:type="paragraph" w:customStyle="1" w:styleId="1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2025-12-29T02:35:59Z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