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【添利】</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【添利】</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【添利】</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【添利】</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【添利】</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【添利】</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w:t>
      </w:r>
      <w:r>
        <w:rPr>
          <w:rFonts w:hint="eastAsia" w:ascii="黑体" w:hAnsi="黑体" w:eastAsia="黑体"/>
          <w:kern w:val="0"/>
          <w:szCs w:val="21"/>
        </w:rPr>
        <w:t>2</w:t>
      </w:r>
      <w:r>
        <w:rPr>
          <w:rFonts w:ascii="黑体" w:hAnsi="黑体" w:eastAsia="黑体"/>
          <w:kern w:val="0"/>
          <w:szCs w:val="21"/>
        </w:rPr>
        <w:t>021年第</w:t>
      </w:r>
      <w:r>
        <w:rPr>
          <w:rFonts w:hint="eastAsia" w:ascii="黑体" w:hAnsi="黑体" w:eastAsia="黑体"/>
          <w:kern w:val="0"/>
          <w:szCs w:val="21"/>
        </w:rPr>
        <w:t>4号）第2</w:t>
      </w:r>
      <w:r>
        <w:rPr>
          <w:rFonts w:ascii="黑体" w:hAnsi="黑体" w:eastAsia="黑体"/>
          <w:kern w:val="0"/>
          <w:szCs w:val="21"/>
        </w:rPr>
        <w:t>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w:t>
      </w:r>
      <w:r>
        <w:rPr>
          <w:rFonts w:hint="eastAsia" w:ascii="黑体" w:hAnsi="黑体" w:eastAsia="黑体"/>
          <w:kern w:val="0"/>
          <w:szCs w:val="21"/>
        </w:rPr>
        <w:t>.</w:t>
      </w:r>
      <w:r>
        <w:rPr>
          <w:rFonts w:ascii="黑体" w:hAnsi="黑体" w:eastAsia="黑体"/>
          <w:kern w:val="0"/>
          <w:szCs w:val="21"/>
        </w:rPr>
        <w:t>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【添利】</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24"/>
      <w:bookmarkStart w:id="1" w:name="_Toc123112263"/>
      <w:bookmarkStart w:id="2" w:name="_Toc139991726"/>
      <w:bookmarkStart w:id="3" w:name="_Toc139992301"/>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39992302"/>
      <w:bookmarkStart w:id="6" w:name="_Toc139991727"/>
      <w:bookmarkStart w:id="7" w:name="_Toc123112225"/>
      <w:bookmarkStart w:id="8" w:name="_Toc123701384"/>
      <w:bookmarkStart w:id="9" w:name="_Toc12311226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12</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理财产品过往业绩不代表其未来表现，不等于理财产品实际收益，投资须谨慎。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w:t>
            </w:r>
            <w:r>
              <w:rPr>
                <w:rFonts w:hint="eastAsia" w:ascii="黑体" w:hAnsi="黑体" w:eastAsia="黑体"/>
                <w:bCs/>
                <w:sz w:val="18"/>
                <w:szCs w:val="18"/>
              </w:rPr>
              <w:t>2</w:t>
            </w:r>
            <w:r>
              <w:rPr>
                <w:rFonts w:ascii="黑体" w:hAnsi="黑体" w:eastAsia="黑体"/>
                <w:bCs/>
                <w:sz w:val="18"/>
                <w:szCs w:val="18"/>
              </w:rPr>
              <w:t>021年第</w:t>
            </w:r>
            <w:r>
              <w:rPr>
                <w:rFonts w:hint="eastAsia" w:ascii="黑体" w:hAnsi="黑体" w:eastAsia="黑体"/>
                <w:bCs/>
                <w:sz w:val="18"/>
                <w:szCs w:val="18"/>
              </w:rPr>
              <w:t>4号）第2</w:t>
            </w:r>
            <w:r>
              <w:rPr>
                <w:rFonts w:ascii="黑体" w:hAnsi="黑体" w:eastAsia="黑体"/>
                <w:bCs/>
                <w:sz w:val="18"/>
                <w:szCs w:val="18"/>
              </w:rPr>
              <w:t>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（1）情形1：所有销售文件都由产品管理人统一编制。其中，《投资协议书》《产品说明书》《（代理）销售协议书》《风险揭示书》《投资者权益须知》等销售文件均由产品管理人统一编制。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 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关于理财产品信息披露的提示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在购买本产品后，投资者应随时关注该理财产品的信息披露情况，及时获取相关信息。</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pStyle w:val="21"/>
              <w:snapToGrid w:val="0"/>
              <w:spacing w:before="0" w:beforeAutospacing="0" w:after="0" w:afterAutospacing="0" w:line="360" w:lineRule="auto"/>
              <w:jc w:val="both"/>
              <w:rPr>
                <w:bCs/>
                <w:sz w:val="32"/>
              </w:rPr>
            </w:pPr>
            <w:r>
              <w:rPr>
                <w:rFonts w:hint="eastAsia" w:ascii="黑体" w:hAnsi="黑体" w:eastAsia="黑体"/>
                <w:bCs/>
                <w:sz w:val="18"/>
                <w:szCs w:val="18"/>
              </w:rPr>
              <w:t>投资者对本理财产品及销售文件的内容有任何疑问，请向产品管理人或销售机构咨询。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701386"/>
      <w:bookmarkStart w:id="12" w:name="_Toc123112266"/>
      <w:bookmarkStart w:id="13" w:name="_Toc123112227"/>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colFirst="0" w:colLast="0"/>
            <w:permStart w:id="25" w:edGrp="everyone" w:colFirst="1" w:colLast="1"/>
            <w:permStart w:id="26" w:edGrp="everyone" w:colFirst="2" w:colLast="2"/>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兴银理财添利天天利</w:t>
            </w:r>
            <w:r>
              <w:rPr>
                <w:rFonts w:hint="eastAsia" w:asciiTheme="minorEastAsia" w:hAnsiTheme="minorEastAsia"/>
                <w:sz w:val="18"/>
                <w:szCs w:val="18"/>
                <w:lang w:val="en-US" w:eastAsia="zh-CN"/>
              </w:rPr>
              <w:t>53</w:t>
            </w:r>
            <w:r>
              <w:rPr>
                <w:rFonts w:hint="eastAsia" w:asciiTheme="minorEastAsia" w:hAnsiTheme="minorEastAsia"/>
                <w:sz w:val="18"/>
                <w:szCs w:val="18"/>
              </w:rPr>
              <w:t>号现金管理型理财产品</w:t>
            </w:r>
            <w:r>
              <w:rPr>
                <w:rFonts w:hint="eastAsia" w:ascii="宋体" w:hAnsi="宋体"/>
                <w:bCs/>
                <w:sz w:val="18"/>
                <w:szCs w:val="18"/>
              </w:rPr>
              <w:t>】</w:t>
            </w:r>
          </w:p>
        </w:tc>
      </w:tr>
      <w:permEnd w:id="24"/>
      <w:permEnd w:id="25"/>
      <w:permEnd w:id="2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7" w:edGrp="everyone" w:colFirst="0" w:colLast="0"/>
            <w:permStart w:id="28" w:edGrp="everyone" w:colFirst="1" w:colLast="1"/>
            <w:permStart w:id="29" w:edGrp="everyone" w:colFirst="2" w:colLast="2"/>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w:t>
            </w:r>
            <w:r>
              <w:rPr>
                <w:rFonts w:hint="eastAsia" w:asciiTheme="minorEastAsia" w:hAnsiTheme="minorEastAsia"/>
                <w:sz w:val="18"/>
                <w:szCs w:val="18"/>
              </w:rPr>
              <w:t>兴银添利天天利53号J（鑫福款）</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J</w:t>
            </w:r>
            <w:r>
              <w:rPr>
                <w:rFonts w:hint="eastAsia" w:ascii="宋体" w:hAnsi="宋体"/>
                <w:bCs/>
                <w:color w:val="000000" w:themeColor="text1"/>
                <w:sz w:val="18"/>
                <w:szCs w:val="18"/>
                <w14:textFill>
                  <w14:solidFill>
                    <w14:schemeClr w14:val="tx1"/>
                  </w14:solidFill>
                </w14:textFill>
              </w:rPr>
              <w:t>】类份额）</w:t>
            </w:r>
          </w:p>
        </w:tc>
      </w:tr>
      <w:permEnd w:id="27"/>
      <w:permEnd w:id="28"/>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0" w:edGrp="everyone" w:colFirst="0" w:colLast="0"/>
            <w:permStart w:id="31" w:edGrp="everyone" w:colFirst="1" w:colLast="1"/>
            <w:permStart w:id="32" w:edGrp="everyone" w:colFirst="2" w:colLast="2"/>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【Z70020250001</w:t>
            </w:r>
            <w:r>
              <w:rPr>
                <w:rFonts w:hint="eastAsia" w:ascii="宋体" w:hAnsi="宋体"/>
                <w:bCs/>
                <w:sz w:val="18"/>
                <w:szCs w:val="18"/>
                <w:lang w:val="en-US" w:eastAsia="zh-CN"/>
              </w:rPr>
              <w:t>27</w:t>
            </w:r>
            <w:r>
              <w:rPr>
                <w:rFonts w:hint="eastAsia" w:ascii="宋体" w:hAnsi="宋体"/>
                <w:bCs/>
                <w:sz w:val="18"/>
                <w:szCs w:val="18"/>
              </w:rPr>
              <w:t>】注：投资者可依据理财产品登记编码在中国理财网查询产品信息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bookmarkStart w:id="66" w:name="_GoBack"/>
            <w:bookmarkEnd w:id="66"/>
          </w:p>
        </w:tc>
      </w:tr>
      <w:permEnd w:id="30"/>
      <w:permEnd w:id="31"/>
      <w:permEnd w:id="3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3" w:edGrp="everyone" w:colFirst="0" w:colLast="0"/>
            <w:permStart w:id="34" w:edGrp="everyone" w:colFirst="1" w:colLast="1"/>
            <w:permStart w:id="35" w:edGrp="everyone" w:colFirst="2" w:colLast="2"/>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9TTL9</w:t>
            </w:r>
            <w:r>
              <w:rPr>
                <w:rFonts w:hint="eastAsia" w:ascii="宋体" w:hAnsi="宋体"/>
                <w:bCs/>
                <w:color w:val="000000" w:themeColor="text1"/>
                <w:sz w:val="18"/>
                <w:szCs w:val="18"/>
                <w:lang w:val="en-US" w:eastAsia="zh-CN"/>
                <w14:textFill>
                  <w14:solidFill>
                    <w14:schemeClr w14:val="tx1"/>
                  </w14:solidFill>
                </w14:textFill>
              </w:rPr>
              <w:t>53</w:t>
            </w:r>
            <w:r>
              <w:rPr>
                <w:rFonts w:hint="eastAsia" w:ascii="宋体" w:hAnsi="宋体"/>
                <w:bCs/>
                <w:color w:val="000000" w:themeColor="text1"/>
                <w:sz w:val="18"/>
                <w:szCs w:val="18"/>
                <w14:textFill>
                  <w14:solidFill>
                    <w14:schemeClr w14:val="tx1"/>
                  </w14:solidFill>
                </w14:textFill>
              </w:rPr>
              <w:t>0</w:t>
            </w:r>
            <w:r>
              <w:rPr>
                <w:rFonts w:ascii="宋体" w:hAnsi="宋体"/>
                <w:bCs/>
                <w:color w:val="000000" w:themeColor="text1"/>
                <w:sz w:val="18"/>
                <w:szCs w:val="18"/>
                <w14:textFill>
                  <w14:solidFill>
                    <w14:schemeClr w14:val="tx1"/>
                  </w14:solidFill>
                </w14:textFill>
              </w:rPr>
              <w:t>】</w:t>
            </w:r>
          </w:p>
        </w:tc>
      </w:tr>
      <w:permEnd w:id="33"/>
      <w:permEnd w:id="34"/>
      <w:permEnd w:id="3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36" w:edGrp="everyone" w:colFirst="0" w:colLast="0"/>
            <w:permStart w:id="37" w:edGrp="everyone" w:colFirst="1" w:colLast="1"/>
            <w:permStart w:id="38" w:edGrp="everyone" w:colFirst="2" w:colLast="2"/>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w:t>
            </w:r>
            <w:r>
              <w:rPr>
                <w:rFonts w:hint="eastAsia" w:ascii="宋体" w:hAnsi="宋体"/>
                <w:bCs/>
                <w:sz w:val="18"/>
                <w:szCs w:val="18"/>
              </w:rPr>
              <w:t>9TTL953J</w:t>
            </w:r>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J</w:t>
            </w:r>
            <w:r>
              <w:rPr>
                <w:rFonts w:hint="eastAsia" w:ascii="宋体" w:hAnsi="宋体"/>
                <w:bCs/>
                <w:color w:val="000000" w:themeColor="text1"/>
                <w:sz w:val="18"/>
                <w:szCs w:val="18"/>
                <w14:textFill>
                  <w14:solidFill>
                    <w14:schemeClr w14:val="tx1"/>
                  </w14:solidFill>
                </w14:textFill>
              </w:rPr>
              <w:t>】类份额）</w:t>
            </w:r>
          </w:p>
        </w:tc>
      </w:tr>
      <w:permEnd w:id="36"/>
      <w:permEnd w:id="37"/>
      <w:permEnd w:id="3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39" w:edGrp="everyone" w:colFirst="0" w:colLast="0"/>
          </w:p>
        </w:tc>
      </w:tr>
      <w:permEnd w:id="3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40" w:edGrp="everyone"/>
            <w:r>
              <w:rPr>
                <w:rFonts w:ascii="宋体" w:hAnsi="宋体"/>
                <w:szCs w:val="18"/>
                <w:u w:val="single"/>
              </w:rPr>
              <w:t xml:space="preserve">　                     </w:t>
            </w:r>
            <w:permEnd w:id="40"/>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t>第</w:t>
          </w:r>
          <w:r>
            <w:rPr>
              <w:rFonts w:hint="eastAsia"/>
            </w:rPr>
            <w:t xml:space="preserve">二条 </w:t>
          </w:r>
          <w:r>
            <w:t xml:space="preserve"> </w:t>
          </w:r>
          <w:r>
            <w:rPr>
              <w:rFonts w:hint="eastAsia"/>
            </w:rPr>
            <w:t>双方</w:t>
          </w:r>
          <w:r>
            <w:t>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 xml:space="preserve">第六条 </w:t>
          </w:r>
          <w:r>
            <w:t xml:space="preserve"> 协议的签署和</w:t>
          </w:r>
          <w:r>
            <w:rPr>
              <w:rFonts w:hint="eastAsia"/>
            </w:rPr>
            <w:t>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 xml:space="preserve">第七条 </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5517"/>
      <w:bookmarkStart w:id="15" w:name="_Toc29629"/>
      <w:bookmarkStart w:id="16" w:name="_Toc32639"/>
      <w:bookmarkStart w:id="17" w:name="_Toc123112268"/>
      <w:bookmarkStart w:id="18" w:name="_Toc141703880"/>
      <w:bookmarkStart w:id="19" w:name="_Toc8727"/>
      <w:bookmarkStart w:id="20" w:name="_Toc4867"/>
      <w:bookmarkStart w:id="21" w:name="_Toc139991730"/>
      <w:bookmarkStart w:id="22" w:name="_Toc123701389"/>
      <w:bookmarkStart w:id="23" w:name="_Toc123112229"/>
      <w:bookmarkStart w:id="24" w:name="_Toc23386"/>
      <w:bookmarkStart w:id="25" w:name="_Toc30935"/>
      <w:bookmarkStart w:id="26" w:name="_Toc6306"/>
      <w:bookmarkStart w:id="27" w:name="_Toc26897"/>
      <w:bookmarkStart w:id="28" w:name="_Toc496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21301"/>
      <w:bookmarkStart w:id="33" w:name="_Toc819"/>
      <w:bookmarkStart w:id="34" w:name="_Toc2465"/>
      <w:bookmarkStart w:id="35" w:name="_Toc22864"/>
      <w:bookmarkStart w:id="36" w:name="_Toc3224"/>
      <w:bookmarkStart w:id="37" w:name="_Toc258829399"/>
      <w:bookmarkStart w:id="38" w:name="_Toc6617"/>
      <w:bookmarkStart w:id="39" w:name="_Toc24860"/>
      <w:bookmarkStart w:id="40" w:name="_Toc19592"/>
      <w:bookmarkStart w:id="41" w:name="_Toc13020"/>
      <w:bookmarkStart w:id="42" w:name="_Toc1506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号）、《商业银行理财业务监督管理办法》（银保监会令2018年第</w:t>
      </w:r>
      <w:r>
        <w:rPr>
          <w:rFonts w:ascii="宋体" w:hAnsi="宋体"/>
          <w:sz w:val="18"/>
          <w:szCs w:val="18"/>
        </w:rPr>
        <w:t>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宋体" w:hAnsi="宋体"/>
          <w:sz w:val="18"/>
          <w:szCs w:val="18"/>
        </w:rPr>
        <w:t>.订立本投资协议书的原则是平等自愿、诚实信用、充分保护投资人合法权益。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ascii="Times New Roman"/>
          <w:color w:val="auto"/>
          <w:sz w:val="30"/>
        </w:rPr>
        <w:t>第</w:t>
      </w:r>
      <w:r>
        <w:rPr>
          <w:rFonts w:hint="eastAsia" w:ascii="Times New Roman"/>
          <w:color w:val="auto"/>
          <w:sz w:val="30"/>
        </w:rPr>
        <w:t xml:space="preserve">二条 </w:t>
      </w:r>
      <w:r>
        <w:rPr>
          <w:rFonts w:ascii="Times New Roman"/>
          <w:color w:val="auto"/>
          <w:sz w:val="30"/>
        </w:rPr>
        <w:t xml:space="preserve"> </w:t>
      </w:r>
      <w:r>
        <w:rPr>
          <w:rFonts w:hint="eastAsia" w:ascii="Times New Roman"/>
          <w:color w:val="auto"/>
          <w:sz w:val="30"/>
        </w:rPr>
        <w:t>双方</w:t>
      </w:r>
      <w:r>
        <w:rPr>
          <w:rFonts w:ascii="Times New Roman"/>
          <w:color w:val="auto"/>
          <w:sz w:val="30"/>
        </w:rPr>
        <w:t>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投资者同意并授权产品管理人有权根据业务办理需要、反洗钱工作、非居民金融账户涉税信息尽职调查、I</w:t>
      </w:r>
      <w:r>
        <w:rPr>
          <w:rFonts w:ascii="黑体" w:hAnsi="黑体" w:eastAsia="黑体"/>
          <w:sz w:val="18"/>
          <w:szCs w:val="18"/>
        </w:rPr>
        <w:t>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hint="eastAsia" w:ascii="宋体" w:hAnsi="宋体"/>
          <w:sz w:val="18"/>
          <w:szCs w:val="18"/>
        </w:rPr>
        <w:t>3.</w:t>
      </w:r>
      <w:r>
        <w:rPr>
          <w:rFonts w:ascii="宋体" w:hAnsi="宋体"/>
          <w:sz w:val="18"/>
          <w:szCs w:val="18"/>
        </w:rPr>
        <w:t>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宋体" w:hAnsi="宋体"/>
          <w:sz w:val="18"/>
          <w:szCs w:val="18"/>
        </w:rPr>
        <w:t>1</w:t>
      </w:r>
      <w:r>
        <w:rPr>
          <w:rFonts w:ascii="宋体" w:hAnsi="宋体"/>
          <w:sz w:val="18"/>
          <w:szCs w:val="18"/>
        </w:rPr>
        <w:t>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74065740"/>
      <w:bookmarkStart w:id="48" w:name="_Toc6149"/>
      <w:bookmarkStart w:id="49" w:name="_Toc13288"/>
      <w:bookmarkStart w:id="50" w:name="_Toc20627"/>
      <w:bookmarkStart w:id="51" w:name="_Toc6683"/>
      <w:bookmarkStart w:id="52" w:name="_Toc20318"/>
      <w:bookmarkStart w:id="53" w:name="_Toc545"/>
      <w:bookmarkStart w:id="54" w:name="_Toc24571"/>
      <w:bookmarkStart w:id="55" w:name="_Toc18631"/>
      <w:bookmarkStart w:id="56" w:name="_Toc22708"/>
      <w:bookmarkStart w:id="57" w:name="_Toc733"/>
      <w:bookmarkStart w:id="58" w:name="_Toc258829400"/>
      <w:bookmarkStart w:id="59" w:name="_Toc233456272"/>
      <w:r>
        <w:rPr>
          <w:rFonts w:hint="eastAsia" w:ascii="Times New Roman"/>
          <w:color w:val="auto"/>
          <w:sz w:val="30"/>
        </w:rPr>
        <w:t>第三条</w:t>
      </w:r>
      <w:r>
        <w:rPr>
          <w:rFonts w:ascii="Times New Roman"/>
          <w:color w:val="auto"/>
          <w:sz w:val="30"/>
        </w:rPr>
        <w:t xml:space="preserve">  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.本协议书中涉及的相关到期日或分配日如遇节假日，将顺延至下一个工作日，由此产生的风险及损失双方当事人互不承担责任；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 xml:space="preserve">第六条 </w:t>
      </w:r>
      <w:r>
        <w:rPr>
          <w:rFonts w:ascii="Times New Roman"/>
          <w:color w:val="auto"/>
          <w:sz w:val="30"/>
        </w:rPr>
        <w:t xml:space="preserve"> 协议的签署和</w:t>
      </w:r>
      <w:r>
        <w:rPr>
          <w:rFonts w:hint="eastAsia" w:ascii="Times New Roman"/>
          <w:color w:val="auto"/>
          <w:sz w:val="30"/>
        </w:rPr>
        <w:t>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，本协议自投资者签名</w:t>
      </w:r>
      <w:r>
        <w:rPr>
          <w:rFonts w:ascii="黑体" w:hAnsi="黑体" w:eastAsia="黑体"/>
          <w:sz w:val="18"/>
          <w:szCs w:val="18"/>
        </w:rPr>
        <w:t>/盖章后则为签署。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hint="eastAsia"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 xml:space="preserve">第七条 </w:t>
      </w:r>
      <w:r>
        <w:rPr>
          <w:rFonts w:ascii="Times New Roman"/>
          <w:color w:val="auto"/>
          <w:sz w:val="30"/>
        </w:rPr>
        <w:t xml:space="preserve"> </w:t>
      </w:r>
      <w:r>
        <w:rPr>
          <w:rFonts w:hint="eastAsia" w:ascii="Times New Roman"/>
          <w:color w:val="auto"/>
          <w:sz w:val="30"/>
        </w:rPr>
        <w:t>消费者权益保护</w:t>
      </w:r>
      <w:bookmarkEnd w:id="63"/>
      <w:bookmarkEnd w:id="64"/>
      <w:r>
        <w:rPr>
          <w:rFonts w:hint="eastAsia"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hint="eastAsia"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 xml:space="preserve">销售机构的联络方式，具体以《（代理）销售协议书》《投资者权益须知》等销售文件的内容为准。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41" w:edGrp="everyone"/>
            <w:r>
              <w:rPr>
                <w:rFonts w:hint="eastAsia" w:ascii="宋体" w:hAnsi="宋体" w:cs="宋体"/>
                <w:sz w:val="18"/>
                <w:szCs w:val="18"/>
              </w:rPr>
              <w:t>【】</w:t>
            </w:r>
            <w:permEnd w:id="4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42" w:edGrp="everyone"/>
            <w:r>
              <w:rPr>
                <w:rFonts w:hint="eastAsia" w:ascii="宋体" w:hAnsi="宋体" w:cs="宋体"/>
                <w:sz w:val="18"/>
                <w:szCs w:val="18"/>
              </w:rPr>
              <w:t>【】类</w:t>
            </w:r>
            <w:r>
              <w:rPr>
                <w:rFonts w:ascii="宋体" w:hAnsi="宋体" w:cs="宋体"/>
                <w:sz w:val="18"/>
                <w:szCs w:val="18"/>
              </w:rPr>
              <w:t>份额</w:t>
            </w:r>
            <w:permEnd w:id="4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43"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permEnd w:id="4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44"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元整。</w:t>
            </w:r>
          </w:p>
        </w:tc>
      </w:tr>
      <w:permEnd w:id="4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45"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rPr>
                <w:rFonts w:ascii="宋体" w:hAnsi="宋体"/>
                <w:bCs/>
                <w:sz w:val="18"/>
                <w:szCs w:val="18"/>
              </w:rPr>
            </w:pPr>
            <w:r>
              <w:rPr>
                <w:rFonts w:ascii="宋体" w:hAnsi="宋体"/>
                <w:bCs/>
                <w:sz w:val="18"/>
                <w:szCs w:val="18"/>
              </w:rPr>
              <w:t>份额：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u w:val="single"/>
              </w:rPr>
              <w:t xml:space="preserve">          </w:t>
            </w:r>
            <w:r>
              <w:rPr>
                <w:rFonts w:ascii="宋体" w:hAnsi="宋体"/>
                <w:bCs/>
                <w:sz w:val="18"/>
                <w:szCs w:val="18"/>
                <w:u w:val="single"/>
              </w:rPr>
              <w:t xml:space="preserve">        </w:t>
            </w:r>
            <w:r>
              <w:rPr>
                <w:rFonts w:hint="eastAsia" w:ascii="宋体" w:hAnsi="宋体"/>
                <w:bCs/>
                <w:sz w:val="18"/>
                <w:szCs w:val="18"/>
              </w:rPr>
              <w:t>份。</w:t>
            </w:r>
          </w:p>
        </w:tc>
      </w:tr>
      <w:permEnd w:id="4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46" w:edGrp="everyone"/>
            <w:r>
              <w:rPr>
                <w:rFonts w:hint="eastAsia" w:asciiTheme="minorEastAsia" w:hAnsiTheme="minorEastAsia"/>
                <w:sz w:val="18"/>
                <w:szCs w:val="18"/>
              </w:rPr>
              <w:t xml:space="preserve">【 </w:t>
            </w:r>
            <w:r>
              <w:rPr>
                <w:rFonts w:asciiTheme="minorEastAsia" w:hAnsiTheme="minorEastAsia"/>
                <w:sz w:val="18"/>
                <w:szCs w:val="18"/>
              </w:rPr>
              <w:t>】年</w:t>
            </w:r>
            <w:r>
              <w:rPr>
                <w:rFonts w:hint="eastAsia" w:asciiTheme="minorEastAsia" w:hAnsiTheme="minorEastAsia"/>
                <w:sz w:val="18"/>
                <w:szCs w:val="18"/>
              </w:rPr>
              <w:t>【 】月【 】日</w:t>
            </w:r>
            <w:permEnd w:id="4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w:t>
            </w:r>
            <w:r>
              <w:rPr>
                <w:rFonts w:ascii="黑体" w:hAnsi="黑体" w:eastAsia="黑体"/>
                <w:sz w:val="18"/>
                <w:szCs w:val="18"/>
              </w:rPr>
              <w:t>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w:t>
            </w:r>
            <w:r>
              <w:rPr>
                <w:rFonts w:hint="eastAsia" w:ascii="黑体" w:hAnsi="黑体" w:eastAsia="黑体"/>
                <w:sz w:val="18"/>
                <w:szCs w:val="18"/>
              </w:rPr>
              <w:t>.</w:t>
            </w:r>
            <w:r>
              <w:rPr>
                <w:rFonts w:ascii="黑体" w:hAnsi="黑体" w:eastAsia="黑体"/>
                <w:sz w:val="18"/>
                <w:szCs w:val="18"/>
              </w:rPr>
              <w:t>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3.投资者</w:t>
            </w:r>
            <w:r>
              <w:rPr>
                <w:rFonts w:ascii="黑体" w:hAnsi="黑体" w:eastAsia="黑体"/>
                <w:sz w:val="18"/>
                <w:szCs w:val="18"/>
              </w:rPr>
              <w:t>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dit="readOnly" w:enforcement="1" w:cryptProviderType="rsaAES" w:cryptAlgorithmClass="hash" w:cryptAlgorithmType="typeAny" w:cryptAlgorithmSid="14" w:cryptSpinCount="100000" w:hash="mqYxGkcUqM0tesm6y4fMXDW9NaWNc7G22kPhWr36jNYbXoyifyDol3bpXuraM89eFIraKttbcQuxx40cOGHwEw==" w:salt="l1LPRadWZPfOS7YtusHLOw=="/>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4616"/>
    <w:rsid w:val="00136F50"/>
    <w:rsid w:val="00141469"/>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B5A74"/>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3352"/>
    <w:rsid w:val="00294417"/>
    <w:rsid w:val="002944D4"/>
    <w:rsid w:val="0029567E"/>
    <w:rsid w:val="002A31A8"/>
    <w:rsid w:val="002A571E"/>
    <w:rsid w:val="002A599B"/>
    <w:rsid w:val="002A72B3"/>
    <w:rsid w:val="002B2076"/>
    <w:rsid w:val="002B2E59"/>
    <w:rsid w:val="002B30E7"/>
    <w:rsid w:val="002B3344"/>
    <w:rsid w:val="002B3DF5"/>
    <w:rsid w:val="002B503B"/>
    <w:rsid w:val="002B659B"/>
    <w:rsid w:val="002B661B"/>
    <w:rsid w:val="002C13C1"/>
    <w:rsid w:val="002C27E7"/>
    <w:rsid w:val="002C3012"/>
    <w:rsid w:val="002C7D8E"/>
    <w:rsid w:val="002D0C9D"/>
    <w:rsid w:val="002D121A"/>
    <w:rsid w:val="002D407E"/>
    <w:rsid w:val="002E0226"/>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05EA"/>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4D89"/>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C169E"/>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C25"/>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433D"/>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D1828"/>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37C61"/>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03AA"/>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071FA"/>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55B1"/>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775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22DC"/>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E6ED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2070CCA"/>
    <w:rsid w:val="05F13238"/>
    <w:rsid w:val="08F06232"/>
    <w:rsid w:val="0E0E1E7B"/>
    <w:rsid w:val="104F46BB"/>
    <w:rsid w:val="149E474A"/>
    <w:rsid w:val="154E78BA"/>
    <w:rsid w:val="159E12F7"/>
    <w:rsid w:val="18D640E4"/>
    <w:rsid w:val="19212E29"/>
    <w:rsid w:val="1B5C1CAA"/>
    <w:rsid w:val="1EDA60DE"/>
    <w:rsid w:val="1FAA751D"/>
    <w:rsid w:val="2A1326D5"/>
    <w:rsid w:val="2CA06B43"/>
    <w:rsid w:val="2D6C2D67"/>
    <w:rsid w:val="35C863A1"/>
    <w:rsid w:val="376B32D9"/>
    <w:rsid w:val="3AF25F15"/>
    <w:rsid w:val="3DA161A2"/>
    <w:rsid w:val="3DE71671"/>
    <w:rsid w:val="4009046E"/>
    <w:rsid w:val="4069171A"/>
    <w:rsid w:val="41547945"/>
    <w:rsid w:val="487A428F"/>
    <w:rsid w:val="49DC5E66"/>
    <w:rsid w:val="4C6D505D"/>
    <w:rsid w:val="4F9B33E8"/>
    <w:rsid w:val="557369E7"/>
    <w:rsid w:val="55EB05B0"/>
    <w:rsid w:val="56C22B29"/>
    <w:rsid w:val="5A881237"/>
    <w:rsid w:val="5C090AEC"/>
    <w:rsid w:val="5F0C752A"/>
    <w:rsid w:val="62A54310"/>
    <w:rsid w:val="64DE20E9"/>
    <w:rsid w:val="650E5193"/>
    <w:rsid w:val="657411FF"/>
    <w:rsid w:val="66D80C8D"/>
    <w:rsid w:val="6B364EF9"/>
    <w:rsid w:val="70613554"/>
    <w:rsid w:val="70C82840"/>
    <w:rsid w:val="799202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860289-4BAA-471A-8980-59AA4D3041F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1529</Words>
  <Characters>8719</Characters>
  <Lines>72</Lines>
  <Paragraphs>20</Paragraphs>
  <TotalTime>33</TotalTime>
  <ScaleCrop>false</ScaleCrop>
  <LinksUpToDate>false</LinksUpToDate>
  <CharactersWithSpaces>10228</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2024-03-04T03:16:00Z</dcterms:created>
  <dc:creator>Mandy.Z</dc:creator>
  <cp:lastModifiedBy>熊征斯</cp:lastModifiedBy>
  <cp:lastPrinted>2017-10-31T06:33:00Z</cp:lastPrinted>
  <dcterms:modified xsi:type="dcterms:W3CDTF">2025-12-23T05:41:04Z</dcterms:modified>
  <dc:title>___证券投资基金招募说明书1</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7F764BA8FE1445D395384AAC04665998_13</vt:lpwstr>
  </property>
</Properties>
</file>