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4d9f40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4d9f40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4d9f40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4d9f40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4d9f40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4d9f40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4d9f40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4d9f40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4d9f40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4d9f40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4d9f4004"/>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b68e3d2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b68e3d2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05000fd8"/>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南银理财珠联璧合鑫逸稳三个月116期封闭式公募人民币理财产品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ZZ700322500664</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Z7003225000422(投资者可依据该编码在中国理财网www.chinawealth.com.cn查询理财产品相关信息）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A份额：Y80116</w:t>
            </w:r>
          </w:p>
          <w:p>
            <w:pPr>
              <w:pStyle w:val="null10"/>
              <w:spacing w:lineRule="exact" w:line="200"/>
            </w:pPr>
            <w:r>
              <w:rPr>
                <w:rFonts w:ascii="方正黑体_GBK" w:hAnsi="方正黑体_GBK" w:cs="宋体" w:eastAsia="方正黑体_GBK"/>
                <w:sz w:val="18"/>
                <w:szCs w:val="18"/>
              </w:rPr>
              <w:t>B份额：Y81116</w:t>
            </w:r>
          </w:p>
          <w:p>
            <w:pPr>
              <w:pStyle w:val="null10"/>
              <w:spacing w:lineRule="exact" w:line="200"/>
            </w:pPr>
            <w:r>
              <w:rPr>
                <w:rFonts w:ascii="方正黑体_GBK" w:hAnsi="方正黑体_GBK" w:cs="宋体" w:eastAsia="方正黑体_GBK"/>
                <w:sz w:val="18"/>
                <w:szCs w:val="18"/>
              </w:rPr>
              <w:t>C份额：Y82116</w:t>
            </w:r>
          </w:p>
          <w:p>
            <w:pPr>
              <w:pStyle w:val="null10"/>
              <w:spacing w:lineRule="exact" w:line="200"/>
            </w:pPr>
            <w:r>
              <w:rPr>
                <w:rFonts w:ascii="方正黑体_GBK" w:hAnsi="方正黑体_GBK" w:cs="宋体" w:eastAsia="方正黑体_GBK"/>
                <w:sz w:val="18"/>
                <w:szCs w:val="18"/>
              </w:rPr>
              <w:t>D份额：Y83116</w:t>
            </w:r>
          </w:p>
          <w:p>
            <w:pPr>
              <w:pStyle w:val="null10"/>
              <w:spacing w:lineRule="exact" w:line="200"/>
            </w:pPr>
            <w:r>
              <w:rPr>
                <w:rFonts w:ascii="方正黑体_GBK" w:hAnsi="方正黑体_GBK" w:cs="宋体" w:eastAsia="方正黑体_GBK"/>
                <w:sz w:val="18"/>
                <w:szCs w:val="18"/>
              </w:rPr>
              <w:t>E份额：Y84116</w:t>
            </w:r>
          </w:p>
          <w:p>
            <w:pPr>
              <w:pStyle w:val="null10"/>
              <w:spacing w:lineRule="exact" w:line="200"/>
            </w:pPr>
            <w:r>
              <w:rPr>
                <w:rFonts w:ascii="方正黑体_GBK" w:hAnsi="方正黑体_GBK" w:cs="宋体" w:eastAsia="方正黑体_GBK"/>
                <w:sz w:val="18"/>
                <w:szCs w:val="18"/>
              </w:rPr>
              <w:t>H份额：Y87116</w:t>
            </w:r>
          </w:p>
          <w:p>
            <w:pPr>
              <w:pStyle w:val="null10"/>
              <w:spacing w:lineRule="exact" w:line="200"/>
            </w:pPr>
            <w:r>
              <w:rPr>
                <w:rFonts w:ascii="方正黑体_GBK" w:hAnsi="方正黑体_GBK" w:cs="宋体" w:eastAsia="方正黑体_GBK"/>
                <w:sz w:val="18"/>
                <w:szCs w:val="18"/>
              </w:rPr>
              <w:t>J份额：Y89116</w:t>
            </w:r>
          </w:p>
          <w:p>
            <w:pPr>
              <w:pStyle w:val="null10"/>
              <w:spacing w:lineRule="exact" w:line="200"/>
            </w:pPr>
            <w:r>
              <w:rPr>
                <w:rFonts w:ascii="方正黑体_GBK" w:hAnsi="方正黑体_GBK" w:cs="宋体" w:eastAsia="方正黑体_GBK"/>
                <w:sz w:val="18"/>
                <w:szCs w:val="18"/>
              </w:rPr>
              <w:t>K份额：YA80116</w:t>
            </w:r>
          </w:p>
          <w:p>
            <w:pPr>
              <w:pStyle w:val="null10"/>
              <w:spacing w:lineRule="exact" w:line="200"/>
            </w:pPr>
            <w:r>
              <w:rPr>
                <w:rFonts w:ascii="方正黑体_GBK" w:hAnsi="方正黑体_GBK" w:cs="宋体" w:eastAsia="方正黑体_GBK"/>
                <w:sz w:val="18"/>
                <w:szCs w:val="18"/>
              </w:rPr>
              <w:t>L份额：YB80116</w:t>
            </w:r>
          </w:p>
          <w:p>
            <w:pPr>
              <w:pStyle w:val="null10"/>
              <w:spacing w:lineRule="exact" w:line="200"/>
            </w:pPr>
            <w:r>
              <w:rPr>
                <w:rFonts w:ascii="方正黑体_GBK" w:hAnsi="方正黑体_GBK" w:cs="宋体" w:eastAsia="方正黑体_GBK"/>
                <w:sz w:val="18"/>
                <w:szCs w:val="18"/>
              </w:rPr>
              <w:t>R1份额：YJ80116</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A份额：除B、C、D、E、H、J、K、L、R1份额以外的所有客户（详见“销售机构”条款）。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财富客户)、苏州银行股份有限公司(特邀客户)、秦皇岛银行股份有限公司、潍坊银行股份有限公司、宁波东海银行股份有限公司、齐鲁银行股份有限公司(白金/私行客户)、甘肃银行股份有限公司( 常规客户)、台州银行股份有限公司( 普通客群)、天津农村商业银行股份有限公司(零售客群)、云南红塔银行股份有限公司( 代发客户)、桂林银行股份有限公司( 常规客户)、宁波通商银行股份有限公司( 普通客群)、江苏扬州农村商业银行股份有限公司( 新客户)、江苏江都农村商业银行股份有限公司、江苏镇江农村商业银行股份有限公司(20万元起购 )、江苏如皋农村商业银行股份有限公司( 代发客户)、徐州农村商业银行股份有限公司( 财富客群)、江苏紫金农村商业银行股份有限公司、江苏仪征农村商业银行股份有限公司( 20万元起购)、江苏海安农村商业银行股份有限公司、江苏泰州农村商业银行股份有限公司、枣庄银行股份有限公司( 普通客群)、湖州银行股份有限公司( 代发工资客户专属)。</w:t>
            </w:r>
          </w:p>
          <w:p>
            <w:pPr>
              <w:pStyle w:val="null10"/>
              <w:spacing w:lineRule="exact" w:line="200"/>
            </w:pPr>
            <w:r>
              <w:rPr>
                <w:rFonts w:ascii="方正黑体_GBK" w:hAnsi="方正黑体_GBK" w:cs="宋体" w:eastAsia="方正黑体_GBK"/>
                <w:sz w:val="18"/>
                <w:szCs w:val="18"/>
              </w:rPr>
              <w:t>C份额：烟台银行股份有限公司( 特邀客户)、河北银行股份有限公司(集群客户)、江苏江南农村商业银行股份有限公司(私享客户)、蒙商银行股份有限公司(特邀客户)、郑州银行股份有限公司、苏州银行股份有限公司(新资金客户)、泰安银行股份有限公司、齐鲁银行股份有限公司( 特邀客户)、哈密市商业银行股份有限公司、甘肃银行股份有限公司( 教师节特供)、台州银行股份有限公司(特邀客群)、天津农村商业银行股份有限公司(专项客群)、云南红塔银行股份有限公司、桂林银行股份有限公司(特供客户)、宁波通商银行股份有限公司( 特邀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江苏沛县农村商业银行股份有限公司、江苏仪征农村商业银行股份有限公司( 50万元起购)、枣庄银行股份有限公司( 代发客群)。</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 高净值客户专享份额)、天津农村商业银行股份有限公司(私行客群)、江苏扬州农村商业银行股份有限公司( 公司客户)。</w:t>
            </w:r>
          </w:p>
          <w:p>
            <w:pPr>
              <w:pStyle w:val="null10"/>
              <w:spacing w:lineRule="exact" w:line="200"/>
            </w:pPr>
            <w:r>
              <w:rPr>
                <w:rFonts w:ascii="方正黑体_GBK" w:hAnsi="方正黑体_GBK" w:cs="宋体" w:eastAsia="方正黑体_GBK"/>
                <w:sz w:val="18"/>
                <w:szCs w:val="18"/>
              </w:rPr>
              <w:t>R1份额：兰州银行股份有限公司(1元起售客户）。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A份额/B份额/C份额/D份额/J份额/K份额/L份额/R1份额：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H份额：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A份额/B份额/C份额/D份额/E份额/H份额/J份额/K份额/L份额/R1份额：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2025年12月30日 09:00—2026年01月06日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2026年01月07日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2026年01月07日—实际到期日（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2026年04月16日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A份额：业绩比较基准为1.5%(年化)。</w:t>
            </w:r>
          </w:p>
          <w:p>
            <w:pPr>
              <w:pStyle w:val="null10"/>
              <w:spacing w:lineRule="exact" w:line="200"/>
            </w:pPr>
            <w:r>
              <w:rPr>
                <w:rFonts w:ascii="方正黑体_GBK" w:hAnsi="方正黑体_GBK" w:cs="宋体" w:eastAsia="方正黑体_GBK"/>
                <w:sz w:val="18"/>
                <w:szCs w:val="18"/>
              </w:rPr>
              <w:t>B份额：业绩比较基准为1.6%(年化)。</w:t>
            </w:r>
          </w:p>
          <w:p>
            <w:pPr>
              <w:pStyle w:val="null10"/>
              <w:spacing w:lineRule="exact" w:line="200"/>
            </w:pPr>
            <w:r>
              <w:rPr>
                <w:rFonts w:ascii="方正黑体_GBK" w:hAnsi="方正黑体_GBK" w:cs="宋体" w:eastAsia="方正黑体_GBK"/>
                <w:sz w:val="18"/>
                <w:szCs w:val="18"/>
              </w:rPr>
              <w:t>C份额：业绩比较基准为1.7%(年化)。</w:t>
            </w:r>
          </w:p>
          <w:p>
            <w:pPr>
              <w:pStyle w:val="null10"/>
              <w:spacing w:lineRule="exact" w:line="200"/>
            </w:pPr>
            <w:r>
              <w:rPr>
                <w:rFonts w:ascii="方正黑体_GBK" w:hAnsi="方正黑体_GBK" w:cs="宋体" w:eastAsia="方正黑体_GBK"/>
                <w:sz w:val="18"/>
                <w:szCs w:val="18"/>
              </w:rPr>
              <w:t>D份额：业绩比较基准为1.75%(年化)。</w:t>
            </w:r>
          </w:p>
          <w:p>
            <w:pPr>
              <w:pStyle w:val="null10"/>
              <w:spacing w:lineRule="exact" w:line="200"/>
            </w:pPr>
            <w:r>
              <w:rPr>
                <w:rFonts w:ascii="方正黑体_GBK" w:hAnsi="方正黑体_GBK" w:cs="宋体" w:eastAsia="方正黑体_GBK"/>
                <w:sz w:val="18"/>
                <w:szCs w:val="18"/>
              </w:rPr>
              <w:t>E份额：业绩比较基准为1.65%(年化)。</w:t>
            </w:r>
          </w:p>
          <w:p>
            <w:pPr>
              <w:pStyle w:val="null10"/>
              <w:spacing w:lineRule="exact" w:line="200"/>
            </w:pPr>
            <w:r>
              <w:rPr>
                <w:rFonts w:ascii="方正黑体_GBK" w:hAnsi="方正黑体_GBK" w:cs="宋体" w:eastAsia="方正黑体_GBK"/>
                <w:sz w:val="18"/>
                <w:szCs w:val="18"/>
              </w:rPr>
              <w:t>H份额：业绩比较基准为1.6%(年化)。</w:t>
            </w:r>
          </w:p>
          <w:p>
            <w:pPr>
              <w:pStyle w:val="null10"/>
              <w:spacing w:lineRule="exact" w:line="200"/>
            </w:pPr>
            <w:r>
              <w:rPr>
                <w:rFonts w:ascii="方正黑体_GBK" w:hAnsi="方正黑体_GBK" w:cs="宋体" w:eastAsia="方正黑体_GBK"/>
                <w:sz w:val="18"/>
                <w:szCs w:val="18"/>
              </w:rPr>
              <w:t>J份额：业绩比较基准为1.5%(年化)。</w:t>
            </w:r>
          </w:p>
          <w:p>
            <w:pPr>
              <w:pStyle w:val="null10"/>
              <w:spacing w:lineRule="exact" w:line="200"/>
            </w:pPr>
            <w:r>
              <w:rPr>
                <w:rFonts w:ascii="方正黑体_GBK" w:hAnsi="方正黑体_GBK" w:cs="宋体" w:eastAsia="方正黑体_GBK"/>
                <w:sz w:val="18"/>
                <w:szCs w:val="18"/>
              </w:rPr>
              <w:t>K份额：业绩比较基准为1.75%(年化)。</w:t>
            </w:r>
          </w:p>
          <w:p>
            <w:pPr>
              <w:pStyle w:val="null10"/>
              <w:spacing w:lineRule="exact" w:line="200"/>
            </w:pPr>
            <w:r>
              <w:rPr>
                <w:rFonts w:ascii="方正黑体_GBK" w:hAnsi="方正黑体_GBK" w:cs="宋体" w:eastAsia="方正黑体_GBK"/>
                <w:sz w:val="18"/>
                <w:szCs w:val="18"/>
              </w:rPr>
              <w:t>L份额：业绩比较基准为1.75%(年化)。</w:t>
            </w:r>
          </w:p>
          <w:p>
            <w:pPr>
              <w:pStyle w:val="null10"/>
              <w:spacing w:lineRule="exact" w:line="200"/>
            </w:pPr>
            <w:r>
              <w:rPr>
                <w:rFonts w:ascii="方正黑体_GBK" w:hAnsi="方正黑体_GBK" w:cs="宋体" w:eastAsia="方正黑体_GBK"/>
                <w:sz w:val="18"/>
                <w:szCs w:val="18"/>
              </w:rPr>
              <w:t>R1份额：业绩比较基准为1.6%(年化)。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R1份额：销售费年化0.15%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H份额：固定管理费年化0.1%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R1份额：固定管理费年化0.1%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D份额：到期兑付时，当期产品投资的实际资产组合收益（扣除销售费、固定管理费、托管费等相关费用）超过1.75%（年化，即产品该份额对应的业绩报酬计提基准）时，超过部分管理人将按60%收取业绩报酬。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E份额：到期兑付时，当期产品投资的实际资产组合收益（扣除销售费、固定管理费、托管费等相关费用）超过1.65%（年化，即产品该份额对应的业绩报酬计提基准）时，超过部分管理人将按60%收取业绩报酬。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H份额：到期兑付时，当期产品投资的实际资产组合收益（扣除销售费、固定管理费、托管费等相关费用）超过1.6%（年化，即产品该份额对应的业绩报酬计提基准）时，超过部分管理人将按60%收取业绩报酬。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K份额：到期兑付时，当期产品投资的实际资产组合收益（扣除销售费、固定管理费、托管费等相关费用）超过1.75%（年化，即产品该份额对应的业绩报酬计提基准）时，超过部分管理人将按60%收取业绩报酬。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L份额：到期兑付时，当期产品投资的实际资产组合收益（扣除销售费、固定管理费、托管费等相关费用）超过1.75%（年化，即产品该份额对应的业绩报酬计提基准）时，超过部分管理人将按60%收取业绩报酬。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R1份额：到期兑付时，当期产品投资的实际资产组合收益（扣除销售费、固定管理费、托管费等相关费用）超过1.6%（年化，即产品该份额对应的业绩报酬计提基准）时，超过部分管理人将按60%收取业绩报酬。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兰州银行股份有限公司、东营银行股份有限公司、江苏沛县农村商业银行股份有限公司、潍坊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长安银行股份有限公司、广发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b68e3d2e"/>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f6b8c3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f6b8c3c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f6b8c3c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f6b8c3c0"/>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f6b8c3c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f6b8c3c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f6b8c3c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f6b8c3c0"/>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南银理财珠联璧合鑫逸稳三个月116期封闭式公募人民币理财产品</w:t>
      </w:r>
      <w:r>
        <w:rPr>
          <w:rFonts w:ascii="方正黑体_GBK" w:eastAsia="方正黑体_GBK" w:hint="eastAsia" w:hAnsi="方正黑体_GBK"/>
          <w:vanish w:val="0"/>
          <w:color w:val="3D3D3D"/>
          <w:kern w:val="0"/>
          <w:sz w:val="15"/>
          <w:szCs w:val="15"/>
        </w:rPr>
        <w:t>。</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f6b8c3c0"/>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f6b8c3c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f6b8c3c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f6b8c3c0"/>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efd79e5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efd79e5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efd79e5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efd79e5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efd79e5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efd79e5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f6b8c3c0"/>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f6b8c3c0"/>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f6b8c3c0"/>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b68e3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b68e3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efd79e5e"/>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b68e3d2e"/>
        <w:keepNext w:val="0"/>
        <w:keepLines w:val="0"/>
        <w:pageBreakBefore w:val="0"/>
        <w:widowControl/>
        <w:suppressLineNumbers w:val="0"/>
        <w:suppressAutoHyphens w:val="0"/>
        <w:spacing w:line="200" w:lineRule="exact"/>
        <w:ind w:firstLineChars="200" w:firstLine="300"/>
        <w:rPr>
          <w:rStyle w:val="efd79e5e"/>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b68e3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b68e3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b68e3d2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b68e3d2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b68e3d2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b68e3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b68e3d2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b68e3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b68e3d2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b68e3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b68e3d2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b68e3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b68e3d2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b68e3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b68e3d2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b68e3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b68e3d2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b68e3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b68e3d2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b68e3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b68e3d2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b68e3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b68e3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b68e3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b68e3d2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b68e3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b68e3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b68e3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b68e3d2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b68e3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b68e3d2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b68e3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b68e3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b68e3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b68e3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b68e3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b68e3d2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b68e3d2e"/>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3"/>
  </w:num>
  <w:num w:numId="3">
    <w:abstractNumId w:val="2"/>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4d9f4004">
    <w:name w:val="Normal4d9f4004"/>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a907553">
    <w:name w:val="heading 1fa907553"/>
    <w:basedOn w:val="4d9f400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9f9d272">
    <w:name w:val="heading 219f9d272"/>
    <w:basedOn w:val="4d9f400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c88a02a">
    <w:name w:val="heading 33c88a02a"/>
    <w:basedOn w:val="4d9f400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5df6f91">
    <w:name w:val="Default Paragraph Font05df6f91"/>
  </w:style>
  <w:style xmlns:r="http://schemas.openxmlformats.org/officeDocument/2006/relationships" w:type="paragraph" w:styleId="5d126f32">
    <w:name w:val="toc 15d126f32"/>
    <w:basedOn w:val="4d9f4004"/>
    <w:autoRedefine/>
    <w:next w:val="0"/>
  </w:style>
  <w:style xmlns:r="http://schemas.openxmlformats.org/officeDocument/2006/relationships" w:type="paragraph" w:styleId="6aeccc23">
    <w:name w:val="toc 26aeccc23"/>
    <w:basedOn w:val="4d9f4004"/>
    <w:autoRedefine/>
    <w:next w:val="0"/>
    <w:pPr>
      <w:ind w:left="420"/>
    </w:pPr>
  </w:style>
  <w:style xmlns:r="http://schemas.openxmlformats.org/officeDocument/2006/relationships" w:type="paragraph" w:styleId="7a8eb780">
    <w:name w:val="toc 37a8eb780"/>
    <w:basedOn w:val="4d9f4004"/>
    <w:autoRedefine/>
    <w:next w:val="0"/>
    <w:pPr>
      <w:ind w:left="840"/>
    </w:pPr>
  </w:style>
  <w:style xmlns:r="http://schemas.openxmlformats.org/officeDocument/2006/relationships" w:type="paragraph" w:styleId="b469efbf">
    <w:name w:val="toc 4b469efbf"/>
    <w:basedOn w:val="4d9f4004"/>
    <w:autoRedefine/>
    <w:next w:val="0"/>
    <w:pPr>
      <w:ind w:left="1260"/>
    </w:pPr>
  </w:style>
  <w:style xmlns:r="http://schemas.openxmlformats.org/officeDocument/2006/relationships" w:type="paragraph" w:styleId="fa354726">
    <w:name w:val="toc 5fa354726"/>
    <w:basedOn w:val="4d9f4004"/>
    <w:autoRedefine/>
    <w:next w:val="0"/>
    <w:pPr>
      <w:ind w:left="1680"/>
    </w:pPr>
  </w:style>
  <w:style xmlns:r="http://schemas.openxmlformats.org/officeDocument/2006/relationships" w:type="paragraph" w:styleId="fa624ccd">
    <w:name w:val="headerfa624ccd"/>
    <w:basedOn w:val="4d9f400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28cdc57">
    <w:name w:val="footer128cdc57"/>
    <w:basedOn w:val="4d9f4004"/>
    <w:pPr>
      <w:tabs>
        <w:tab w:val="center" w:pos="4153"/>
        <w:tab w:val="right" w:pos="8307"/>
      </w:tabs>
      <w:adjustRightInd/>
      <w:snapToGrid w:val="0"/>
      <w:contextualSpacing w:val="0"/>
      <w:jc w:val="left"/>
    </w:pPr>
    <w:rPr>
      <w:sz w:val="18"/>
    </w:rPr>
  </w:style>
  <w:style xmlns:r="http://schemas.openxmlformats.org/officeDocument/2006/relationships" w:type="character" w:styleId="565573d4">
    <w:name w:val="Strong565573d4"/>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68e3d2e">
    <w:name w:val="Normalb68e3d2e"/>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565d0f16">
    <w:name w:val="heading 1565d0f16"/>
    <w:basedOn w:val="b68e3d2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2718926">
    <w:name w:val="heading 252718926"/>
    <w:basedOn w:val="b68e3d2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7e1f136">
    <w:name w:val="heading 347e1f136"/>
    <w:basedOn w:val="b68e3d2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87750e7">
    <w:name w:val="Default Paragraph Font787750e7"/>
  </w:style>
  <w:style xmlns:r="http://schemas.openxmlformats.org/officeDocument/2006/relationships" w:type="paragraph" w:styleId="5c14471f">
    <w:name w:val="Normal Indent5c14471f"/>
    <w:basedOn w:val="b68e3d2e"/>
    <w:pPr>
      <w:ind w:firstLineChars="200" w:firstLine="200"/>
    </w:pPr>
  </w:style>
  <w:style xmlns:r="http://schemas.openxmlformats.org/officeDocument/2006/relationships" w:type="paragraph" w:styleId="a54088a1">
    <w:name w:val="toc 5a54088a1"/>
    <w:basedOn w:val="b68e3d2e"/>
    <w:next w:val="0"/>
    <w:pPr>
      <w:ind w:left="1680"/>
    </w:pPr>
  </w:style>
  <w:style xmlns:r="http://schemas.openxmlformats.org/officeDocument/2006/relationships" w:type="paragraph" w:styleId="e12cd1a1">
    <w:name w:val="toc 3e12cd1a1"/>
    <w:basedOn w:val="b68e3d2e"/>
    <w:next w:val="0"/>
    <w:pPr>
      <w:ind w:left="840"/>
    </w:pPr>
  </w:style>
  <w:style xmlns:r="http://schemas.openxmlformats.org/officeDocument/2006/relationships" w:type="paragraph" w:styleId="2bbd202c">
    <w:name w:val="footer2bbd202c"/>
    <w:basedOn w:val="b68e3d2e"/>
    <w:pPr>
      <w:tabs>
        <w:tab w:val="center" w:pos="4153"/>
        <w:tab w:val="right" w:pos="8307"/>
      </w:tabs>
      <w:adjustRightInd/>
      <w:snapToGrid w:val="0"/>
      <w:contextualSpacing w:val="0"/>
      <w:jc w:val="left"/>
    </w:pPr>
    <w:rPr>
      <w:sz w:val="18"/>
    </w:rPr>
  </w:style>
  <w:style xmlns:r="http://schemas.openxmlformats.org/officeDocument/2006/relationships" w:type="paragraph" w:styleId="b90d08a4">
    <w:name w:val="headerb90d08a4"/>
    <w:basedOn w:val="b68e3d2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31c6dec">
    <w:name w:val="toc 1e31c6dec"/>
    <w:basedOn w:val="b68e3d2e"/>
    <w:next w:val="0"/>
  </w:style>
  <w:style xmlns:r="http://schemas.openxmlformats.org/officeDocument/2006/relationships" w:type="paragraph" w:styleId="433a146b">
    <w:name w:val="toc 4433a146b"/>
    <w:basedOn w:val="b68e3d2e"/>
    <w:next w:val="0"/>
    <w:pPr>
      <w:ind w:left="1260"/>
    </w:pPr>
  </w:style>
  <w:style xmlns:r="http://schemas.openxmlformats.org/officeDocument/2006/relationships" w:type="paragraph" w:styleId="25d33286">
    <w:name w:val="toc 225d33286"/>
    <w:basedOn w:val="b68e3d2e"/>
    <w:next w:val="0"/>
    <w:pPr>
      <w:ind w:left="420"/>
    </w:pPr>
  </w:style>
  <w:style xmlns:r="http://schemas.openxmlformats.org/officeDocument/2006/relationships" w:type="paragraph" w:styleId="05000fd8">
    <w:name w:val="Normal (Web)05000fd8"/>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6b8c3c0">
    <w:name w:val="Normalf6b8c3c0f6b8c3c0"/>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2a4383a5">
    <w:name w:val="heading 12a4383a52a4383a5"/>
    <w:basedOn w:val="f6b8c3c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a5da53f">
    <w:name w:val="heading 21a5da53f1a5da53f"/>
    <w:basedOn w:val="f6b8c3c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c53219c">
    <w:name w:val="heading 30c53219c0c53219c"/>
    <w:basedOn w:val="f6b8c3c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018600f">
    <w:name w:val="Default Paragraph Fontd018600fd018600f"/>
  </w:style>
  <w:style xmlns:r="http://schemas.openxmlformats.org/officeDocument/2006/relationships" w:type="paragraph" w:customStyle="1" w:styleId="dc43cf32">
    <w:name w:val="引文目录1dc43cf32dc43cf32"/>
    <w:basedOn w:val="f6b8c3c0"/>
    <w:next w:val="0"/>
    <w:pPr>
      <w:ind w:leftChars="200" w:left="200"/>
    </w:pPr>
  </w:style>
  <w:style xmlns:r="http://schemas.openxmlformats.org/officeDocument/2006/relationships" w:type="paragraph" w:styleId="d50dd50d">
    <w:name w:val="toc 5d50dd50dd50dd50d"/>
    <w:basedOn w:val="f6b8c3c0"/>
    <w:next w:val="0"/>
    <w:pPr>
      <w:ind w:left="1680"/>
    </w:pPr>
  </w:style>
  <w:style xmlns:r="http://schemas.openxmlformats.org/officeDocument/2006/relationships" w:type="paragraph" w:styleId="16a048bf">
    <w:name w:val="toc 316a048bf16a048bf"/>
    <w:basedOn w:val="f6b8c3c0"/>
    <w:next w:val="0"/>
    <w:pPr>
      <w:ind w:left="840"/>
    </w:pPr>
  </w:style>
  <w:style xmlns:r="http://schemas.openxmlformats.org/officeDocument/2006/relationships" w:type="paragraph" w:styleId="144370b4">
    <w:name w:val="footer144370b4144370b4"/>
    <w:basedOn w:val="f6b8c3c0"/>
    <w:pPr>
      <w:tabs>
        <w:tab w:val="center" w:pos="4153"/>
        <w:tab w:val="right" w:pos="8307"/>
      </w:tabs>
      <w:adjustRightInd/>
      <w:snapToGrid w:val="0"/>
      <w:contextualSpacing w:val="0"/>
      <w:jc w:val="left"/>
    </w:pPr>
    <w:rPr>
      <w:sz w:val="18"/>
    </w:rPr>
  </w:style>
  <w:style xmlns:r="http://schemas.openxmlformats.org/officeDocument/2006/relationships" w:type="paragraph" w:styleId="b920821b">
    <w:name w:val="headerb920821bb920821b"/>
    <w:basedOn w:val="f6b8c3c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f042562">
    <w:name w:val="toc 1cf042562cf042562"/>
    <w:basedOn w:val="f6b8c3c0"/>
    <w:next w:val="0"/>
  </w:style>
  <w:style xmlns:r="http://schemas.openxmlformats.org/officeDocument/2006/relationships" w:type="paragraph" w:styleId="21ed25f1">
    <w:name w:val="toc 421ed25f121ed25f1"/>
    <w:basedOn w:val="f6b8c3c0"/>
    <w:next w:val="0"/>
    <w:pPr>
      <w:ind w:left="1260"/>
    </w:pPr>
  </w:style>
  <w:style xmlns:r="http://schemas.openxmlformats.org/officeDocument/2006/relationships" w:type="paragraph" w:styleId="38e2138c">
    <w:name w:val="toc 238e2138c38e2138c"/>
    <w:basedOn w:val="f6b8c3c0"/>
    <w:next w:val="0"/>
    <w:pPr>
      <w:ind w:left="420"/>
    </w:pPr>
  </w:style>
  <w:style xmlns:r="http://schemas.openxmlformats.org/officeDocument/2006/relationships" w:type="paragraph" w:customStyle="1" w:styleId="efd79e5e">
    <w:name w:val="列出段落1efd79e5eefd79e5e"/>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