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类型：开放式、固定收益类、公募、净值型。</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c946b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c946ba3"/>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90fd7a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90fd7a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cef89d5"/>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南银理财珠联璧合悦稳（最低持有28天）公募人民币理财产品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ZZ700322300921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Z7003223000077(投资者可依据该编码在中国理财网www.chinawealth.com.cn查询理财产品相关信息）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A份额：A32009</w:t>
            </w:r>
          </w:p>
          <w:p>
            <w:pPr>
              <w:pStyle w:val="null10"/>
              <w:spacing w:lineRule="exact" w:line="200"/>
            </w:pPr>
            <w:r>
              <w:rPr>
                <w:rFonts w:ascii="方正黑体_GBK" w:hAnsi="方正黑体_GBK" w:cs="宋体" w:eastAsia="方正黑体_GBK"/>
                <w:sz w:val="18"/>
                <w:szCs w:val="18"/>
              </w:rPr>
              <w:t>B份额：A32010</w:t>
            </w:r>
          </w:p>
          <w:p>
            <w:pPr>
              <w:pStyle w:val="null10"/>
              <w:spacing w:lineRule="exact" w:line="200"/>
            </w:pPr>
            <w:r>
              <w:rPr>
                <w:rFonts w:ascii="方正黑体_GBK" w:hAnsi="方正黑体_GBK" w:cs="宋体" w:eastAsia="方正黑体_GBK"/>
                <w:sz w:val="18"/>
                <w:szCs w:val="18"/>
              </w:rPr>
              <w:t>C份额：A32029</w:t>
            </w:r>
          </w:p>
          <w:p>
            <w:pPr>
              <w:pStyle w:val="null10"/>
              <w:spacing w:lineRule="exact" w:line="200"/>
            </w:pPr>
            <w:r>
              <w:rPr>
                <w:rFonts w:ascii="方正黑体_GBK" w:hAnsi="方正黑体_GBK" w:cs="宋体" w:eastAsia="方正黑体_GBK"/>
                <w:sz w:val="18"/>
                <w:szCs w:val="18"/>
              </w:rPr>
              <w:t>D份额：A32032</w:t>
            </w:r>
          </w:p>
          <w:p>
            <w:pPr>
              <w:pStyle w:val="null10"/>
              <w:spacing w:lineRule="exact" w:line="200"/>
            </w:pPr>
            <w:r>
              <w:rPr>
                <w:rFonts w:ascii="方正黑体_GBK" w:hAnsi="方正黑体_GBK" w:cs="宋体" w:eastAsia="方正黑体_GBK"/>
                <w:sz w:val="18"/>
                <w:szCs w:val="18"/>
              </w:rPr>
              <w:t>E份额：A32114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A份额：面向所有销售机构的所有客户销售</w:t>
            </w:r>
          </w:p>
          <w:p>
            <w:pPr>
              <w:pStyle w:val="null10"/>
              <w:spacing w:lineRule="exact" w:line="200"/>
            </w:pPr>
            <w:r>
              <w:rPr>
                <w:rFonts w:ascii="方正黑体_GBK" w:hAnsi="方正黑体_GBK" w:cs="宋体" w:eastAsia="方正黑体_GBK"/>
                <w:sz w:val="18"/>
                <w:szCs w:val="18"/>
              </w:rPr>
              <w:t>B份额：面向南京银行私行客户、钻石客户、新晋私行客户、新晋钻石客户及南京银行认定的其他符合标准的客户销售</w:t>
            </w:r>
          </w:p>
          <w:p>
            <w:pPr>
              <w:pStyle w:val="null10"/>
              <w:spacing w:lineRule="exact" w:line="200"/>
            </w:pPr>
            <w:r>
              <w:rPr>
                <w:rFonts w:ascii="方正黑体_GBK" w:hAnsi="方正黑体_GBK" w:cs="宋体" w:eastAsia="方正黑体_GBK"/>
                <w:sz w:val="18"/>
                <w:szCs w:val="18"/>
              </w:rPr>
              <w:t>C份额：面向网商银行客户</w:t>
            </w:r>
          </w:p>
          <w:p>
            <w:pPr>
              <w:pStyle w:val="null10"/>
              <w:spacing w:lineRule="exact" w:line="200"/>
            </w:pPr>
            <w:r>
              <w:rPr>
                <w:rFonts w:ascii="方正黑体_GBK" w:hAnsi="方正黑体_GBK" w:cs="宋体" w:eastAsia="方正黑体_GBK"/>
                <w:sz w:val="18"/>
                <w:szCs w:val="18"/>
              </w:rPr>
              <w:t>D份额：南京银行股份有限公司特邀新资金客户</w:t>
            </w:r>
          </w:p>
          <w:p>
            <w:pPr>
              <w:pStyle w:val="null10"/>
              <w:spacing w:lineRule="exact" w:line="200"/>
            </w:pPr>
            <w:r>
              <w:rPr>
                <w:rFonts w:ascii="方正黑体_GBK" w:hAnsi="方正黑体_GBK" w:cs="宋体" w:eastAsia="方正黑体_GBK"/>
                <w:sz w:val="18"/>
                <w:szCs w:val="18"/>
              </w:rPr>
              <w:t>E份额：鑫福款专属份额面向以下机构的客户：江苏苏州农村商业银行股份有限公司、江苏常熟农村商业银行股份有限公司、江苏太仓农村商业银行股份有限公司、江苏张家港农村商业银行股份有限公司、江苏紫金农村商业银行股份有限公司、江苏仪征农村商业银行股份有限公司、江苏镇江农村商业银行股份有限公司、江苏丰县农村商业银行股份有限公司、江苏邳州农村商业银行股份有限公司、江苏大丰农村商业银行股份有限公司、江苏扬州农村商业银行股份有限公司、江苏高邮农村商业银行股份有限公司、江苏丹阳农村商业银行股份有限公司、连云港东方农村商业银行股份有限公司客户，及南银理财有限责任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w:t>
            </w:r>
          </w:p>
          <w:p>
            <w:pPr>
              <w:pStyle w:val="null10"/>
              <w:spacing w:lineRule="exact" w:line="200"/>
            </w:pPr>
            <w:r>
              <w:rPr>
                <w:rFonts w:ascii="方正黑体_GBK" w:hAnsi="方正黑体_GBK" w:cs="宋体" w:eastAsia="方正黑体_GBK"/>
                <w:sz w:val="18"/>
                <w:szCs w:val="18"/>
              </w:rPr>
              <w:t>个人投资者：单个投资者持有金额上限1亿；</w:t>
            </w:r>
          </w:p>
          <w:p>
            <w:pPr>
              <w:pStyle w:val="null10"/>
              <w:spacing w:lineRule="exact" w:line="200"/>
            </w:pPr>
            <w:r>
              <w:rPr>
                <w:rFonts w:ascii="方正黑体_GBK" w:hAnsi="方正黑体_GBK" w:cs="宋体" w:eastAsia="方正黑体_GBK"/>
                <w:sz w:val="18"/>
                <w:szCs w:val="18"/>
              </w:rPr>
              <w:t>机构投资者：单个投资者持有金额上限5亿；</w:t>
            </w:r>
          </w:p>
          <w:p>
            <w:pPr>
              <w:pStyle w:val="null10"/>
              <w:spacing w:lineRule="exact" w:line="200"/>
            </w:pPr>
            <w:r>
              <w:rPr>
                <w:rFonts w:ascii="方正黑体_GBK" w:hAnsi="方正黑体_GBK" w:cs="宋体" w:eastAsia="方正黑体_GBK"/>
                <w:sz w:val="18"/>
                <w:szCs w:val="18"/>
              </w:rPr>
              <w:t>B份额/C份额/E份额：</w:t>
            </w:r>
          </w:p>
          <w:p>
            <w:pPr>
              <w:pStyle w:val="null10"/>
              <w:spacing w:lineRule="exact" w:line="200"/>
            </w:pPr>
            <w:r>
              <w:rPr>
                <w:rFonts w:ascii="方正黑体_GBK" w:hAnsi="方正黑体_GBK" w:cs="宋体" w:eastAsia="方正黑体_GBK"/>
                <w:sz w:val="18"/>
                <w:szCs w:val="18"/>
              </w:rPr>
              <w:t>个人投资者：单个投资者持有金额上限1亿；</w:t>
            </w:r>
          </w:p>
          <w:p>
            <w:pPr>
              <w:pStyle w:val="null10"/>
              <w:spacing w:lineRule="exact" w:line="200"/>
            </w:pPr>
            <w:r>
              <w:rPr>
                <w:rFonts w:ascii="方正黑体_GBK" w:hAnsi="方正黑体_GBK" w:cs="宋体" w:eastAsia="方正黑体_GBK"/>
                <w:sz w:val="18"/>
                <w:szCs w:val="18"/>
              </w:rPr>
              <w:t>机构投资者：单个投资者持有金额上限1亿；</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个人投资者：单个投资者持有金额上限10亿；</w:t>
            </w:r>
          </w:p>
          <w:p>
            <w:pPr>
              <w:pStyle w:val="null10"/>
              <w:spacing w:lineRule="exact" w:line="200"/>
            </w:pPr>
            <w:r>
              <w:rPr>
                <w:rFonts w:ascii="方正黑体_GBK" w:hAnsi="方正黑体_GBK" w:cs="宋体" w:eastAsia="方正黑体_GBK"/>
                <w:sz w:val="18"/>
                <w:szCs w:val="18"/>
              </w:rPr>
              <w:t>机构投资者：单个投资者持有金额上限10亿；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ind w:left="0" w:firstLine="0"/>
              <w:jc w:val="left"/>
              <w:rPr>
                <w:rFonts w:ascii="方正黑体_GBK" w:hint="eastAsia" w:hAnsi="方正黑体_GBK" w:eastAsia="方正黑体_GBK"/>
                <w:kern w:val="0"/>
                <w:sz w:val="18"/>
                <w:szCs w:val="18"/>
              </w:rPr>
            </w:pPr>
            <w:r>
              <w:rPr>
                <w:rFonts w:ascii="方正黑体_GBK" w:hint="eastAsia" w:hAnsi="方正黑体_GBK" w:eastAsia="方正黑体_GBK"/>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单日单户赎回份额上限，是指单个投资者在最近一个产品开放日17：00（不含）至下一产品开放日17：00（含）之间发起的净赎回总份额上限。</w:t>
            </w:r>
          </w:p>
          <w:p>
            <w:pPr>
              <w:pStyle w:val="null10"/>
              <w:spacing w:lineRule="exact" w:line="200"/>
            </w:pPr>
            <w:r>
              <w:rPr>
                <w:rFonts w:ascii="方正黑体_GBK" w:hAnsi="方正黑体_GBK" w:cs="宋体" w:eastAsia="方正黑体_GBK"/>
                <w:sz w:val="18"/>
                <w:szCs w:val="18"/>
              </w:rPr>
              <w:t>A份额：</w:t>
            </w:r>
          </w:p>
          <w:p>
            <w:pPr>
              <w:pStyle w:val="null10"/>
              <w:spacing w:lineRule="exact" w:line="200"/>
            </w:pPr>
            <w:r>
              <w:rPr>
                <w:rFonts w:ascii="方正黑体_GBK" w:hAnsi="方正黑体_GBK" w:cs="宋体" w:eastAsia="方正黑体_GBK"/>
                <w:sz w:val="18"/>
                <w:szCs w:val="18"/>
              </w:rPr>
              <w:t>个人投资者：单日单户赎回份额上限为1亿份；</w:t>
            </w:r>
          </w:p>
          <w:p>
            <w:pPr>
              <w:pStyle w:val="null10"/>
              <w:spacing w:lineRule="exact" w:line="200"/>
            </w:pPr>
            <w:r>
              <w:rPr>
                <w:rFonts w:ascii="方正黑体_GBK" w:hAnsi="方正黑体_GBK" w:cs="宋体" w:eastAsia="方正黑体_GBK"/>
                <w:sz w:val="18"/>
                <w:szCs w:val="18"/>
              </w:rPr>
              <w:t>机构投资者：单日单户赎回份额上限为3亿份；</w:t>
            </w:r>
          </w:p>
          <w:p>
            <w:pPr>
              <w:pStyle w:val="null10"/>
              <w:spacing w:lineRule="exact" w:line="200"/>
            </w:pPr>
            <w:r>
              <w:rPr>
                <w:rFonts w:ascii="方正黑体_GBK" w:hAnsi="方正黑体_GBK" w:cs="宋体" w:eastAsia="方正黑体_GBK"/>
                <w:sz w:val="18"/>
                <w:szCs w:val="18"/>
              </w:rPr>
              <w:t>B份额/C份额/E份额：</w:t>
            </w:r>
          </w:p>
          <w:p>
            <w:pPr>
              <w:pStyle w:val="null10"/>
              <w:spacing w:lineRule="exact" w:line="200"/>
            </w:pPr>
            <w:r>
              <w:rPr>
                <w:rFonts w:ascii="方正黑体_GBK" w:hAnsi="方正黑体_GBK" w:cs="宋体" w:eastAsia="方正黑体_GBK"/>
                <w:sz w:val="18"/>
                <w:szCs w:val="18"/>
              </w:rPr>
              <w:t>个人投资者：单日单户赎回份额上限为1亿份；</w:t>
            </w:r>
          </w:p>
          <w:p>
            <w:pPr>
              <w:pStyle w:val="null10"/>
              <w:spacing w:lineRule="exact" w:line="200"/>
            </w:pPr>
            <w:r>
              <w:rPr>
                <w:rFonts w:ascii="方正黑体_GBK" w:hAnsi="方正黑体_GBK" w:cs="宋体" w:eastAsia="方正黑体_GBK"/>
                <w:sz w:val="18"/>
                <w:szCs w:val="18"/>
              </w:rPr>
              <w:t>机构投资者：单日单户赎回份额上限为1亿份；</w:t>
            </w:r>
          </w:p>
          <w:p>
            <w:pPr>
              <w:pStyle w:val="null10"/>
              <w:spacing w:lineRule="exact" w:line="200"/>
            </w:pPr>
            <w:r>
              <w:rPr>
                <w:rFonts w:ascii="方正黑体_GBK" w:hAnsi="方正黑体_GBK" w:cs="宋体" w:eastAsia="方正黑体_GBK"/>
                <w:sz w:val="18"/>
                <w:szCs w:val="18"/>
              </w:rPr>
              <w:t>D份额：</w:t>
            </w:r>
          </w:p>
          <w:p>
            <w:pPr>
              <w:pStyle w:val="null10"/>
              <w:spacing w:lineRule="exact" w:line="200"/>
            </w:pPr>
            <w:r>
              <w:rPr>
                <w:rFonts w:ascii="方正黑体_GBK" w:hAnsi="方正黑体_GBK" w:cs="宋体" w:eastAsia="方正黑体_GBK"/>
                <w:sz w:val="18"/>
                <w:szCs w:val="18"/>
              </w:rPr>
              <w:t>个人投资者：单日单户赎回份额上限为2亿份；</w:t>
            </w:r>
          </w:p>
          <w:p>
            <w:pPr>
              <w:pStyle w:val="null10"/>
              <w:spacing w:lineRule="exact" w:line="200"/>
            </w:pPr>
            <w:r>
              <w:rPr>
                <w:rFonts w:ascii="方正黑体_GBK" w:hAnsi="方正黑体_GBK" w:cs="宋体" w:eastAsia="方正黑体_GBK"/>
                <w:sz w:val="18"/>
                <w:szCs w:val="18"/>
              </w:rPr>
              <w:t>机构投资者：单日单户赎回份额上限为2亿份；</w:t>
            </w:r>
          </w:p>
          <w:p>
            <w:pPr>
              <w:pStyle w:val="null10"/>
              <w:spacing w:lineRule="exact" w:line="200"/>
            </w:pPr>
            <w:r>
              <w:rPr>
                <w:rFonts w:ascii="方正黑体_GBK" w:hAnsi="方正黑体_GBK" w:cs="宋体" w:eastAsia="方正黑体_GBK"/>
                <w:sz w:val="18"/>
                <w:szCs w:val="18"/>
              </w:rPr>
              <w:t>注：1.该单日单户赎回份额上限管理人有权进行调整或取消，并在调整或取消前至少3个工作日公告。</w:t>
            </w:r>
          </w:p>
          <w:p>
            <w:pPr>
              <w:pStyle w:val="null10"/>
              <w:spacing w:lineRule="exact" w:line="200"/>
            </w:pPr>
            <w:r>
              <w:rPr>
                <w:rFonts w:ascii="方正黑体_GBK" w:hAnsi="方正黑体_GBK" w:cs="宋体" w:eastAsia="方正黑体_GBK"/>
                <w:sz w:val="18"/>
                <w:b/>
                <w:szCs w:val="18"/>
              </w:rPr>
              <w:t>2.当投资者发起的最近一笔赎回申请超过投资者单日单户赎回份额上限时，销售机构或管理人有权拒绝投资者该笔赎回申请，投资者需重新进行资金安排。</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2023年04月18日 09:00—2023年04月24日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pPr>
            <w:r>
              <w:rPr>
                <w:sz w:val="18"/>
                <w:szCs w:val="18"/>
                <w:rFonts w:ascii="方正黑体_GBK" w:hAnsi="方正黑体_GBK" w:eastAsia="方正黑体_GBK"/>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2023年04月25日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2023年04月25日—实际到期日（若本理财产品未被提前终止或延期终止，则实际到期日即为名义到期日，存续期限10年；若本理财产品被提前终止或延期终止，则实际到期日为提前终止日或延期终止日。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2033年04月28日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spacing w:lineRule="exact" w:line="200"/>
              <w:jc w:val="left"/>
            </w:pPr>
            <w:r>
              <w:rPr>
                <w:rFonts w:ascii="方正黑体_GBK" w:hAnsi="方正黑体_GBK" w:cs="宋体" w:eastAsia="方正黑体_GBK"/>
                <w:sz w:val="18"/>
                <w:b/>
                <w:szCs w:val="18"/>
              </w:rPr>
              <w:t>产品开放日17:00（含）前的申购于当日受理，其他时间的申购于下一产品开放日受理。</w:t>
            </w:r>
            <w:r>
              <w:rPr>
                <w:rFonts w:ascii="方正黑体_GBK" w:hAnsi="方正黑体_GBK" w:cs="宋体" w:eastAsia="方正黑体_GBK"/>
                <w:sz w:val="18"/>
                <w:szCs w:val="18"/>
              </w:rPr>
              <w:t>上述申购规则如下（系统批处理时间内无法操作）：</w:t>
            </w:r>
          </w:p>
          <w:tbl>
            <w:tblPr>
              <w:tblW w:w="0" w:type="auto"/>
              <w:tblBorders>
                <w:top w:val="single"/>
                <w:left w:val="single"/>
                <w:bottom w:val="single"/>
                <w:right w:val="single"/>
                <w:insideH w:val="single"/>
                <w:insideV w:val="single"/>
              </w:tblBorders>
            </w:tblPr>
            <w:tblGrid>
              <w:gridCol w:w="1795"/>
              <w:gridCol w:w="1795"/>
              <w:gridCol w:w="1795"/>
            </w:tblGrid>
            <w:tr>
              <w:tc>
                <w:tcPr>
                  <w:tcW w:type="dxa" w:w="1795"/>
                </w:tcPr>
                <w:p>
                  <w:pPr>
                    <w:pStyle w:val="null10"/>
                    <w:spacing w:lineRule="exact" w:line="200"/>
                  </w:pPr>
                  <w:r>
                    <w:rPr>
                      <w:rFonts w:ascii="方正黑体_GBK" w:hAnsi="方正黑体_GBK" w:cs="宋体" w:eastAsia="方正黑体_GBK"/>
                      <w:sz w:val="18"/>
                      <w:szCs w:val="18"/>
                    </w:rPr>
                    <w:t>申购时间</w:t>
                  </w:r>
                </w:p>
              </w:tc>
              <w:tc>
                <w:tcPr>
                  <w:tcW w:type="dxa" w:w="1795"/>
                </w:tcPr>
                <w:p>
                  <w:pPr>
                    <w:pStyle w:val="null10"/>
                    <w:spacing w:lineRule="exact" w:line="200"/>
                  </w:pPr>
                  <w:r>
                    <w:rPr>
                      <w:rFonts w:ascii="方正黑体_GBK" w:hAnsi="方正黑体_GBK" w:cs="宋体" w:eastAsia="方正黑体_GBK"/>
                      <w:sz w:val="18"/>
                      <w:szCs w:val="18"/>
                    </w:rPr>
                    <w:t>申购受理日</w:t>
                  </w:r>
                </w:p>
              </w:tc>
              <w:tc>
                <w:tcPr>
                  <w:tcW w:type="dxa" w:w="1795"/>
                </w:tcPr>
                <w:p>
                  <w:pPr>
                    <w:pStyle w:val="null10"/>
                    <w:spacing w:lineRule="exact" w:line="200"/>
                  </w:pPr>
                  <w:r>
                    <w:rPr>
                      <w:rFonts w:ascii="方正黑体_GBK" w:hAnsi="方正黑体_GBK" w:cs="宋体" w:eastAsia="方正黑体_GBK"/>
                      <w:sz w:val="18"/>
                      <w:szCs w:val="18"/>
                    </w:rPr>
                    <w:t>份额运作起始日</w:t>
                  </w:r>
                </w:p>
              </w:tc>
            </w:tr>
            <w:tr>
              <w:tc>
                <w:tcPr>
                  <w:tcW w:type="dxa" w:w="1795"/>
                </w:tcPr>
                <w:p>
                  <w:pPr>
                    <w:pStyle w:val="null10"/>
                    <w:spacing w:lineRule="exact" w:line="200"/>
                  </w:pPr>
                  <w:r>
                    <w:rPr>
                      <w:rFonts w:ascii="方正黑体_GBK" w:hAnsi="方正黑体_GBK" w:cs="宋体" w:eastAsia="方正黑体_GBK"/>
                      <w:sz w:val="18"/>
                      <w:szCs w:val="18"/>
                    </w:rPr>
                    <w:t>产品开放日：0:00-17:00（含）</w:t>
                  </w:r>
                </w:p>
              </w:tc>
              <w:tc>
                <w:tcPr>
                  <w:tcW w:type="dxa" w:w="1795"/>
                </w:tcPr>
                <w:p>
                  <w:pPr>
                    <w:pStyle w:val="null10"/>
                    <w:spacing w:lineRule="exact" w:line="200"/>
                  </w:pPr>
                  <w:r>
                    <w:rPr>
                      <w:rFonts w:ascii="方正黑体_GBK" w:hAnsi="方正黑体_GBK" w:cs="宋体" w:eastAsia="方正黑体_GBK"/>
                      <w:sz w:val="18"/>
                      <w:szCs w:val="18"/>
                    </w:rPr>
                    <w:t>当日</w:t>
                  </w:r>
                </w:p>
              </w:tc>
              <w:tc>
                <w:tcPr>
                  <w:tcW w:type="dxa" w:w="1795"/>
                </w:tcPr>
                <w:p>
                  <w:pPr>
                    <w:pStyle w:val="null10"/>
                    <w:spacing w:lineRule="exact" w:line="200"/>
                  </w:pPr>
                  <w:r>
                    <w:rPr>
                      <w:rFonts w:ascii="方正黑体_GBK" w:hAnsi="方正黑体_GBK" w:cs="宋体" w:eastAsia="方正黑体_GBK"/>
                      <w:sz w:val="18"/>
                      <w:szCs w:val="18"/>
                    </w:rPr>
                    <w:t>申购受理日下一产品开放日</w:t>
                  </w:r>
                </w:p>
              </w:tc>
            </w:tr>
            <w:tr>
              <w:tc>
                <w:tcPr>
                  <w:tcW w:type="dxa" w:w="1795"/>
                </w:tcPr>
                <w:p>
                  <w:pPr>
                    <w:pStyle w:val="null10"/>
                    <w:spacing w:lineRule="exact" w:line="200"/>
                  </w:pPr>
                  <w:r>
                    <w:rPr>
                      <w:rFonts w:ascii="方正黑体_GBK" w:hAnsi="方正黑体_GBK" w:cs="宋体" w:eastAsia="方正黑体_GBK"/>
                      <w:sz w:val="18"/>
                      <w:szCs w:val="18"/>
                    </w:rPr>
                    <w:t>产品开放日：17:00（不含）-24:00或非产品开放日</w:t>
                  </w:r>
                </w:p>
              </w:tc>
              <w:tc>
                <w:tcPr>
                  <w:tcW w:type="dxa" w:w="1795"/>
                </w:tcPr>
                <w:p>
                  <w:pPr>
                    <w:pStyle w:val="null10"/>
                    <w:spacing w:lineRule="exact" w:line="200"/>
                  </w:pPr>
                  <w:r>
                    <w:rPr>
                      <w:rFonts w:ascii="方正黑体_GBK" w:hAnsi="方正黑体_GBK" w:cs="宋体" w:eastAsia="方正黑体_GBK"/>
                      <w:sz w:val="18"/>
                      <w:szCs w:val="18"/>
                    </w:rPr>
                    <w:t>下一产品开放日</w:t>
                  </w:r>
                </w:p>
              </w:tc>
              <w:tc>
                <w:tcPr>
                  <w:tcW w:type="dxa" w:w="1795"/>
                </w:tcPr>
                <w:p>
                  <w:pPr>
                    <w:pStyle w:val="null10"/>
                    <w:spacing w:lineRule="exact" w:line="200"/>
                  </w:pPr>
                  <w:r>
                    <w:rPr>
                      <w:rFonts w:ascii="方正黑体_GBK" w:hAnsi="方正黑体_GBK" w:cs="宋体" w:eastAsia="方正黑体_GBK"/>
                      <w:sz w:val="18"/>
                      <w:szCs w:val="18"/>
                    </w:rPr>
                    <w:t>申购受理日下一产品开放日</w:t>
                  </w:r>
                </w:p>
              </w:tc>
            </w:tr>
          </w:tbl>
          <w:p>
            <w:pPr>
              <w:pStyle w:val="null10"/>
              <w:spacing w:lineRule="exact" w:line="200"/>
              <w:spacing w:lineRule="exact" w:line="200"/>
              <w:jc w:val="left"/>
            </w:pPr>
            <w:r>
              <w:rPr>
                <w:rFonts w:ascii="方正黑体_GBK" w:hAnsi="方正黑体_GBK" w:cs="宋体" w:eastAsia="方正黑体_GBK"/>
                <w:sz w:val="18"/>
                <w:b/>
                <w:szCs w:val="18"/>
              </w:rPr>
              <w:t>代销机构可根据其销售需要重新设定申购时间，投资者通过代销机构购买本理财产品的，以该代销机构最终披露的申购时间和规则为准，但需当日受理的申购申请截止时间不得超过当日17:00。</w:t>
            </w:r>
          </w:p>
          <w:p>
            <w:pPr>
              <w:pStyle w:val="null10"/>
              <w:spacing w:lineRule="exact" w:line="200"/>
              <w:spacing w:lineRule="exact" w:line="200"/>
            </w:pPr>
          </w:p>
          <w:p>
            <w:pPr>
              <w:pStyle w:val="null10"/>
              <w:spacing w:lineRule="exact" w:line="200"/>
              <w:spacing w:lineRule="exact" w:line="200"/>
              <w:jc w:val="left"/>
            </w:pPr>
            <w:r>
              <w:rPr>
                <w:rFonts w:ascii="方正黑体_GBK" w:hAnsi="方正黑体_GBK" w:cs="宋体" w:eastAsia="方正黑体_GBK"/>
                <w:sz w:val="18"/>
                <w:b/>
                <w:szCs w:val="18"/>
              </w:rPr>
              <w:t>注</w:t>
            </w:r>
            <w:r>
              <w:rPr>
                <w:rFonts w:ascii="方正黑体_GBK" w:hAnsi="方正黑体_GBK" w:cs="宋体" w:eastAsia="方正黑体_GBK"/>
                <w:sz w:val="18"/>
                <w:szCs w:val="18"/>
              </w:rPr>
              <w:t>：</w:t>
            </w:r>
          </w:p>
          <w:p>
            <w:pPr>
              <w:pStyle w:val="null10"/>
              <w:spacing w:lineRule="exact" w:line="200"/>
              <w:spacing w:lineRule="exact" w:line="200"/>
              <w:jc w:val="left"/>
            </w:pPr>
            <w:r>
              <w:rPr>
                <w:rFonts w:ascii="方正黑体_GBK" w:hAnsi="方正黑体_GBK" w:cs="宋体" w:eastAsia="方正黑体_GBK"/>
                <w:sz w:val="18"/>
                <w:b/>
                <w:szCs w:val="18"/>
              </w:rPr>
              <w:t>1.在销售机构支持的前提下，申购受理日17:00（含）前可以撤销申购申请。</w:t>
            </w:r>
          </w:p>
          <w:p>
            <w:pPr>
              <w:pStyle w:val="null10"/>
              <w:spacing w:lineRule="exact" w:line="200"/>
              <w:spacing w:lineRule="exact" w:line="200"/>
            </w:pPr>
            <w:r>
              <w:rPr>
                <w:rFonts w:ascii="方正黑体_GBK" w:hAnsi="方正黑体_GBK" w:cs="宋体" w:eastAsia="方正黑体_GBK"/>
                <w:sz w:val="18"/>
                <w:szCs w:val="18"/>
              </w:rPr>
              <w:t>2.产品开放日为产品存续期内每周一至周五（指工作日），但不包括国家法定节假日、休息日和南银理财公告暂停开放的日期。</w:t>
            </w:r>
            <w:r>
              <w:rPr>
                <w:rFonts w:ascii="方正黑体_GBK" w:hAnsi="方正黑体_GBK" w:cs="宋体" w:eastAsia="方正黑体_GBK"/>
                <w:sz w:val="18"/>
                <w:b/>
                <w:szCs w:val="18"/>
              </w:rPr>
              <w:t>系统批处理时间无法进行任何操作，届时系统将相应提示，系统批处理时间预计在0：00至3：00之间，如遇特殊情况延迟，敬请投资者注意。</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产品封闭期后的每周一至周五（指工作日），但不包括国家法定节假日、休息日和管理人、代销机构公告暂停开放的日期。</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pPr>
            <w:r>
              <w:rPr>
                <w:sz w:val="18"/>
                <w:szCs w:val="18"/>
                <w:rFonts w:ascii="方正黑体_GBK" w:hAnsi="方正黑体_GBK" w:eastAsia="方正黑体_GBK"/>
              </w:rPr>
              <w:t>申购份额=申购金额/申购确认日产品单位净值（申购确认日为申购受理日当日）（申购份额按去尾法保留两位小数）。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spacing w:lineRule="exact" w:line="200"/>
              <w:jc w:val="left"/>
            </w:pPr>
            <w:r>
              <w:rPr>
                <w:rFonts w:ascii="方正黑体_GBK" w:hAnsi="方正黑体_GBK" w:cs="宋体" w:eastAsia="方正黑体_GBK"/>
                <w:sz w:val="18"/>
                <w:b/>
                <w:szCs w:val="18"/>
              </w:rPr>
              <w:t>持有期28天以内的份额不可提出赎回申请。</w:t>
            </w:r>
          </w:p>
          <w:p>
            <w:pPr>
              <w:pStyle w:val="null10"/>
              <w:spacing w:lineRule="exact" w:line="200"/>
              <w:spacing w:lineRule="exact" w:line="200"/>
              <w:jc w:val="left"/>
            </w:pPr>
            <w:r>
              <w:rPr>
                <w:rFonts w:ascii="方正黑体_GBK" w:hAnsi="方正黑体_GBK" w:cs="宋体" w:eastAsia="方正黑体_GBK"/>
                <w:sz w:val="18"/>
                <w:b/>
                <w:szCs w:val="18"/>
              </w:rPr>
              <w:t>持有满28天及以上的份额可在之后的每个产品开放日提出赎回申请，非巨额赎回时，产品开放日17:00（含）前的赎回于当日受理，其他时间的赎回于下一产品开放日受理，赎回款项将于份额运作终止日后5个工作日内到账</w:t>
            </w:r>
            <w:r>
              <w:rPr>
                <w:rFonts w:ascii="方正黑体_GBK" w:hAnsi="方正黑体_GBK" w:cs="宋体" w:eastAsia="方正黑体_GBK"/>
                <w:sz w:val="18"/>
                <w:szCs w:val="18"/>
              </w:rPr>
              <w:t>。上述赎回规则如下（系统批处理时间内无法操作）：</w:t>
            </w:r>
          </w:p>
          <w:tbl>
            <w:tblPr>
              <w:tblW w:w="0" w:type="auto"/>
              <w:tblBorders>
                <w:top w:val="single"/>
                <w:left w:val="single"/>
                <w:bottom w:val="single"/>
                <w:right w:val="single"/>
                <w:insideH w:val="single"/>
                <w:insideV w:val="single"/>
              </w:tblBorders>
            </w:tblPr>
            <w:tblGrid>
              <w:gridCol w:w="1346"/>
              <w:gridCol w:w="1346"/>
              <w:gridCol w:w="1346"/>
              <w:gridCol w:w="1346"/>
            </w:tblGrid>
            <w:tr>
              <w:tc>
                <w:tcPr>
                  <w:tcW w:type="dxa" w:w="1346"/>
                </w:tcPr>
                <w:p>
                  <w:pPr>
                    <w:pStyle w:val="null10"/>
                    <w:spacing w:lineRule="exact" w:line="200"/>
                  </w:pPr>
                  <w:r>
                    <w:rPr>
                      <w:rFonts w:ascii="方正黑体_GBK" w:hAnsi="方正黑体_GBK" w:cs="宋体" w:eastAsia="方正黑体_GBK"/>
                      <w:sz w:val="18"/>
                      <w:szCs w:val="18"/>
                    </w:rPr>
                    <w:t>赎回时间</w:t>
                  </w:r>
                </w:p>
              </w:tc>
              <w:tc>
                <w:tcPr>
                  <w:tcW w:type="dxa" w:w="1346"/>
                </w:tcPr>
                <w:p>
                  <w:pPr>
                    <w:pStyle w:val="null10"/>
                    <w:spacing w:lineRule="exact" w:line="200"/>
                  </w:pPr>
                  <w:r>
                    <w:rPr>
                      <w:rFonts w:ascii="方正黑体_GBK" w:hAnsi="方正黑体_GBK" w:cs="宋体" w:eastAsia="方正黑体_GBK"/>
                      <w:sz w:val="18"/>
                      <w:szCs w:val="18"/>
                    </w:rPr>
                    <w:t>赎回受理日</w:t>
                  </w:r>
                </w:p>
              </w:tc>
              <w:tc>
                <w:tcPr>
                  <w:tcW w:type="dxa" w:w="1346"/>
                </w:tcPr>
                <w:p>
                  <w:pPr>
                    <w:pStyle w:val="null10"/>
                    <w:spacing w:lineRule="exact" w:line="200"/>
                  </w:pPr>
                  <w:r>
                    <w:rPr>
                      <w:rFonts w:ascii="方正黑体_GBK" w:hAnsi="方正黑体_GBK" w:cs="宋体" w:eastAsia="方正黑体_GBK"/>
                      <w:sz w:val="18"/>
                      <w:szCs w:val="18"/>
                    </w:rPr>
                    <w:t>份额运作终止日</w:t>
                  </w:r>
                </w:p>
              </w:tc>
              <w:tc>
                <w:tcPr>
                  <w:tcW w:type="dxa" w:w="1346"/>
                </w:tcPr>
                <w:p>
                  <w:pPr>
                    <w:pStyle w:val="null10"/>
                    <w:spacing w:lineRule="exact" w:line="200"/>
                  </w:pPr>
                  <w:r>
                    <w:rPr>
                      <w:rFonts w:ascii="方正黑体_GBK" w:hAnsi="方正黑体_GBK" w:cs="宋体" w:eastAsia="方正黑体_GBK"/>
                      <w:sz w:val="18"/>
                      <w:szCs w:val="18"/>
                    </w:rPr>
                    <w:t>资金到账日</w:t>
                  </w:r>
                </w:p>
              </w:tc>
            </w:tr>
            <w:tr>
              <w:tc>
                <w:tcPr>
                  <w:tcW w:type="dxa" w:w="1346"/>
                </w:tcPr>
                <w:p>
                  <w:pPr>
                    <w:pStyle w:val="null10"/>
                    <w:spacing w:lineRule="exact" w:line="200"/>
                  </w:pPr>
                  <w:r>
                    <w:rPr>
                      <w:rFonts w:ascii="方正黑体_GBK" w:hAnsi="方正黑体_GBK" w:cs="宋体" w:eastAsia="方正黑体_GBK"/>
                      <w:sz w:val="18"/>
                      <w:szCs w:val="18"/>
                    </w:rPr>
                    <w:t>份额持有满28天后的产品开放日：0:00-17:00（含）</w:t>
                  </w:r>
                </w:p>
              </w:tc>
              <w:tc>
                <w:tcPr>
                  <w:tcW w:type="dxa" w:w="1346"/>
                </w:tcPr>
                <w:p>
                  <w:pPr>
                    <w:pStyle w:val="null10"/>
                    <w:spacing w:lineRule="exact" w:line="200"/>
                  </w:pPr>
                  <w:r>
                    <w:rPr>
                      <w:rFonts w:ascii="方正黑体_GBK" w:hAnsi="方正黑体_GBK" w:cs="宋体" w:eastAsia="方正黑体_GBK"/>
                      <w:sz w:val="18"/>
                      <w:szCs w:val="18"/>
                    </w:rPr>
                    <w:t>当日</w:t>
                  </w:r>
                </w:p>
              </w:tc>
              <w:tc>
                <w:tcPr>
                  <w:tcW w:type="dxa" w:w="1346"/>
                </w:tcPr>
                <w:p>
                  <w:pPr>
                    <w:pStyle w:val="null10"/>
                    <w:spacing w:lineRule="exact" w:line="200"/>
                  </w:pPr>
                  <w:r>
                    <w:rPr>
                      <w:rFonts w:ascii="方正黑体_GBK" w:hAnsi="方正黑体_GBK" w:cs="宋体" w:eastAsia="方正黑体_GBK"/>
                      <w:sz w:val="18"/>
                      <w:szCs w:val="18"/>
                    </w:rPr>
                    <w:t>赎回受理日下一产品开放日</w:t>
                  </w:r>
                </w:p>
              </w:tc>
              <w:tc>
                <w:tcPr>
                  <w:tcW w:type="dxa" w:w="1346"/>
                  <w:vMerge w:val="restart"/>
                </w:tcPr>
                <w:p>
                  <w:pPr>
                    <w:pStyle w:val="null10"/>
                    <w:spacing w:lineRule="exact" w:line="200"/>
                  </w:pPr>
                  <w:r>
                    <w:rPr>
                      <w:rFonts w:ascii="方正黑体_GBK" w:hAnsi="方正黑体_GBK" w:cs="宋体" w:eastAsia="方正黑体_GBK"/>
                      <w:sz w:val="18"/>
                      <w:szCs w:val="18"/>
                    </w:rPr>
                    <w:t>份额运作终止日后5个工作日内</w:t>
                  </w:r>
                </w:p>
              </w:tc>
            </w:tr>
            <w:tr>
              <w:tc>
                <w:tcPr>
                  <w:tcW w:type="dxa" w:w="1346"/>
                </w:tcPr>
                <w:p>
                  <w:pPr>
                    <w:pStyle w:val="null10"/>
                    <w:spacing w:lineRule="exact" w:line="200"/>
                  </w:pPr>
                  <w:r>
                    <w:rPr>
                      <w:rFonts w:ascii="方正黑体_GBK" w:hAnsi="方正黑体_GBK" w:cs="宋体" w:eastAsia="方正黑体_GBK"/>
                      <w:sz w:val="18"/>
                      <w:szCs w:val="18"/>
                    </w:rPr>
                    <w:t>份额持有满28天后的产品开放日：17:00（不含）-24:00或非产品开放日</w:t>
                  </w:r>
                </w:p>
              </w:tc>
              <w:tc>
                <w:tcPr>
                  <w:tcW w:type="dxa" w:w="1346"/>
                </w:tcPr>
                <w:p>
                  <w:pPr>
                    <w:pStyle w:val="null10"/>
                    <w:spacing w:lineRule="exact" w:line="200"/>
                  </w:pPr>
                  <w:r>
                    <w:rPr>
                      <w:rFonts w:ascii="方正黑体_GBK" w:hAnsi="方正黑体_GBK" w:cs="宋体" w:eastAsia="方正黑体_GBK"/>
                      <w:sz w:val="18"/>
                      <w:szCs w:val="18"/>
                    </w:rPr>
                    <w:t>下一产品开放日</w:t>
                  </w:r>
                </w:p>
              </w:tc>
              <w:tc>
                <w:tcPr>
                  <w:tcW w:type="dxa" w:w="1346"/>
                </w:tcPr>
                <w:p>
                  <w:pPr>
                    <w:pStyle w:val="null10"/>
                    <w:spacing w:lineRule="exact" w:line="200"/>
                  </w:pPr>
                  <w:r>
                    <w:rPr>
                      <w:rFonts w:ascii="方正黑体_GBK" w:hAnsi="方正黑体_GBK" w:cs="宋体" w:eastAsia="方正黑体_GBK"/>
                      <w:sz w:val="18"/>
                      <w:szCs w:val="18"/>
                    </w:rPr>
                    <w:t>赎回受理日下一产品开放日</w:t>
                  </w:r>
                </w:p>
              </w:tc>
              <w:tc>
                <w:tcPr>
                  <w:tcW w:type="dxa" w:w="1346"/>
                  <w:vMerge/>
                </w:tcPr>
                <w:p>
                  <w:pPr/>
                </w:p>
              </w:tc>
            </w:tr>
          </w:tbl>
          <w:p>
            <w:pPr>
              <w:pStyle w:val="null10"/>
              <w:spacing w:lineRule="exact" w:line="200"/>
              <w:spacing w:lineRule="exact" w:line="200"/>
              <w:jc w:val="left"/>
            </w:pPr>
            <w:r>
              <w:rPr>
                <w:rFonts w:ascii="方正黑体_GBK" w:hAnsi="方正黑体_GBK" w:cs="宋体" w:eastAsia="方正黑体_GBK"/>
                <w:sz w:val="18"/>
                <w:b/>
                <w:szCs w:val="18"/>
              </w:rPr>
              <w:t>代销机构可根据其销售需要重新设定赎回时间，投资者通过代销机构购买本理财产品的，以该代销机构最终披露的赎回时间和规则为准，但需当日受理的赎回申请截止时间不得超过当日17:00。</w:t>
            </w:r>
          </w:p>
          <w:p>
            <w:pPr>
              <w:pStyle w:val="null10"/>
              <w:spacing w:lineRule="exact" w:line="200"/>
              <w:spacing w:lineRule="exact" w:line="200"/>
              <w:jc w:val="left"/>
            </w:pPr>
          </w:p>
          <w:p>
            <w:pPr>
              <w:pStyle w:val="null10"/>
              <w:spacing w:lineRule="exact" w:line="200"/>
              <w:spacing w:lineRule="exact" w:line="200"/>
              <w:jc w:val="left"/>
            </w:pPr>
            <w:r>
              <w:rPr>
                <w:rFonts w:ascii="方正黑体_GBK" w:hAnsi="方正黑体_GBK" w:cs="宋体" w:eastAsia="方正黑体_GBK"/>
                <w:sz w:val="18"/>
                <w:b/>
                <w:szCs w:val="18"/>
              </w:rPr>
              <w:t>注：</w:t>
            </w:r>
          </w:p>
          <w:p>
            <w:pPr>
              <w:pStyle w:val="null10"/>
              <w:spacing w:lineRule="exact" w:line="200"/>
              <w:spacing w:lineRule="exact" w:line="200"/>
            </w:pPr>
            <w:r>
              <w:rPr>
                <w:rFonts w:ascii="方正黑体_GBK" w:hAnsi="方正黑体_GBK" w:cs="宋体" w:eastAsia="方正黑体_GBK"/>
                <w:sz w:val="18"/>
                <w:szCs w:val="18"/>
              </w:rPr>
              <w:t>1.</w:t>
            </w:r>
            <w:r>
              <w:rPr>
                <w:rFonts w:ascii="方正黑体_GBK" w:hAnsi="方正黑体_GBK" w:cs="宋体" w:eastAsia="方正黑体_GBK"/>
                <w:sz w:val="18"/>
                <w:b/>
                <w:szCs w:val="18"/>
              </w:rPr>
              <w:t>如投资者多次认申购本理财产品，其中持有满28天及以上的份额可提出赎回申请，持有期28天以内的份额不可提出赎回申请。</w:t>
            </w:r>
          </w:p>
          <w:p>
            <w:pPr>
              <w:pStyle w:val="null10"/>
              <w:spacing w:lineRule="exact" w:line="200"/>
              <w:spacing w:lineRule="exact" w:line="200"/>
            </w:pPr>
            <w:r>
              <w:rPr>
                <w:rFonts w:ascii="方正黑体_GBK" w:hAnsi="方正黑体_GBK" w:cs="宋体" w:eastAsia="方正黑体_GBK"/>
                <w:sz w:val="18"/>
                <w:color w:val="000000"/>
                <w:szCs w:val="18"/>
              </w:rPr>
              <w:t>2.</w:t>
            </w:r>
            <w:r>
              <w:rPr>
                <w:rFonts w:ascii="方正黑体_GBK" w:hAnsi="方正黑体_GBK" w:cs="宋体" w:eastAsia="方正黑体_GBK"/>
                <w:sz w:val="18"/>
                <w:b/>
                <w:szCs w:val="18"/>
              </w:rPr>
              <w:t>单个投资者的赎回遵循“先进先出”原则，即单个投资者先认/申购的份额先被赎回。</w:t>
            </w:r>
          </w:p>
          <w:p>
            <w:pPr>
              <w:pStyle w:val="null10"/>
              <w:spacing w:lineRule="exact" w:line="200"/>
              <w:spacing w:lineRule="exact" w:line="200"/>
            </w:pPr>
            <w:r>
              <w:rPr>
                <w:rFonts w:ascii="方正黑体_GBK" w:hAnsi="方正黑体_GBK" w:cs="宋体" w:eastAsia="方正黑体_GBK"/>
                <w:sz w:val="18"/>
                <w:b/>
                <w:szCs w:val="18"/>
              </w:rPr>
              <w:t>3.在销售机构支持的前提下，赎回受理日17:00（含）前可以撤销赎回申请。</w:t>
            </w:r>
          </w:p>
          <w:p>
            <w:pPr>
              <w:pStyle w:val="null10"/>
              <w:spacing w:lineRule="exact" w:line="200"/>
              <w:spacing w:lineRule="exact" w:line="200"/>
              <w:jc w:val="left"/>
            </w:pPr>
            <w:r>
              <w:rPr>
                <w:rFonts w:ascii="方正黑体_GBK" w:hAnsi="方正黑体_GBK" w:cs="宋体" w:eastAsia="方正黑体_GBK"/>
                <w:sz w:val="18"/>
                <w:b/>
                <w:szCs w:val="18"/>
              </w:rPr>
              <w:t>4.</w:t>
            </w:r>
            <w:r>
              <w:rPr>
                <w:rFonts w:ascii="方正黑体_GBK" w:hAnsi="方正黑体_GBK" w:cs="宋体" w:eastAsia="方正黑体_GBK"/>
                <w:sz w:val="18"/>
                <w:szCs w:val="18"/>
              </w:rPr>
              <w:t>产品开放日为产品存续期内每周一至周五（指工作日），但不包括国家法定节假日、休息日和南银理财公告暂停开放的日期。</w:t>
            </w:r>
            <w:r>
              <w:rPr>
                <w:rFonts w:ascii="方正黑体_GBK" w:hAnsi="方正黑体_GBK" w:cs="宋体" w:eastAsia="方正黑体_GBK"/>
                <w:sz w:val="18"/>
                <w:b/>
                <w:szCs w:val="18"/>
              </w:rPr>
              <w:t>系统批处理时间无法进行任何操作，届时系统将相应提示，系统批处理时间预计在0：00至3：00之间，如遇特殊情况延迟，敬请投资者注意。</w:t>
            </w:r>
          </w:p>
          <w:p>
            <w:pPr>
              <w:pStyle w:val="null10"/>
              <w:spacing w:lineRule="exact" w:line="200"/>
              <w:spacing w:lineRule="exact" w:line="200"/>
            </w:pPr>
            <w:r>
              <w:rPr>
                <w:rFonts w:ascii="方正黑体_GBK" w:hAnsi="方正黑体_GBK" w:cs="宋体" w:eastAsia="方正黑体_GBK"/>
                <w:sz w:val="18"/>
                <w:b/>
                <w:szCs w:val="18"/>
              </w:rPr>
              <w:t>5.份额运作终止日至资金到账日间赎回款项不计任何收益。</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产品封闭期后的每周一至周五（指工作日），但不包括国家法定节假日、休息日和管理人、代销机构公告暂停开放的日期。</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赎回金额=赎回份额×赎回确认日产品单位净值（赎回确认日为赎回受理日当日）（赎回金额按去尾法保留两位小数）产品的赎回费、业绩报酬等费用（如有）将从赎回金额中扣除。</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color w:val="000000"/>
                <w:kern w:val="0"/>
                <w:sz w:val="18"/>
                <w:szCs w:val="18"/>
              </w:rPr>
            </w:pPr>
            <w:r>
              <w:rPr>
                <w:rFonts w:ascii="方正黑体_GBK" w:eastAsia="方正黑体_GBK" w:cs="Times New Roman" w:hAnsi="方正黑体_GBK"/>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28天</w:t>
            </w:r>
          </w:p>
          <w:p>
            <w:pPr>
              <w:pStyle w:val="null10"/>
              <w:spacing w:lineRule="exact" w:line="200"/>
            </w:pPr>
            <w:r>
              <w:rPr>
                <w:rFonts w:ascii="方正黑体_GBK" w:hAnsi="方正黑体_GBK" w:cs="宋体" w:eastAsia="方正黑体_GBK"/>
                <w:sz w:val="18"/>
                <w:szCs w:val="18"/>
              </w:rPr>
              <w:t>（认购份额从成立日起最低持有期为28天，2023年05月21日及之前不可提出赎回申请；申购份额从份额运作起始日起最低持有期为28天，28天以内不可提出赎回申请。）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4.法律法规或监管机构允许投资的符合本理财产品投资性质的其他金融工具；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5.如存在法律法规或监管机构以后允许投资的其他品种或法律法规或监管政策出现调整，管理人在履行本理财产品销售文件规定的适当程序后，有权调整以上品种。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本理财产品投资于固定收益类资产的比例不低于本理财产品总资产的80%。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B份额：业绩比较基准为中国人民银行发布的7天通知存款基准利率+0.2%。</w:t>
            </w:r>
          </w:p>
          <w:p>
            <w:pPr>
              <w:pStyle w:val="null10"/>
              <w:spacing w:lineRule="exact" w:line="200"/>
            </w:pPr>
            <w:r>
              <w:rPr>
                <w:rFonts w:ascii="方正黑体_GBK" w:hAnsi="方正黑体_GBK" w:cs="宋体" w:eastAsia="方正黑体_GBK"/>
                <w:sz w:val="18"/>
                <w:szCs w:val="18"/>
              </w:rPr>
              <w:t>C份额：业绩比较基准为中国人民银行发布的7天通知存款基准利率。</w:t>
            </w:r>
          </w:p>
          <w:p>
            <w:pPr>
              <w:pStyle w:val="null10"/>
              <w:spacing w:lineRule="exact" w:line="200"/>
            </w:pPr>
            <w:r>
              <w:rPr>
                <w:rFonts w:ascii="方正黑体_GBK" w:hAnsi="方正黑体_GBK" w:cs="宋体" w:eastAsia="方正黑体_GBK"/>
                <w:sz w:val="18"/>
                <w:szCs w:val="18"/>
              </w:rPr>
              <w:t>D份额：业绩比较基准为中国人民银行发布的7天通知存款基准利率+0.1%。</w:t>
            </w:r>
          </w:p>
          <w:p>
            <w:pPr>
              <w:pStyle w:val="null10"/>
              <w:spacing w:lineRule="exact" w:line="200"/>
            </w:pPr>
            <w:r>
              <w:rPr>
                <w:rFonts w:ascii="方正黑体_GBK" w:hAnsi="方正黑体_GBK" w:cs="宋体" w:eastAsia="方正黑体_GBK"/>
                <w:sz w:val="18"/>
                <w:szCs w:val="18"/>
              </w:rPr>
              <w:t>E份额：业绩比较基准为中国人民银行发布的7天通知存款基准利率+0.2%。</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结合债券市场的收益和波动水平预判，在本理财产品约定的投资策略基础上，管理人设定了本理财产品投资周期内的业绩比较基准。</w:t>
            </w:r>
          </w:p>
          <w:p>
            <w:pPr>
              <w:pStyle w:val="null10"/>
              <w:spacing w:lineRule="exact" w:line="200"/>
              <w:jc w:val="left"/>
            </w:pPr>
            <w:r>
              <w:rPr>
                <w:sz w:val="18"/>
                <w:szCs w:val="18"/>
                <w:rFonts w:ascii="方正黑体_GBK" w:hAnsi="方正黑体_GBK" w:eastAsia="方正黑体_GBK"/>
              </w:rPr>
              <w:t>注：管理人</w:t>
            </w:r>
            <w:r>
              <w:rPr>
                <w:rFonts w:ascii="方正黑体_GBK" w:hAnsi="方正黑体_GBK" w:cs="宋体" w:eastAsia="方正黑体_GBK"/>
                <w:sz w:val="18"/>
                <w:szCs w:val="18"/>
              </w:rPr>
              <w:t>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C份额：销售费年化0.4%</w:t>
            </w:r>
          </w:p>
          <w:p>
            <w:pPr>
              <w:pStyle w:val="null10"/>
              <w:spacing w:lineRule="exact" w:line="200"/>
            </w:pPr>
            <w:r>
              <w:rPr>
                <w:rFonts w:ascii="方正黑体_GBK" w:hAnsi="方正黑体_GBK" w:cs="宋体" w:eastAsia="方正黑体_GBK"/>
                <w:sz w:val="18"/>
                <w:b/>
                <w:szCs w:val="18"/>
              </w:rPr>
              <w:t>D份额：销售费年化0.2%</w:t>
            </w:r>
          </w:p>
          <w:p>
            <w:pPr>
              <w:pStyle w:val="null10"/>
              <w:spacing w:lineRule="exact" w:line="200"/>
            </w:pPr>
            <w:r>
              <w:rPr>
                <w:rFonts w:ascii="方正黑体_GBK" w:hAnsi="方正黑体_GBK" w:cs="宋体" w:eastAsia="方正黑体_GBK"/>
                <w:sz w:val="18"/>
                <w:b/>
                <w:szCs w:val="18"/>
              </w:rPr>
              <w:t>E份额：销售费年化0.2%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A份额：固定管理费年化0.4%</w:t>
            </w:r>
          </w:p>
          <w:p>
            <w:pPr>
              <w:pStyle w:val="null10"/>
              <w:spacing w:lineRule="exact" w:line="200"/>
            </w:pPr>
            <w:r>
              <w:rPr>
                <w:rFonts w:ascii="方正黑体_GBK" w:hAnsi="方正黑体_GBK" w:cs="宋体" w:eastAsia="方正黑体_GBK"/>
                <w:sz w:val="18"/>
                <w:b/>
                <w:szCs w:val="18"/>
              </w:rPr>
              <w:t>B份额：固定管理费年化0.4%</w:t>
            </w:r>
          </w:p>
          <w:p>
            <w:pPr>
              <w:pStyle w:val="null10"/>
              <w:spacing w:lineRule="exact" w:line="200"/>
            </w:pPr>
            <w:r>
              <w:rPr>
                <w:rFonts w:ascii="方正黑体_GBK" w:hAnsi="方正黑体_GBK" w:cs="宋体" w:eastAsia="方正黑体_GBK"/>
                <w:sz w:val="18"/>
                <w:b/>
                <w:szCs w:val="18"/>
              </w:rPr>
              <w:t>C份额：固定管理费年化0.4%</w:t>
            </w:r>
          </w:p>
          <w:p>
            <w:pPr>
              <w:pStyle w:val="null10"/>
              <w:spacing w:lineRule="exact" w:line="200"/>
            </w:pPr>
            <w:r>
              <w:rPr>
                <w:rFonts w:ascii="方正黑体_GBK" w:hAnsi="方正黑体_GBK" w:cs="宋体" w:eastAsia="方正黑体_GBK"/>
                <w:sz w:val="18"/>
                <w:b/>
                <w:szCs w:val="18"/>
              </w:rPr>
              <w:t>D份额：固定管理费年化0.5%</w:t>
            </w:r>
          </w:p>
          <w:p>
            <w:pPr>
              <w:pStyle w:val="null10"/>
              <w:spacing w:lineRule="exact" w:line="200"/>
            </w:pPr>
            <w:r>
              <w:rPr>
                <w:rFonts w:ascii="方正黑体_GBK" w:hAnsi="方正黑体_GBK" w:cs="宋体" w:eastAsia="方正黑体_GBK"/>
                <w:sz w:val="18"/>
                <w:b/>
                <w:szCs w:val="18"/>
              </w:rPr>
              <w:t>E份额：固定管理费年化0.4%</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业绩报酬：本理财产品暂不收取业绩报酬。</w:t>
            </w:r>
          </w:p>
          <w:p>
            <w:pPr>
              <w:pStyle w:val="null10"/>
              <w:spacing w:lineRule="exact" w:line="200"/>
            </w:pPr>
            <w:r>
              <w:rPr>
                <w:rFonts w:ascii="方正黑体_GBK" w:hAnsi="方正黑体_GBK" w:cs="宋体" w:eastAsia="方正黑体_GBK"/>
                <w:sz w:val="18"/>
                <w:b/>
                <w:szCs w:val="18"/>
              </w:rPr>
              <w:t>注：投资者份额持有期间年化收益率=（赎回确认日产品累计净值或实际到期日前一产品开放日产品累计净值-申购确认日产品累计净值）÷申购确认日产品单位净值÷投资者份额实际持有天数×365天。投资者份额实际持有天数为份额运作起始日（含）至份额运作终止日（不含）之间的天数。</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 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杭州银行股份有限公司、江苏常熟农村商业银行股份有限公司、江苏苏州农村商业银行股份有限公司、齐鲁银行股份有限公司、云南红塔银行股份有限公司、青海银行股份有限公司、九江银行股份有限公司、江苏紫金农村商业银行股份有限公司、日照银行股份有限公司、无锡农村商业银行股份有限公司、江苏丹阳农村商业银行股份有限公司、江苏邳州农村商业银行股份有限公司、江苏南通农村商业银行股份有限公司、江苏扬州农村商业银行股份有限公司、江苏大丰农村商业银行股份有限公司、江苏镇江农村商业银行股份有限公司、浙江网商银行股份有限公司、江苏丰县农村商业银行股份有限公司、烟台银行股份有限公司、江苏张家港农村商业银行股份有限公司、江苏高邮农村商业银行股份有限公司、乌鲁木齐银行股份有限公司、河北银行股份有限公司、郑州银行股份有限公司、江苏如东农村商业银行股份有限公司、江苏仪征农村商业银行股份有限公司、连云港东方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华润深国投信托有限公司、江苏省国际信托有限责任公司、平安资产管理有限责任公司、泰康资产管理有限责任公司、太平洋资产管理有限责任公司、鑫元基金管理有限公司、鑫沅资产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理财产品所投资资产管理产品的发行机构，主要承担资产管理产品的管理人职责：华润深国投信托有限公司、江苏省国际信托有限责任公司、平安资产管理有限责任公司、泰康资产管理有限责任公司、太平洋资产管理有限责任公司、鑫元基金管理有限公司、鑫沅资产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华润深国投信托有限公司成立于1982年08月24日，注册资本金110亿元。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p>
            <w:pPr>
              <w:pStyle w:val="null10"/>
              <w:spacing w:lineRule="exact" w:line="200"/>
            </w:pPr>
            <w:r>
              <w:rPr>
                <w:rFonts w:ascii="方正黑体_GBK" w:hAnsi="方正黑体_GBK" w:cs="宋体" w:eastAsia="方正黑体_GBK"/>
                <w:sz w:val="18"/>
                <w:szCs w:val="18"/>
              </w:rPr>
              <w:t>鑫沅资产管理有限公司成立于2014年02月19日，注册资本金15.5亿元。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本理财产品单个开放日净赎回申请超过前一产品工作日日终本理财产品总份额的10%时，触发巨额赎回，在赎回确认日管理人办理的赎回份额将不低于前一产品工作日日终理财产品总份额的10%。</w:t>
            </w:r>
          </w:p>
          <w:p>
            <w:pPr>
              <w:pStyle w:val="null10"/>
              <w:spacing w:lineRule="exact" w:line="200"/>
            </w:pPr>
            <w:r>
              <w:rPr>
                <w:rFonts w:ascii="方正黑体_GBK" w:hAnsi="方正黑体_GBK" w:cs="宋体" w:eastAsia="方正黑体_GBK"/>
                <w:sz w:val="18"/>
                <w:szCs w:val="18"/>
              </w:rPr>
              <w:t>本理财产品在开放日发生巨额赎回时，管理人有权根据产品的实际运作情况采取如下措施中的一种：</w:t>
            </w:r>
          </w:p>
          <w:p>
            <w:pPr>
              <w:pStyle w:val="null10"/>
              <w:spacing w:lineRule="exact" w:line="200"/>
            </w:pPr>
            <w:r>
              <w:rPr>
                <w:rFonts w:ascii="方正黑体_GBK" w:hAnsi="方正黑体_GBK" w:cs="宋体" w:eastAsia="方正黑体_GBK"/>
                <w:sz w:val="18"/>
                <w:szCs w:val="18"/>
              </w:rPr>
              <w:t>1.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并按单个投资者的赎回申请份额占当日所有投资者的净赎回申请总份额的比例，确认该投资者当日办理的赎回申请份额，对于其余赎回申请管理人可暂停接受或延期办理。</w:t>
            </w:r>
          </w:p>
          <w:p>
            <w:pPr>
              <w:pStyle w:val="null10"/>
              <w:spacing w:lineRule="exact" w:line="200"/>
            </w:pPr>
            <w:r>
              <w:rPr>
                <w:rFonts w:ascii="方正黑体_GBK" w:hAnsi="方正黑体_GBK" w:cs="宋体" w:eastAsia="方正黑体_GBK"/>
                <w:sz w:val="18"/>
                <w:szCs w:val="18"/>
              </w:rPr>
              <w:t>（1）投资者在申请赎回时可选择将当日未获办理部分予以撤销，即暂停接受情形，管理人将拒绝该部分赎回申请，撤销的部分投资者可在下一个产品开放日再次发起赎回申请。</w:t>
            </w:r>
          </w:p>
          <w:p>
            <w:pPr>
              <w:pStyle w:val="null10"/>
              <w:spacing w:lineRule="exact" w:line="200"/>
            </w:pPr>
            <w:r>
              <w:rPr>
                <w:rFonts w:ascii="方正黑体_GBK" w:hAnsi="方正黑体_GBK" w:cs="宋体" w:eastAsia="方正黑体_GBK"/>
                <w:sz w:val="18"/>
                <w:szCs w:val="18"/>
              </w:rPr>
              <w:t>（2）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pPr>
              <w:pStyle w:val="null10"/>
              <w:spacing w:lineRule="exact" w:line="200"/>
            </w:pPr>
            <w:r>
              <w:rPr>
                <w:rFonts w:ascii="方正黑体_GBK" w:hAnsi="方正黑体_GBK" w:cs="宋体" w:eastAsia="方正黑体_GBK"/>
                <w:sz w:val="18"/>
                <w:szCs w:val="18"/>
              </w:rPr>
              <w:t>具体服务投资者可详询代销机构，最终以代销机构提供的服务为准。</w:t>
            </w:r>
          </w:p>
          <w:p>
            <w:pPr>
              <w:pStyle w:val="null10"/>
              <w:spacing w:lineRule="exact" w:line="200"/>
            </w:pPr>
            <w:r>
              <w:rPr>
                <w:rFonts w:ascii="方正黑体_GBK" w:hAnsi="方正黑体_GBK" w:cs="宋体" w:eastAsia="方正黑体_GBK"/>
                <w:sz w:val="18"/>
                <w:szCs w:val="18"/>
              </w:rPr>
              <w:t>2.接受全额赎回：当管理人认为有能力兑付投资者的全部赎回申请时，将在赎回确认日按正常赎回程序执行。</w:t>
            </w:r>
          </w:p>
          <w:p>
            <w:pPr>
              <w:pStyle w:val="null10"/>
              <w:spacing w:lineRule="exact" w:line="200"/>
            </w:pPr>
            <w:r>
              <w:rPr>
                <w:rFonts w:ascii="方正黑体_GBK" w:hAnsi="方正黑体_GBK" w:cs="宋体" w:eastAsia="方正黑体_GBK"/>
                <w:sz w:val="18"/>
                <w:szCs w:val="18"/>
              </w:rPr>
              <w:t>本理财产品发生巨额赎回、管理人接受部分赎回时，对于暂停接受和延期办理的部分，管理人可能需在下一个申购或赎回开放日才可确认，可能影响投资者的资金安排。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1.持有期28天以内的份额不可提出赎回申请，投资者应考虑产品最低持有期限并合理安排自身投资计划。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90fd7a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06e03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06e03a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06e03a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06e03a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06e03a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06e03a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06e03a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06e03a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南银理财珠联璧合悦稳（最低持有28天）公募人民币理财产品</w:t>
      </w:r>
      <w:r>
        <w:rPr>
          <w:rFonts w:ascii="方正黑体_GBK" w:eastAsia="方正黑体_GBK" w:hint="eastAsia" w:hAnsi="方正黑体_GBK"/>
          <w:vanish w:val="0"/>
          <w:color w:val="3D3D3D"/>
          <w:kern w:val="0"/>
          <w:sz w:val="15"/>
          <w:szCs w:val="15"/>
        </w:rPr>
        <w:t>。</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06e03a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06e03a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06e03a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06e03a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ed599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ed599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ed599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ed599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ed599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ed599a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06e03a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06e03a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06e03a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假设：投资者认购本理财产品10万元，确认认购的产品净值为1.000000元，折算份额100,000份。</w:t>
      </w:r>
    </w:p>
    <w:p>
      <w:pPr>
        <w:pStyle w:val="null10"/>
        <w:spacing w:lineRule="exact" w:line="200"/>
        <w:ind w:firstLine="280"/>
        <w:jc w:val="left"/>
      </w:pPr>
      <w:r>
        <w:rPr>
          <w:rFonts w:ascii="方正黑体_GBK" w:hAnsi="方正黑体_GBK" w:cs="宋体" w:eastAsia="方正黑体_GBK"/>
          <w:sz w:val="15"/>
          <w:szCs w:val="20"/>
        </w:rPr>
        <w:t>情景示例一：持有期满后某个赎回日投资者申请赎回50,000份，赎回确认日产品单位净值折算每份额净值1.0300，则客户在资金到帐日收到赎回资金为51,500元。</w:t>
      </w:r>
    </w:p>
    <w:p>
      <w:pPr>
        <w:pStyle w:val="null10"/>
        <w:spacing w:lineRule="exact" w:line="200"/>
        <w:ind w:firstLine="280"/>
        <w:jc w:val="left"/>
      </w:pPr>
      <w:r>
        <w:rPr>
          <w:rFonts w:ascii="方正黑体_GBK" w:hAnsi="方正黑体_GBK" w:cs="宋体" w:eastAsia="方正黑体_GBK"/>
          <w:sz w:val="15"/>
          <w:szCs w:val="20"/>
        </w:rPr>
        <w:t>情景示例二：持有期满后某个赎回日投资者申请赎回20,000份，赎回确认日产品单位净值折算每份额净值为0.9700，则客户在资金到帐日收到赎回资金为19,400元。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ed599a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90fd7a7"/>
        <w:keepNext w:val="0"/>
        <w:keepLines w:val="0"/>
        <w:pageBreakBefore w:val="0"/>
        <w:widowControl/>
        <w:suppressLineNumbers w:val="0"/>
        <w:suppressAutoHyphens w:val="0"/>
        <w:spacing w:line="200" w:lineRule="exact"/>
        <w:ind w:firstLineChars="200" w:firstLine="300"/>
        <w:rPr>
          <w:rStyle w:val="5ed599a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280"/>
        <w:jc w:val="left"/>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280"/>
        <w:jc w:val="left"/>
      </w:pPr>
      <w:r>
        <w:rPr>
          <w:rFonts w:ascii="方正黑体_GBK" w:hAnsi="方正黑体_GBK" w:cs="宋体" w:eastAsia="方正黑体_GBK"/>
          <w:sz w:val="15"/>
          <w:szCs w:val="20"/>
        </w:rPr>
        <w:t>1.银行存款、回购等货币市场工具</w:t>
      </w:r>
    </w:p>
    <w:p>
      <w:pPr>
        <w:pStyle w:val="null10"/>
        <w:spacing w:lineRule="exact" w:line="200"/>
        <w:ind w:firstLine="280"/>
        <w:jc w:val="left"/>
      </w:pPr>
      <w:r>
        <w:rPr>
          <w:rFonts w:ascii="方正黑体_GBK" w:hAnsi="方正黑体_GBK" w:cs="宋体" w:eastAsia="方正黑体_GBK"/>
          <w:sz w:val="15"/>
          <w:szCs w:val="20"/>
        </w:rPr>
        <w:t>以本金列示，按商定的利率在实际持有期间内逐日计提。</w:t>
      </w:r>
    </w:p>
    <w:p>
      <w:pPr>
        <w:pStyle w:val="null10"/>
        <w:spacing w:lineRule="exact" w:line="200"/>
        <w:ind w:firstLine="280"/>
        <w:jc w:val="left"/>
      </w:pPr>
      <w:r>
        <w:rPr>
          <w:rFonts w:ascii="方正黑体_GBK" w:hAnsi="方正黑体_GBK" w:cs="宋体" w:eastAsia="方正黑体_GBK"/>
          <w:sz w:val="15"/>
          <w:color w:val="3D3D3D"/>
          <w:szCs w:val="20"/>
        </w:rPr>
        <w:t>2.债券类资产</w:t>
      </w:r>
    </w:p>
    <w:p>
      <w:pPr>
        <w:pStyle w:val="null10"/>
        <w:spacing w:lineRule="exact" w:line="200"/>
        <w:ind w:firstLine="280"/>
        <w:jc w:val="left"/>
      </w:pPr>
      <w:r>
        <w:rPr>
          <w:rFonts w:ascii="方正黑体_GBK" w:hAnsi="方正黑体_GBK" w:cs="宋体" w:eastAsia="方正黑体_GBK"/>
          <w:sz w:val="15"/>
          <w:color w:val="3D3D3D"/>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pStyle w:val="null10"/>
        <w:spacing w:lineRule="exact" w:line="200"/>
        <w:ind w:firstLine="280"/>
        <w:jc w:val="left"/>
      </w:pPr>
      <w:r>
        <w:rPr>
          <w:rFonts w:ascii="方正黑体_GBK" w:hAnsi="方正黑体_GBK" w:cs="宋体" w:eastAsia="方正黑体_GBK"/>
          <w:sz w:val="15"/>
          <w:color w:val="3D3D3D"/>
          <w:szCs w:val="20"/>
        </w:rPr>
        <w:t>3.非标准化债权类资产</w:t>
      </w:r>
    </w:p>
    <w:p>
      <w:pPr>
        <w:pStyle w:val="null10"/>
        <w:spacing w:lineRule="exact" w:line="200"/>
        <w:ind w:firstLine="280"/>
        <w:jc w:val="left"/>
      </w:pPr>
      <w:r>
        <w:rPr>
          <w:rFonts w:ascii="方正黑体_GBK" w:hAnsi="方正黑体_GBK" w:cs="宋体" w:eastAsia="方正黑体_GBK"/>
          <w:sz w:val="15"/>
          <w:color w:val="3D3D3D"/>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280"/>
        <w:jc w:val="left"/>
      </w:pPr>
      <w:r>
        <w:rPr>
          <w:rFonts w:ascii="方正黑体_GBK" w:hAnsi="方正黑体_GBK" w:cs="宋体" w:eastAsia="方正黑体_GBK"/>
          <w:sz w:val="15"/>
          <w:color w:val="3D3D3D"/>
          <w:szCs w:val="20"/>
        </w:rPr>
        <w:t>4.证券投资基金</w:t>
      </w:r>
    </w:p>
    <w:p>
      <w:pPr>
        <w:pStyle w:val="null10"/>
        <w:spacing w:lineRule="exact" w:line="200"/>
        <w:ind w:firstLine="280"/>
        <w:jc w:val="left"/>
      </w:pPr>
      <w:r>
        <w:rPr>
          <w:rFonts w:ascii="方正黑体_GBK" w:hAnsi="方正黑体_GBK" w:cs="宋体" w:eastAsia="方正黑体_GBK"/>
          <w:sz w:val="15"/>
          <w:color w:val="3D3D3D"/>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pStyle w:val="null10"/>
        <w:spacing w:lineRule="exact" w:line="200"/>
        <w:ind w:firstLine="280"/>
        <w:jc w:val="left"/>
      </w:pPr>
      <w:r>
        <w:rPr>
          <w:rFonts w:ascii="方正黑体_GBK" w:hAnsi="方正黑体_GBK" w:cs="宋体" w:eastAsia="方正黑体_GBK"/>
          <w:sz w:val="15"/>
          <w:color w:val="3D3D3D"/>
          <w:szCs w:val="20"/>
        </w:rPr>
        <w:t>5.股权类资产</w:t>
      </w:r>
    </w:p>
    <w:p>
      <w:pPr>
        <w:pStyle w:val="null10"/>
        <w:spacing w:lineRule="exact" w:line="200"/>
        <w:ind w:firstLine="280"/>
        <w:jc w:val="left"/>
      </w:pPr>
      <w:r>
        <w:rPr>
          <w:rFonts w:ascii="方正黑体_GBK" w:hAnsi="方正黑体_GBK" w:cs="宋体" w:eastAsia="方正黑体_GBK"/>
          <w:sz w:val="15"/>
          <w:color w:val="3D3D3D"/>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6.资管计划、信托计划等资产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7.其他资产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存在公允价值的，按照公允价值估值，或采用估值技术确定估值，也可采用被委托机构提供的估值或计量报告。具体可参考《企业会计准则》以及相关监管政策的规定。</w:t>
      </w:r>
    </w:p>
    <w:p>
      <w:pPr>
        <w:pStyle w:val="null10"/>
        <w:spacing w:lineRule="exact" w:line="200"/>
        <w:ind w:firstLine="280"/>
        <w:jc w:val="left"/>
      </w:pPr>
      <w:r>
        <w:rPr>
          <w:rFonts w:ascii="方正黑体_GBK" w:hAnsi="方正黑体_GBK" w:cs="宋体" w:eastAsia="方正黑体_GBK"/>
          <w:sz w:val="15"/>
          <w:color w:val="3D3D3D"/>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pStyle w:val="null10"/>
        <w:spacing w:lineRule="exact" w:line="200"/>
        <w:ind w:firstLine="280"/>
        <w:jc w:val="left"/>
      </w:pPr>
      <w:r>
        <w:rPr>
          <w:rFonts w:ascii="方正黑体_GBK" w:hAnsi="方正黑体_GBK" w:cs="宋体" w:eastAsia="方正黑体_GBK"/>
          <w:sz w:val="15"/>
          <w:color w:val="3D3D3D"/>
          <w:szCs w:val="20"/>
        </w:rPr>
        <w:t>9.如有新增事项或变更事项，按国家最新规定或管理人最新的约定估值。</w:t>
      </w:r>
    </w:p>
    <w:p>
      <w:pPr>
        <w:pStyle w:val="null10"/>
        <w:spacing w:lineRule="exact" w:line="200"/>
        <w:ind w:firstLine="280"/>
        <w:jc w:val="left"/>
      </w:pPr>
      <w:r>
        <w:rPr>
          <w:rFonts w:ascii="方正黑体_GBK" w:hAnsi="方正黑体_GBK" w:cs="宋体" w:eastAsia="方正黑体_GBK"/>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90fd7a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90fd7a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按日</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90fd7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90fd7a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90fd7a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90fd7a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90fd7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90fd7a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c946ba3">
    <w:name w:val="Normal3c946ba3"/>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5ef6e30">
    <w:name w:val="heading 155ef6e30"/>
    <w:basedOn w:val="3c946ba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106650e">
    <w:name w:val="heading 22106650e"/>
    <w:basedOn w:val="3c946ba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0fa81e2">
    <w:name w:val="heading 330fa81e2"/>
    <w:basedOn w:val="3c946ba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ed0c276">
    <w:name w:val="Default Paragraph Fontced0c276"/>
  </w:style>
  <w:style xmlns:r="http://schemas.openxmlformats.org/officeDocument/2006/relationships" w:type="paragraph" w:styleId="56ccc225">
    <w:name w:val="toc 156ccc225"/>
    <w:basedOn w:val="3c946ba3"/>
    <w:autoRedefine/>
    <w:next w:val="0"/>
  </w:style>
  <w:style xmlns:r="http://schemas.openxmlformats.org/officeDocument/2006/relationships" w:type="paragraph" w:styleId="fd064053">
    <w:name w:val="toc 2fd064053"/>
    <w:basedOn w:val="3c946ba3"/>
    <w:autoRedefine/>
    <w:next w:val="0"/>
    <w:pPr>
      <w:ind w:left="420"/>
    </w:pPr>
  </w:style>
  <w:style xmlns:r="http://schemas.openxmlformats.org/officeDocument/2006/relationships" w:type="paragraph" w:styleId="2f01271b">
    <w:name w:val="toc 32f01271b"/>
    <w:basedOn w:val="3c946ba3"/>
    <w:autoRedefine/>
    <w:next w:val="0"/>
    <w:pPr>
      <w:ind w:left="840"/>
    </w:pPr>
  </w:style>
  <w:style xmlns:r="http://schemas.openxmlformats.org/officeDocument/2006/relationships" w:type="paragraph" w:styleId="64b814f6">
    <w:name w:val="toc 464b814f6"/>
    <w:basedOn w:val="3c946ba3"/>
    <w:autoRedefine/>
    <w:next w:val="0"/>
    <w:pPr>
      <w:ind w:left="1260"/>
    </w:pPr>
  </w:style>
  <w:style xmlns:r="http://schemas.openxmlformats.org/officeDocument/2006/relationships" w:type="paragraph" w:styleId="1ca0211d">
    <w:name w:val="toc 51ca0211d"/>
    <w:basedOn w:val="3c946ba3"/>
    <w:autoRedefine/>
    <w:next w:val="0"/>
    <w:pPr>
      <w:ind w:left="1680"/>
    </w:pPr>
  </w:style>
  <w:style xmlns:r="http://schemas.openxmlformats.org/officeDocument/2006/relationships" w:type="paragraph" w:styleId="43bc00d0">
    <w:name w:val="header43bc00d0"/>
    <w:basedOn w:val="3c946ba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45cea30">
    <w:name w:val="footer445cea30"/>
    <w:basedOn w:val="3c946ba3"/>
    <w:pPr>
      <w:tabs>
        <w:tab w:val="center" w:pos="4153"/>
        <w:tab w:val="right" w:pos="8307"/>
      </w:tabs>
      <w:adjustRightInd/>
      <w:snapToGrid w:val="0"/>
      <w:contextualSpacing w:val="0"/>
      <w:jc w:val="left"/>
    </w:pPr>
    <w:rPr>
      <w:sz w:val="18"/>
    </w:rPr>
  </w:style>
  <w:style xmlns:r="http://schemas.openxmlformats.org/officeDocument/2006/relationships" w:type="character" w:styleId="36cb445e">
    <w:name w:val="Strong36cb445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90fd7a7">
    <w:name w:val="Normal290fd7a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88c2477">
    <w:name w:val="heading 1588c2477"/>
    <w:basedOn w:val="290fd7a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bbf1bf2">
    <w:name w:val="heading 24bbf1bf2"/>
    <w:basedOn w:val="290fd7a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66c6011">
    <w:name w:val="heading 3c66c6011"/>
    <w:basedOn w:val="290fd7a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a8327cc">
    <w:name w:val="Default Paragraph Font7a8327cc"/>
  </w:style>
  <w:style xmlns:r="http://schemas.openxmlformats.org/officeDocument/2006/relationships" w:type="paragraph" w:styleId="98f20819">
    <w:name w:val="Normal Indent98f20819"/>
    <w:basedOn w:val="290fd7a7"/>
    <w:pPr>
      <w:ind w:firstLineChars="200" w:firstLine="200"/>
    </w:pPr>
  </w:style>
  <w:style xmlns:r="http://schemas.openxmlformats.org/officeDocument/2006/relationships" w:type="paragraph" w:styleId="e5ed91f2">
    <w:name w:val="toc 5e5ed91f2"/>
    <w:basedOn w:val="290fd7a7"/>
    <w:next w:val="0"/>
    <w:pPr>
      <w:ind w:left="1680"/>
    </w:pPr>
  </w:style>
  <w:style xmlns:r="http://schemas.openxmlformats.org/officeDocument/2006/relationships" w:type="paragraph" w:styleId="44fce32c">
    <w:name w:val="toc 344fce32c"/>
    <w:basedOn w:val="290fd7a7"/>
    <w:next w:val="0"/>
    <w:pPr>
      <w:ind w:left="840"/>
    </w:pPr>
  </w:style>
  <w:style xmlns:r="http://schemas.openxmlformats.org/officeDocument/2006/relationships" w:type="paragraph" w:styleId="b81b6e62">
    <w:name w:val="footerb81b6e62"/>
    <w:basedOn w:val="290fd7a7"/>
    <w:pPr>
      <w:tabs>
        <w:tab w:val="center" w:pos="4153"/>
        <w:tab w:val="right" w:pos="8307"/>
      </w:tabs>
      <w:adjustRightInd/>
      <w:snapToGrid w:val="0"/>
      <w:contextualSpacing w:val="0"/>
      <w:jc w:val="left"/>
    </w:pPr>
    <w:rPr>
      <w:sz w:val="18"/>
    </w:rPr>
  </w:style>
  <w:style xmlns:r="http://schemas.openxmlformats.org/officeDocument/2006/relationships" w:type="paragraph" w:styleId="5de2c6c8">
    <w:name w:val="header5de2c6c8"/>
    <w:basedOn w:val="290fd7a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5c9f45c">
    <w:name w:val="toc 165c9f45c"/>
    <w:basedOn w:val="290fd7a7"/>
    <w:next w:val="0"/>
  </w:style>
  <w:style xmlns:r="http://schemas.openxmlformats.org/officeDocument/2006/relationships" w:type="paragraph" w:styleId="63452167">
    <w:name w:val="toc 463452167"/>
    <w:basedOn w:val="290fd7a7"/>
    <w:next w:val="0"/>
    <w:pPr>
      <w:ind w:left="1260"/>
    </w:pPr>
  </w:style>
  <w:style xmlns:r="http://schemas.openxmlformats.org/officeDocument/2006/relationships" w:type="paragraph" w:styleId="5abd77c3">
    <w:name w:val="toc 25abd77c3"/>
    <w:basedOn w:val="290fd7a7"/>
    <w:next w:val="0"/>
    <w:pPr>
      <w:ind w:left="420"/>
    </w:pPr>
  </w:style>
  <w:style xmlns:r="http://schemas.openxmlformats.org/officeDocument/2006/relationships" w:type="paragraph" w:styleId="5cef89d5">
    <w:name w:val="Normal (Web)5cef89d5"/>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06e03a3">
    <w:name w:val="Normal806e03a3806e03a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340cc13">
    <w:name w:val="heading 13340cc133340cc13"/>
    <w:basedOn w:val="806e03a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81f6747">
    <w:name w:val="heading 2481f6747481f6747"/>
    <w:basedOn w:val="806e03a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2cb65f8">
    <w:name w:val="heading 312cb65f812cb65f8"/>
    <w:basedOn w:val="806e03a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3d429bc">
    <w:name w:val="Default Paragraph Font03d429bc03d429bc"/>
  </w:style>
  <w:style xmlns:r="http://schemas.openxmlformats.org/officeDocument/2006/relationships" w:type="paragraph" w:customStyle="1" w:styleId="47febf98">
    <w:name w:val="引文目录147febf9847febf98"/>
    <w:basedOn w:val="806e03a3"/>
    <w:next w:val="0"/>
    <w:pPr>
      <w:ind w:leftChars="200" w:left="200"/>
    </w:pPr>
  </w:style>
  <w:style xmlns:r="http://schemas.openxmlformats.org/officeDocument/2006/relationships" w:type="paragraph" w:styleId="835e9a3a">
    <w:name w:val="toc 5835e9a3a835e9a3a"/>
    <w:basedOn w:val="806e03a3"/>
    <w:next w:val="0"/>
    <w:pPr>
      <w:ind w:left="1680"/>
    </w:pPr>
  </w:style>
  <w:style xmlns:r="http://schemas.openxmlformats.org/officeDocument/2006/relationships" w:type="paragraph" w:styleId="53976a98">
    <w:name w:val="toc 353976a9853976a98"/>
    <w:basedOn w:val="806e03a3"/>
    <w:next w:val="0"/>
    <w:pPr>
      <w:ind w:left="840"/>
    </w:pPr>
  </w:style>
  <w:style xmlns:r="http://schemas.openxmlformats.org/officeDocument/2006/relationships" w:type="paragraph" w:styleId="1eab3e30">
    <w:name w:val="footer1eab3e301eab3e30"/>
    <w:basedOn w:val="806e03a3"/>
    <w:pPr>
      <w:tabs>
        <w:tab w:val="center" w:pos="4153"/>
        <w:tab w:val="right" w:pos="8307"/>
      </w:tabs>
      <w:adjustRightInd/>
      <w:snapToGrid w:val="0"/>
      <w:contextualSpacing w:val="0"/>
      <w:jc w:val="left"/>
    </w:pPr>
    <w:rPr>
      <w:sz w:val="18"/>
    </w:rPr>
  </w:style>
  <w:style xmlns:r="http://schemas.openxmlformats.org/officeDocument/2006/relationships" w:type="paragraph" w:styleId="1aa22407">
    <w:name w:val="header1aa224071aa22407"/>
    <w:basedOn w:val="806e03a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3568e82">
    <w:name w:val="toc 1d3568e82d3568e82"/>
    <w:basedOn w:val="806e03a3"/>
    <w:next w:val="0"/>
  </w:style>
  <w:style xmlns:r="http://schemas.openxmlformats.org/officeDocument/2006/relationships" w:type="paragraph" w:styleId="a58799b2">
    <w:name w:val="toc 4a58799b2a58799b2"/>
    <w:basedOn w:val="806e03a3"/>
    <w:next w:val="0"/>
    <w:pPr>
      <w:ind w:left="1260"/>
    </w:pPr>
  </w:style>
  <w:style xmlns:r="http://schemas.openxmlformats.org/officeDocument/2006/relationships" w:type="paragraph" w:styleId="40ddffc8">
    <w:name w:val="toc 240ddffc840ddffc8"/>
    <w:basedOn w:val="806e03a3"/>
    <w:next w:val="0"/>
    <w:pPr>
      <w:ind w:left="420"/>
    </w:pPr>
  </w:style>
  <w:style xmlns:r="http://schemas.openxmlformats.org/officeDocument/2006/relationships" w:type="paragraph" w:customStyle="1" w:styleId="5ed599ac">
    <w:name w:val="列出段落15ed599ac5ed599a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11</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2024-01-04T09:35:20Z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