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苏银理财启源现金5号</w:t>
      </w:r>
      <w:r>
        <w:rPr>
          <w:rFonts w:hint="eastAsia" w:ascii="楷体" w:hAnsi="楷体" w:eastAsia="楷体" w:cs="楷体"/>
          <w:b/>
          <w:sz w:val="36"/>
          <w:szCs w:val="36"/>
        </w:rPr>
        <w:t>”理财产品</w:t>
      </w:r>
    </w:p>
    <w:p>
      <w:pPr>
        <w:pStyle w:val="8"/>
        <w:spacing w:before="0" w:beforeAutospacing="0" w:after="0" w:afterAutospacing="0"/>
        <w:jc w:val="center"/>
        <w:rPr>
          <w:rFonts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ascii="楷体" w:hAnsi="楷体" w:eastAsia="楷体" w:cs="楷体"/>
        </w:rPr>
      </w:pPr>
      <w:r>
        <w:rPr>
          <w:rFonts w:hint="eastAsia" w:ascii="楷体" w:hAnsi="楷体" w:eastAsia="楷体" w:cs="楷体"/>
        </w:rPr>
        <w:t>“</w:t>
      </w:r>
      <w:r>
        <w:rPr>
          <w:rFonts w:hint="eastAsia" w:ascii="楷体" w:hAnsi="楷体" w:eastAsia="楷体" w:cs="楷体"/>
          <w:spacing w:val="-7"/>
        </w:rPr>
        <w:t>苏银理财启源现金5号</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2023年04月27日</w:t>
      </w:r>
      <w:r>
        <w:rPr>
          <w:rFonts w:hint="eastAsia" w:ascii="楷体" w:hAnsi="楷体" w:eastAsia="楷体" w:cs="楷体"/>
        </w:rPr>
        <w:t>成立，于</w:t>
      </w:r>
      <w:r>
        <w:rPr>
          <w:rFonts w:hint="eastAsia" w:ascii="楷体" w:hAnsi="楷体" w:eastAsia="楷体" w:cs="楷体"/>
          <w:spacing w:val="-7"/>
        </w:rPr>
        <w:t>2023年04月27日</w:t>
      </w:r>
      <w:r>
        <w:rPr>
          <w:rFonts w:hint="eastAsia" w:ascii="楷体" w:hAnsi="楷体" w:eastAsia="楷体" w:cs="楷体"/>
        </w:rPr>
        <w:t>正式投资运作。</w:t>
      </w:r>
    </w:p>
    <w:p>
      <w:pPr>
        <w:pStyle w:val="8"/>
        <w:spacing w:before="0" w:beforeAutospacing="0" w:after="0" w:afterAutospacing="0" w:line="360" w:lineRule="auto"/>
        <w:rPr>
          <w:rFonts w:ascii="楷体" w:hAnsi="楷体" w:eastAsia="楷体" w:cs="楷体"/>
        </w:rPr>
      </w:pPr>
    </w:p>
    <w:p>
      <w:pPr>
        <w:pStyle w:val="2"/>
        <w:rPr>
          <w:rFonts w:ascii="楷体" w:hAnsi="楷体" w:cs="楷体"/>
        </w:rPr>
      </w:pPr>
      <w:r>
        <w:rPr>
          <w:rFonts w:hint="eastAsia" w:ascii="楷体" w:hAnsi="楷体" w:cs="楷体"/>
        </w:rPr>
        <w:t>一</w:t>
      </w:r>
      <w:bookmarkStart w:id="0" w:name="_Toc535504139"/>
      <w:r>
        <w:rPr>
          <w:rFonts w:hint="eastAsia" w:ascii="楷体" w:hAnsi="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sz w:val="24"/>
                <w:szCs w:val="24"/>
                <w:highlight w:val="yellow"/>
              </w:rPr>
            </w:pPr>
            <w:r>
              <w:rPr>
                <w:rFonts w:hint="eastAsia"/>
                <w:spacing w:val="-6"/>
                <w:sz w:val="24"/>
                <w:szCs w:val="24"/>
              </w:rPr>
              <w:t>苏银理财启源现金5号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sz w:val="24"/>
                <w:szCs w:val="24"/>
                <w:highlight w:val="yellow"/>
              </w:rPr>
            </w:pPr>
            <w:r>
              <w:rPr>
                <w:rFonts w:hint="eastAsia"/>
                <w:spacing w:val="-1"/>
                <w:sz w:val="24"/>
                <w:szCs w:val="24"/>
              </w:rPr>
              <w:t>Z7003123000050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sz w:val="24"/>
                <w:szCs w:val="24"/>
                <w:highlight w:val="yellow"/>
              </w:rPr>
            </w:pPr>
            <w:r>
              <w:rPr>
                <w:rFonts w:hint="eastAsia"/>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sz w:val="24"/>
                <w:szCs w:val="24"/>
                <w:highlight w:val="yellow"/>
              </w:rPr>
            </w:pPr>
            <w:r>
              <w:rPr>
                <w:rFonts w:hint="eastAsia"/>
                <w:spacing w:val="-1"/>
                <w:sz w:val="24"/>
                <w:szCs w:val="24"/>
              </w:rPr>
              <w:t>7,415,740,641.35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sz w:val="24"/>
                <w:szCs w:val="24"/>
                <w:highlight w:val="yellow"/>
              </w:rPr>
            </w:pPr>
            <w:r>
              <w:rPr>
                <w:rFonts w:hint="eastAsia"/>
                <w:spacing w:val="-1"/>
                <w:sz w:val="24"/>
                <w:szCs w:val="24"/>
              </w:rPr>
              <w:t>7,415,740,641.35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sz w:val="24"/>
                <w:szCs w:val="24"/>
                <w:highlight w:val="yellow"/>
              </w:rPr>
            </w:pPr>
            <w:r>
              <w:rPr>
                <w:rFonts w:hint="eastAsia"/>
                <w:spacing w:val="-8"/>
                <w:sz w:val="24"/>
                <w:szCs w:val="24"/>
              </w:rPr>
              <w:t>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sz w:val="24"/>
                <w:szCs w:val="24"/>
                <w:highlight w:val="yellow"/>
              </w:rPr>
            </w:pPr>
            <w:r>
              <w:rPr>
                <w:rFonts w:hint="eastAsia"/>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sz w:val="24"/>
                <w:szCs w:val="24"/>
                <w:highlight w:val="yellow"/>
              </w:rPr>
            </w:pPr>
            <w:r>
              <w:rPr>
                <w:rFonts w:hint="eastAsia"/>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sz w:val="24"/>
                <w:szCs w:val="24"/>
                <w:highlight w:val="yellow"/>
              </w:rPr>
            </w:pPr>
            <w:r>
              <w:rPr>
                <w:rFonts w:hint="eastAsia"/>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sz w:val="24"/>
                <w:szCs w:val="24"/>
                <w:highlight w:val="yellow"/>
              </w:rPr>
            </w:pPr>
            <w:r>
              <w:rPr>
                <w:rFonts w:hint="eastAsia"/>
                <w:spacing w:val="-1"/>
                <w:sz w:val="24"/>
                <w:szCs w:val="24"/>
              </w:rPr>
              <w:t>31000188000526885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sz w:val="24"/>
                <w:szCs w:val="24"/>
              </w:rPr>
            </w:pPr>
            <w:r>
              <w:rPr>
                <w:rFonts w:hint="eastAsia"/>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sz w:val="24"/>
                <w:szCs w:val="24"/>
              </w:rPr>
            </w:pPr>
            <w:r>
              <w:rPr>
                <w:rFonts w:hint="eastAsia"/>
                <w:spacing w:val="-1"/>
                <w:sz w:val="24"/>
                <w:szCs w:val="24"/>
              </w:rPr>
              <w:t>7,416,609,631.75</w:t>
            </w:r>
            <w:r>
              <w:rPr>
                <w:rFonts w:hint="eastAsia"/>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sz w:val="24"/>
                <w:szCs w:val="24"/>
              </w:rPr>
            </w:pPr>
            <w:r>
              <w:rPr>
                <w:rFonts w:hint="eastAsia"/>
                <w:spacing w:val="-4"/>
                <w:sz w:val="24"/>
                <w:szCs w:val="24"/>
              </w:rPr>
              <w:t>100.01%</w:t>
            </w:r>
          </w:p>
        </w:tc>
      </w:tr>
    </w:tbl>
    <w:p>
      <w:pPr>
        <w:pStyle w:val="14"/>
        <w:rPr>
          <w:rFonts w:ascii="楷体" w:hAnsi="楷体" w:cs="楷体"/>
        </w:rPr>
      </w:pPr>
    </w:p>
    <w:p>
      <w:pPr>
        <w:pStyle w:val="2"/>
        <w:rPr>
          <w:rFonts w:ascii="楷体" w:hAnsi="楷体" w:cs="楷体"/>
        </w:rPr>
      </w:pPr>
      <w:r>
        <w:rPr>
          <w:rFonts w:hint="eastAsia" w:ascii="楷体" w:hAnsi="楷体" w:cs="楷体"/>
        </w:rPr>
        <w:t>二、产品收益与业绩比较基准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1"/>
        <w:gridCol w:w="1961"/>
        <w:gridCol w:w="1462"/>
        <w:gridCol w:w="1712"/>
        <w:gridCol w:w="1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1" w:type="dxa"/>
          </w:tcPr>
          <w:p>
            <w:pPr>
              <w:spacing w:line="320" w:lineRule="exact"/>
              <w:jc w:val="center"/>
              <w:rPr>
                <w:rFonts w:ascii="楷体" w:hAnsi="楷体" w:eastAsia="楷体" w:cs="楷体"/>
                <w:sz w:val="21"/>
                <w:szCs w:val="21"/>
              </w:rPr>
            </w:pPr>
            <w:r>
              <w:rPr>
                <w:rFonts w:hint="eastAsia" w:ascii="楷体" w:hAnsi="楷体" w:eastAsia="楷体" w:cs="楷体"/>
                <w:sz w:val="21"/>
                <w:szCs w:val="21"/>
              </w:rPr>
              <w:t>报告日期</w:t>
            </w:r>
          </w:p>
        </w:tc>
        <w:tc>
          <w:tcPr>
            <w:tcW w:w="1961" w:type="dxa"/>
          </w:tcPr>
          <w:p>
            <w:pPr>
              <w:spacing w:line="320" w:lineRule="exact"/>
              <w:jc w:val="center"/>
              <w:rPr>
                <w:rFonts w:ascii="楷体" w:hAnsi="楷体" w:eastAsia="楷体" w:cs="楷体"/>
                <w:sz w:val="21"/>
                <w:szCs w:val="21"/>
              </w:rPr>
            </w:pPr>
            <w:r>
              <w:rPr>
                <w:rFonts w:hint="eastAsia" w:ascii="楷体" w:hAnsi="楷体" w:eastAsia="楷体" w:cs="楷体"/>
                <w:sz w:val="21"/>
                <w:szCs w:val="21"/>
              </w:rPr>
              <w:t>销售名称</w:t>
            </w:r>
          </w:p>
        </w:tc>
        <w:tc>
          <w:tcPr>
            <w:tcW w:w="1462" w:type="dxa"/>
          </w:tcPr>
          <w:p>
            <w:pPr>
              <w:jc w:val="center"/>
              <w:rPr>
                <w:rFonts w:ascii="楷体" w:hAnsi="楷体" w:eastAsia="楷体" w:cs="楷体"/>
                <w:sz w:val="21"/>
                <w:szCs w:val="21"/>
              </w:rPr>
            </w:pPr>
            <w:r>
              <w:rPr>
                <w:rFonts w:hint="eastAsia" w:ascii="楷体" w:hAnsi="楷体" w:eastAsia="楷体" w:cs="楷体"/>
                <w:sz w:val="21"/>
                <w:szCs w:val="21"/>
              </w:rPr>
              <w:t>每万份收益</w:t>
            </w:r>
          </w:p>
        </w:tc>
        <w:tc>
          <w:tcPr>
            <w:tcW w:w="1712" w:type="dxa"/>
          </w:tcPr>
          <w:p>
            <w:pPr>
              <w:jc w:val="center"/>
              <w:rPr>
                <w:rFonts w:ascii="楷体" w:hAnsi="楷体" w:eastAsia="楷体" w:cs="楷体"/>
                <w:sz w:val="21"/>
                <w:szCs w:val="21"/>
              </w:rPr>
            </w:pPr>
            <w:r>
              <w:rPr>
                <w:rFonts w:hint="eastAsia" w:ascii="楷体" w:hAnsi="楷体" w:eastAsia="楷体" w:cs="楷体"/>
                <w:sz w:val="21"/>
                <w:szCs w:val="21"/>
              </w:rPr>
              <w:t>七日年化收益率</w:t>
            </w:r>
          </w:p>
        </w:tc>
        <w:tc>
          <w:tcPr>
            <w:tcW w:w="1525" w:type="dxa"/>
          </w:tcPr>
          <w:p>
            <w:pPr>
              <w:jc w:val="center"/>
              <w:rPr>
                <w:rFonts w:ascii="楷体" w:hAnsi="楷体" w:eastAsia="楷体" w:cs="楷体"/>
                <w:sz w:val="21"/>
                <w:szCs w:val="21"/>
              </w:rPr>
            </w:pPr>
            <w:r>
              <w:rPr>
                <w:rFonts w:hint="eastAsia" w:ascii="楷体" w:hAnsi="楷体" w:eastAsia="楷体" w:cs="楷体"/>
                <w:sz w:val="21"/>
                <w:szCs w:val="21"/>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1" w:type="dxa"/>
          </w:tcPr>
          <w:p>
            <w:pPr>
              <w:jc w:val="left"/>
              <w:rPr>
                <w:rFonts w:ascii="楷体" w:hAnsi="楷体" w:eastAsia="楷体" w:cs="楷体"/>
                <w:sz w:val="22"/>
              </w:rPr>
            </w:pPr>
            <w:r>
              <w:rPr>
                <w:rFonts w:hint="eastAsia" w:ascii="楷体" w:hAnsi="楷体" w:eastAsia="楷体" w:cs="楷体"/>
                <w:sz w:val="22"/>
              </w:rPr>
              <w:t>2025-06-30</w:t>
            </w:r>
          </w:p>
        </w:tc>
        <w:tc>
          <w:tcPr>
            <w:tcW w:w="1961" w:type="dxa"/>
          </w:tcPr>
          <w:p>
            <w:pPr>
              <w:jc w:val="left"/>
              <w:rPr>
                <w:rFonts w:ascii="楷体" w:hAnsi="楷体" w:eastAsia="楷体" w:cs="楷体"/>
                <w:sz w:val="22"/>
              </w:rPr>
            </w:pPr>
            <w:r>
              <w:rPr>
                <w:rFonts w:hint="eastAsia" w:ascii="楷体" w:hAnsi="楷体" w:eastAsia="楷体" w:cs="楷体"/>
                <w:sz w:val="22"/>
              </w:rPr>
              <w:t>苏银理财启源现金5号K</w:t>
            </w:r>
          </w:p>
        </w:tc>
        <w:tc>
          <w:tcPr>
            <w:tcW w:w="1462" w:type="dxa"/>
          </w:tcPr>
          <w:p>
            <w:pPr>
              <w:jc w:val="left"/>
              <w:rPr>
                <w:rFonts w:ascii="楷体" w:hAnsi="楷体" w:eastAsia="楷体" w:cs="楷体"/>
                <w:sz w:val="22"/>
              </w:rPr>
            </w:pPr>
            <w:r>
              <w:rPr>
                <w:rFonts w:hint="eastAsia" w:ascii="楷体" w:hAnsi="楷体" w:eastAsia="楷体" w:cs="楷体"/>
                <w:sz w:val="22"/>
              </w:rPr>
              <w:t>0.4807</w:t>
            </w:r>
          </w:p>
        </w:tc>
        <w:tc>
          <w:tcPr>
            <w:tcW w:w="1712" w:type="dxa"/>
          </w:tcPr>
          <w:p>
            <w:pPr>
              <w:jc w:val="left"/>
              <w:rPr>
                <w:rFonts w:ascii="楷体" w:hAnsi="楷体" w:eastAsia="楷体" w:cs="楷体"/>
                <w:sz w:val="22"/>
              </w:rPr>
            </w:pPr>
            <w:r>
              <w:rPr>
                <w:rFonts w:hint="eastAsia" w:ascii="楷体" w:hAnsi="楷体" w:eastAsia="楷体" w:cs="楷体"/>
                <w:sz w:val="22"/>
              </w:rPr>
              <w:t>1.62%</w:t>
            </w:r>
          </w:p>
        </w:tc>
        <w:tc>
          <w:tcPr>
            <w:tcW w:w="1525" w:type="dxa"/>
          </w:tcPr>
          <w:p>
            <w:pPr>
              <w:jc w:val="left"/>
              <w:rPr>
                <w:rFonts w:ascii="楷体" w:hAnsi="楷体" w:eastAsia="楷体" w:cs="楷体"/>
                <w:sz w:val="22"/>
              </w:rPr>
            </w:pPr>
            <w:r>
              <w:rPr>
                <w:rFonts w:hint="eastAsia" w:ascii="楷体" w:hAnsi="楷体" w:eastAsia="楷体" w:cs="楷体"/>
                <w:sz w:val="22"/>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苏银理财启源现金5号N</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0.7926</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2.94%</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苏银理财启源现金5号H</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0.4807</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1.62%</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苏银理财启源现金5号JS鑫福款</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0.5191</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1.76%</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苏银理财启源现金5号J</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0.7865</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2.91%</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苏银理财启源现金5号S</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0.4807</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1.62%</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苏银理财启源现金5号B</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0.4697</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1.58%</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苏银理财启源现金5号X</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0.4807</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1.62%</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苏银理财启源现金5号A</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0.4807</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1.62%</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苏银理财启源现金5号W</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0.3985</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1.32%</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苏银理财启源现金5号DG</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0.4995</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1.84%</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苏银理财启源现金5号P</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0.8078</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2.99%</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苏银理财启源现金5号F</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0.4807</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1.62%</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bl>
    <w:p>
      <w:pPr>
        <w:rPr>
          <w:rFonts w:ascii="楷体" w:hAnsi="楷体" w:eastAsia="楷体" w:cs="楷体"/>
        </w:rPr>
      </w:pPr>
    </w:p>
    <w:p>
      <w:pPr>
        <w:rPr>
          <w:rFonts w:ascii="楷体" w:hAnsi="楷体" w:eastAsia="楷体" w:cs="楷体"/>
          <w:sz w:val="21"/>
          <w:szCs w:val="21"/>
        </w:rPr>
      </w:pPr>
      <w:r>
        <w:rPr>
          <w:rFonts w:hint="eastAsia" w:ascii="楷体" w:hAnsi="楷体" w:eastAsia="楷体" w:cs="楷体"/>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hAnsi="楷体" w:eastAsia="楷体" w:cs="楷体"/>
        </w:rPr>
      </w:pPr>
    </w:p>
    <w:p>
      <w:pPr>
        <w:pStyle w:val="2"/>
        <w:ind w:left="0"/>
        <w:rPr>
          <w:rFonts w:ascii="楷体" w:hAnsi="楷体" w:cs="楷体"/>
        </w:rPr>
      </w:pPr>
      <w:r>
        <w:rPr>
          <w:rFonts w:hint="eastAsia" w:ascii="楷体" w:hAnsi="楷体" w:cs="楷体"/>
        </w:rPr>
        <w:t>三、产品投资组合情况</w:t>
      </w:r>
    </w:p>
    <w:p>
      <w:pPr>
        <w:pStyle w:val="2"/>
        <w:rPr>
          <w:rFonts w:ascii="楷体" w:hAnsi="楷体" w:cs="楷体"/>
          <w:b w:val="0"/>
          <w:sz w:val="21"/>
        </w:rPr>
      </w:pPr>
      <w:r>
        <w:rPr>
          <w:rFonts w:hint="eastAsia" w:ascii="楷体" w:hAnsi="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ascii="楷体" w:hAnsi="楷体" w:eastAsia="楷体" w:cs="楷体"/>
                <w:sz w:val="24"/>
                <w:szCs w:val="24"/>
              </w:rPr>
            </w:pPr>
            <w:r>
              <w:rPr>
                <w:rFonts w:hint="eastAsia" w:ascii="楷体" w:hAnsi="楷体" w:eastAsia="楷体" w:cs="楷体"/>
                <w:sz w:val="24"/>
                <w:szCs w:val="24"/>
              </w:rPr>
              <w:t>74.37%</w:t>
            </w:r>
          </w:p>
        </w:tc>
        <w:tc>
          <w:tcPr>
            <w:tcW w:w="2550" w:type="dxa"/>
            <w:vAlign w:val="center"/>
          </w:tcPr>
          <w:p>
            <w:pPr>
              <w:jc w:val="center"/>
              <w:rPr>
                <w:rFonts w:ascii="楷体" w:hAnsi="楷体" w:eastAsia="楷体" w:cs="楷体"/>
                <w:sz w:val="24"/>
                <w:szCs w:val="24"/>
              </w:rPr>
            </w:pPr>
            <w:r>
              <w:rPr>
                <w:rFonts w:hint="eastAsia" w:ascii="楷体" w:hAnsi="楷体" w:eastAsia="楷体" w:cs="楷体"/>
                <w:sz w:val="24"/>
                <w:szCs w:val="24"/>
              </w:rPr>
              <w:t>25.63%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jc w:val="center"/>
              <w:rPr>
                <w:rFonts w:ascii="楷体" w:hAnsi="楷体" w:eastAsia="楷体" w:cs="楷体"/>
                <w:sz w:val="24"/>
                <w:szCs w:val="24"/>
              </w:rPr>
            </w:pPr>
            <w:r>
              <w:rPr>
                <w:rFonts w:hint="eastAsia" w:ascii="楷体" w:hAnsi="楷体" w:eastAsia="楷体" w:cs="楷体"/>
                <w:sz w:val="24"/>
                <w:szCs w:val="24"/>
              </w:rPr>
              <w:t>合计</w:t>
            </w:r>
          </w:p>
        </w:tc>
        <w:tc>
          <w:tcPr>
            <w:tcW w:w="2610" w:type="dxa"/>
            <w:shd w:val="clear" w:color="auto" w:fill="auto"/>
            <w:vAlign w:val="center"/>
          </w:tcPr>
          <w:p>
            <w:pPr>
              <w:jc w:val="center"/>
              <w:rPr>
                <w:rFonts w:ascii="楷体" w:hAnsi="楷体" w:eastAsia="楷体" w:cs="楷体"/>
                <w:sz w:val="24"/>
                <w:szCs w:val="24"/>
              </w:rPr>
            </w:pPr>
            <w:r>
              <w:rPr>
                <w:rFonts w:hint="eastAsia" w:ascii="楷体" w:hAnsi="楷体" w:eastAsia="楷体" w:cs="楷体"/>
                <w:sz w:val="24"/>
                <w:szCs w:val="24"/>
              </w:rPr>
              <w:t>74.37%</w:t>
            </w:r>
          </w:p>
        </w:tc>
        <w:tc>
          <w:tcPr>
            <w:tcW w:w="2550" w:type="dxa"/>
            <w:shd w:val="clear" w:color="auto" w:fill="FFFFFF"/>
            <w:vAlign w:val="center"/>
          </w:tcPr>
          <w:p>
            <w:pPr>
              <w:jc w:val="center"/>
              <w:rPr>
                <w:rFonts w:ascii="楷体" w:hAnsi="楷体" w:eastAsia="楷体" w:cs="楷体"/>
                <w:sz w:val="24"/>
                <w:szCs w:val="24"/>
              </w:rPr>
            </w:pPr>
            <w:r>
              <w:rPr>
                <w:rFonts w:hint="eastAsia" w:ascii="楷体" w:hAnsi="楷体" w:eastAsia="楷体" w:cs="楷体"/>
                <w:sz w:val="24"/>
                <w:szCs w:val="24"/>
              </w:rPr>
              <w:t>25.63%</w:t>
            </w:r>
          </w:p>
        </w:tc>
      </w:tr>
    </w:tbl>
    <w:p>
      <w:pPr>
        <w:pStyle w:val="2"/>
        <w:rPr>
          <w:rFonts w:ascii="楷体" w:hAnsi="楷体" w:cs="楷体"/>
        </w:rPr>
      </w:pPr>
    </w:p>
    <w:p>
      <w:pPr>
        <w:rPr>
          <w:rFonts w:ascii="楷体" w:hAnsi="楷体" w:eastAsia="楷体" w:cs="楷体"/>
        </w:rPr>
      </w:pPr>
    </w:p>
    <w:p>
      <w:pPr>
        <w:pStyle w:val="2"/>
        <w:ind w:left="0"/>
        <w:rPr>
          <w:rFonts w:ascii="楷体" w:hAnsi="楷体" w:cs="楷体"/>
          <w:b w:val="0"/>
          <w:sz w:val="21"/>
        </w:rPr>
      </w:pPr>
      <w:r>
        <w:rPr>
          <w:rFonts w:hint="eastAsia" w:ascii="楷体" w:hAnsi="楷体" w:cs="楷体"/>
          <w:b w:val="0"/>
          <w:sz w:val="21"/>
        </w:rPr>
        <w:t>（二）期末理财产品持有的前十项资产</w:t>
      </w:r>
    </w:p>
    <w:tbl>
      <w:tblPr>
        <w:tblStyle w:val="9"/>
        <w:tblW w:w="86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jc w:val="center"/>
              <w:rPr>
                <w:rFonts w:ascii="楷体" w:hAnsi="楷体" w:eastAsia="楷体" w:cs="楷体"/>
                <w:sz w:val="22"/>
              </w:rPr>
            </w:pPr>
            <w:r>
              <w:rPr>
                <w:rFonts w:hint="eastAsia" w:ascii="楷体" w:hAnsi="楷体" w:eastAsia="楷体" w:cs="楷体"/>
                <w:sz w:val="22"/>
              </w:rPr>
              <w:t>1</w:t>
            </w:r>
          </w:p>
        </w:tc>
        <w:tc>
          <w:tcPr>
            <w:tcW w:w="2434" w:type="dxa"/>
            <w:vAlign w:val="center"/>
          </w:tcPr>
          <w:p>
            <w:pPr>
              <w:jc w:val="center"/>
              <w:rPr>
                <w:rFonts w:ascii="楷体" w:hAnsi="楷体" w:eastAsia="楷体" w:cs="楷体"/>
                <w:sz w:val="22"/>
              </w:rPr>
            </w:pPr>
            <w:r>
              <w:rPr>
                <w:rFonts w:hint="eastAsia" w:ascii="楷体" w:hAnsi="楷体" w:eastAsia="楷体" w:cs="楷体"/>
                <w:sz w:val="22"/>
              </w:rPr>
              <w:t>24农发清发02</w:t>
            </w:r>
          </w:p>
        </w:tc>
        <w:tc>
          <w:tcPr>
            <w:tcW w:w="1275" w:type="dxa"/>
            <w:vAlign w:val="center"/>
          </w:tcPr>
          <w:p>
            <w:pPr>
              <w:jc w:val="center"/>
              <w:rPr>
                <w:rFonts w:ascii="楷体" w:hAnsi="楷体" w:eastAsia="楷体" w:cs="楷体"/>
                <w:sz w:val="22"/>
              </w:rPr>
            </w:pPr>
            <w:r>
              <w:rPr>
                <w:rFonts w:hint="eastAsia" w:ascii="楷体" w:hAnsi="楷体" w:eastAsia="楷体" w:cs="楷体"/>
                <w:sz w:val="22"/>
              </w:rPr>
              <w:t>债券</w:t>
            </w:r>
          </w:p>
        </w:tc>
        <w:tc>
          <w:tcPr>
            <w:tcW w:w="2235" w:type="dxa"/>
            <w:vAlign w:val="center"/>
          </w:tcPr>
          <w:p>
            <w:pPr>
              <w:jc w:val="center"/>
              <w:rPr>
                <w:rFonts w:ascii="楷体" w:hAnsi="楷体" w:eastAsia="楷体" w:cs="楷体"/>
                <w:sz w:val="22"/>
              </w:rPr>
            </w:pPr>
            <w:r>
              <w:rPr>
                <w:rFonts w:hint="eastAsia" w:ascii="楷体" w:hAnsi="楷体" w:eastAsia="楷体" w:cs="楷体"/>
                <w:sz w:val="22"/>
              </w:rPr>
              <w:t>353,334,843.52</w:t>
            </w:r>
          </w:p>
        </w:tc>
        <w:tc>
          <w:tcPr>
            <w:tcW w:w="1800" w:type="dxa"/>
            <w:vAlign w:val="center"/>
          </w:tcPr>
          <w:p>
            <w:pPr>
              <w:jc w:val="center"/>
              <w:rPr>
                <w:rFonts w:ascii="楷体" w:hAnsi="楷体" w:eastAsia="楷体" w:cs="楷体"/>
                <w:sz w:val="22"/>
              </w:rPr>
            </w:pPr>
            <w:r>
              <w:rPr>
                <w:rFonts w:hint="eastAsia" w:ascii="楷体" w:hAnsi="楷体" w:eastAsia="楷体" w:cs="楷体"/>
                <w:sz w:val="22"/>
              </w:rPr>
              <w:t>4.73%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24农业银行CD208</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299,302,311.73</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229,008,914.31</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3.07%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vAlign w:val="center"/>
          </w:tcPr>
          <w:p>
            <w:pPr>
              <w:pageBreakBefore w:val="0"/>
              <w:jc w:val="center"/>
              <w:textAlignment w:val="auto"/>
            </w:pPr>
            <w:r>
              <w:rPr>
                <w:rFonts w:hint="eastAsia" w:ascii="楷体" w:hAnsi="楷体" w:eastAsia="楷体" w:cs="楷体"/>
                <w:b w:val="0"/>
                <w:i w:val="0"/>
                <w:strike w:val="0"/>
                <w:color w:val="auto"/>
                <w:position w:val="-1"/>
                <w:sz w:val="22"/>
                <w:u w:val="none"/>
              </w:rPr>
              <w:t>银行存款</w:t>
            </w:r>
            <w:r>
              <w:rPr>
                <w:rFonts w:ascii="楷体" w:hAnsi="楷体" w:eastAsia="楷体" w:cs="楷体"/>
                <w:b w:val="0"/>
                <w:i w:val="0"/>
                <w:strike w:val="0"/>
                <w:color w:val="auto"/>
                <w:position w:val="-1"/>
                <w:sz w:val="22"/>
                <w:u w:val="none"/>
              </w:rPr>
              <w:t>20250312</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现金及银行存款</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201,301,166.42</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200,048,964.61</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2.68%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24农业银行CD198</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199,661,997.01</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2.67%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24中信银行CD317</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198,646,628.20</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2.66%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rPr>
                <w:rFonts w:hint="eastAsia" w:eastAsia="宋体"/>
                <w:lang w:eastAsia="zh-CN"/>
              </w:rPr>
            </w:pPr>
            <w:r>
              <w:rPr>
                <w:rFonts w:hint="eastAsia" w:ascii="楷体" w:hAnsi="楷体" w:eastAsia="楷体" w:cs="楷体"/>
                <w:b w:val="0"/>
                <w:i w:val="0"/>
                <w:strike w:val="0"/>
                <w:color w:val="auto"/>
                <w:position w:val="-1"/>
                <w:sz w:val="22"/>
                <w:u w:val="none"/>
                <w:lang w:val="en-US" w:eastAsia="zh-CN"/>
              </w:rPr>
              <w:t>8</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25光大银行CD076</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197,303,694.81</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2.64%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rPr>
                <w:rFonts w:hint="eastAsia" w:eastAsia="宋体"/>
                <w:lang w:eastAsia="zh-CN"/>
              </w:rPr>
            </w:pPr>
            <w:r>
              <w:rPr>
                <w:rFonts w:hint="eastAsia" w:ascii="楷体" w:hAnsi="楷体" w:eastAsia="楷体" w:cs="楷体"/>
                <w:b w:val="0"/>
                <w:i w:val="0"/>
                <w:strike w:val="0"/>
                <w:color w:val="auto"/>
                <w:position w:val="-1"/>
                <w:sz w:val="22"/>
                <w:u w:val="none"/>
                <w:lang w:val="en-US" w:eastAsia="zh-CN"/>
              </w:rPr>
              <w:t>9</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25农业银行CD112</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197,230,617.46</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2.64%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150,093,759.35</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2.01%</w:t>
            </w:r>
          </w:p>
        </w:tc>
      </w:tr>
    </w:tbl>
    <w:p>
      <w:pPr>
        <w:pStyle w:val="14"/>
        <w:rPr>
          <w:rFonts w:ascii="楷体" w:hAnsi="楷体" w:cs="楷体"/>
        </w:rPr>
      </w:pPr>
    </w:p>
    <w:p>
      <w:pPr>
        <w:pStyle w:val="2"/>
        <w:numPr>
          <w:ilvl w:val="0"/>
          <w:numId w:val="1"/>
        </w:numPr>
        <w:rPr>
          <w:rFonts w:ascii="楷体" w:hAnsi="楷体" w:cs="楷体"/>
          <w:b w:val="0"/>
          <w:sz w:val="21"/>
        </w:rPr>
      </w:pPr>
      <w:r>
        <w:rPr>
          <w:rFonts w:hint="eastAsia" w:ascii="楷体" w:hAnsi="楷体" w:cs="楷体"/>
          <w:b w:val="0"/>
          <w:sz w:val="21"/>
        </w:rPr>
        <w:t>非标资产情况</w:t>
      </w:r>
    </w:p>
    <w:p>
      <w:pPr>
        <w:ind w:firstLine="220" w:firstLineChars="100"/>
        <w:rPr>
          <w:rFonts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r>
    </w:tbl>
    <w:p>
      <w:pPr>
        <w:pStyle w:val="14"/>
        <w:rPr>
          <w:rFonts w:ascii="楷体" w:hAnsi="楷体" w:cs="楷体"/>
        </w:rPr>
      </w:pPr>
    </w:p>
    <w:p>
      <w:pPr>
        <w:spacing w:line="320" w:lineRule="exact"/>
        <w:ind w:firstLine="220" w:firstLineChars="100"/>
        <w:rPr>
          <w:rFonts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r>
    </w:tbl>
    <w:p>
      <w:pPr>
        <w:pStyle w:val="14"/>
        <w:rPr>
          <w:rFonts w:ascii="楷体" w:hAnsi="楷体" w:cs="楷体"/>
        </w:rPr>
      </w:pPr>
    </w:p>
    <w:p>
      <w:pPr>
        <w:pStyle w:val="2"/>
        <w:rPr>
          <w:rFonts w:ascii="楷体" w:hAnsi="楷体" w:cs="楷体"/>
          <w:b w:val="0"/>
          <w:sz w:val="21"/>
        </w:rPr>
      </w:pPr>
      <w:r>
        <w:rPr>
          <w:rFonts w:hint="eastAsia" w:ascii="楷体" w:hAnsi="楷体" w:cs="楷体"/>
          <w:b w:val="0"/>
          <w:sz w:val="21"/>
        </w:rPr>
        <w:t>（四）关联交易情况</w:t>
      </w:r>
    </w:p>
    <w:p>
      <w:pPr>
        <w:spacing w:line="320" w:lineRule="exact"/>
        <w:ind w:firstLine="220" w:firstLineChars="100"/>
        <w:rPr>
          <w:rFonts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801"/>
        <w:gridCol w:w="1673"/>
        <w:gridCol w:w="1758"/>
        <w:gridCol w:w="1673"/>
        <w:gridCol w:w="1716"/>
      </w:tblGrid>
      <w:tr>
        <w:tblPrEx>
          <w:tblCellMar>
            <w:top w:w="0" w:type="dxa"/>
            <w:left w:w="108" w:type="dxa"/>
            <w:bottom w:w="0" w:type="dxa"/>
            <w:right w:w="108" w:type="dxa"/>
          </w:tblCellMar>
        </w:tblPrEx>
        <w:trPr>
          <w:trHeight w:val="283" w:hRule="atLeast"/>
        </w:trPr>
        <w:tc>
          <w:tcPr>
            <w:tcW w:w="180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证券代码</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证券简称</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报告期投资的证券数量（张）</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80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75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71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r>
    </w:tbl>
    <w:p>
      <w:pPr>
        <w:rPr>
          <w:rFonts w:ascii="楷体" w:hAnsi="楷体" w:eastAsia="楷体" w:cs="楷体"/>
        </w:rPr>
      </w:pPr>
    </w:p>
    <w:p>
      <w:pPr>
        <w:ind w:firstLine="220" w:firstLineChars="100"/>
        <w:rPr>
          <w:rFonts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801"/>
        <w:gridCol w:w="1673"/>
        <w:gridCol w:w="1758"/>
        <w:gridCol w:w="1673"/>
        <w:gridCol w:w="1716"/>
      </w:tblGrid>
      <w:tr>
        <w:tblPrEx>
          <w:tblCellMar>
            <w:top w:w="0" w:type="dxa"/>
            <w:left w:w="108" w:type="dxa"/>
            <w:bottom w:w="0" w:type="dxa"/>
            <w:right w:w="108" w:type="dxa"/>
          </w:tblCellMar>
        </w:tblPrEx>
        <w:trPr>
          <w:trHeight w:val="283" w:hRule="atLeast"/>
        </w:trPr>
        <w:tc>
          <w:tcPr>
            <w:tcW w:w="180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证券代码</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证券简称</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报告期投资的证券数量（张）</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80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75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71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r>
    </w:tbl>
    <w:p>
      <w:pPr>
        <w:rPr>
          <w:rFonts w:ascii="楷体" w:hAnsi="楷体" w:eastAsia="楷体" w:cs="楷体"/>
        </w:rPr>
      </w:pPr>
    </w:p>
    <w:p>
      <w:pPr>
        <w:numPr>
          <w:ilvl w:val="0"/>
          <w:numId w:val="2"/>
        </w:numPr>
        <w:ind w:firstLine="220" w:firstLineChars="100"/>
        <w:rPr>
          <w:rFonts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801"/>
        <w:gridCol w:w="1673"/>
        <w:gridCol w:w="1758"/>
        <w:gridCol w:w="1673"/>
        <w:gridCol w:w="1716"/>
      </w:tblGrid>
      <w:tr>
        <w:tblPrEx>
          <w:tblCellMar>
            <w:top w:w="0" w:type="dxa"/>
            <w:left w:w="108" w:type="dxa"/>
            <w:bottom w:w="0" w:type="dxa"/>
            <w:right w:w="108" w:type="dxa"/>
          </w:tblCellMar>
        </w:tblPrEx>
        <w:trPr>
          <w:trHeight w:val="283" w:hRule="atLeast"/>
        </w:trPr>
        <w:tc>
          <w:tcPr>
            <w:tcW w:w="180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金融工具代码</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金融工具名称</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报告期投资的证券数量</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80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75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71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r>
    </w:tbl>
    <w:p>
      <w:pPr>
        <w:rPr>
          <w:rFonts w:ascii="楷体" w:hAnsi="楷体" w:eastAsia="楷体" w:cs="楷体"/>
          <w:sz w:val="22"/>
          <w:szCs w:val="24"/>
        </w:rPr>
      </w:pPr>
    </w:p>
    <w:p>
      <w:pPr>
        <w:rPr>
          <w:rFonts w:ascii="楷体" w:hAnsi="楷体" w:eastAsia="楷体" w:cs="楷体"/>
          <w:sz w:val="22"/>
          <w:szCs w:val="24"/>
        </w:rPr>
      </w:pPr>
    </w:p>
    <w:p>
      <w:pPr>
        <w:numPr>
          <w:ilvl w:val="0"/>
          <w:numId w:val="2"/>
        </w:numPr>
        <w:ind w:firstLine="220" w:firstLineChars="100"/>
        <w:rPr>
          <w:rFonts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2433"/>
        <w:gridCol w:w="3490"/>
        <w:gridCol w:w="2698"/>
      </w:tblGrid>
      <w:tr>
        <w:tblPrEx>
          <w:tblCellMar>
            <w:top w:w="0" w:type="dxa"/>
            <w:left w:w="108" w:type="dxa"/>
            <w:bottom w:w="0" w:type="dxa"/>
            <w:right w:w="108" w:type="dxa"/>
          </w:tblCellMar>
        </w:tblPrEx>
        <w:trPr>
          <w:trHeight w:val="283" w:hRule="atLeast"/>
        </w:trPr>
        <w:tc>
          <w:tcPr>
            <w:tcW w:w="243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交易类型</w:t>
            </w:r>
          </w:p>
        </w:tc>
        <w:tc>
          <w:tcPr>
            <w:tcW w:w="349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243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回购</w:t>
            </w:r>
          </w:p>
        </w:tc>
        <w:tc>
          <w:tcPr>
            <w:tcW w:w="349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东吴证券股份有限公司</w:t>
            </w:r>
          </w:p>
        </w:tc>
        <w:tc>
          <w:tcPr>
            <w:tcW w:w="269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1,440,535,352.70</w:t>
            </w:r>
          </w:p>
        </w:tc>
      </w:tr>
      <w:tr>
        <w:tblPrEx>
          <w:tblCellMar>
            <w:top w:w="0" w:type="dxa"/>
            <w:left w:w="108" w:type="dxa"/>
            <w:bottom w:w="0" w:type="dxa"/>
            <w:right w:w="108" w:type="dxa"/>
          </w:tblCellMar>
        </w:tblPrEx>
        <w:trPr>
          <w:trHeight w:val="283" w:hRule="atLeast"/>
        </w:trPr>
        <w:tc>
          <w:tcPr>
            <w:tcW w:w="2433"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代销费</w:t>
            </w:r>
          </w:p>
        </w:tc>
        <w:tc>
          <w:tcPr>
            <w:tcW w:w="349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2698"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801,348.01</w:t>
            </w:r>
          </w:p>
        </w:tc>
      </w:tr>
      <w:tr>
        <w:tblPrEx>
          <w:tblCellMar>
            <w:top w:w="0" w:type="dxa"/>
            <w:left w:w="108" w:type="dxa"/>
            <w:bottom w:w="0" w:type="dxa"/>
            <w:right w:w="108" w:type="dxa"/>
          </w:tblCellMar>
        </w:tblPrEx>
        <w:trPr>
          <w:trHeight w:val="283" w:hRule="atLeast"/>
        </w:trPr>
        <w:tc>
          <w:tcPr>
            <w:tcW w:w="2433"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49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2698"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371,096.77</w:t>
            </w:r>
          </w:p>
        </w:tc>
      </w:tr>
      <w:tr>
        <w:tblPrEx>
          <w:tblCellMar>
            <w:top w:w="0" w:type="dxa"/>
            <w:left w:w="108" w:type="dxa"/>
            <w:bottom w:w="0" w:type="dxa"/>
            <w:right w:w="108" w:type="dxa"/>
          </w:tblCellMar>
        </w:tblPrEx>
        <w:trPr>
          <w:trHeight w:val="283" w:hRule="atLeast"/>
        </w:trPr>
        <w:tc>
          <w:tcPr>
            <w:tcW w:w="2433"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回购</w:t>
            </w:r>
          </w:p>
        </w:tc>
        <w:tc>
          <w:tcPr>
            <w:tcW w:w="349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2698"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205,000,000.00</w:t>
            </w:r>
          </w:p>
        </w:tc>
      </w:tr>
    </w:tbl>
    <w:p>
      <w:pPr>
        <w:pStyle w:val="14"/>
        <w:rPr>
          <w:rFonts w:ascii="楷体" w:hAnsi="楷体" w:cs="楷体"/>
          <w:sz w:val="21"/>
          <w:szCs w:val="21"/>
        </w:rPr>
      </w:pPr>
      <w:r>
        <w:rPr>
          <w:rFonts w:hint="eastAsia" w:ascii="楷体" w:hAnsi="楷体" w:cs="楷体"/>
          <w:sz w:val="21"/>
          <w:szCs w:val="21"/>
        </w:rPr>
        <w:t>注：本报告中理财产品托管费、代销费、直销费均基于产品实际支付金额进行统计。</w:t>
      </w:r>
    </w:p>
    <w:p>
      <w:pPr>
        <w:pStyle w:val="14"/>
        <w:rPr>
          <w:rFonts w:ascii="楷体" w:hAnsi="楷体" w:cs="楷体"/>
        </w:rPr>
      </w:pPr>
    </w:p>
    <w:p>
      <w:pPr>
        <w:rPr>
          <w:rFonts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r>
    </w:tbl>
    <w:p>
      <w:pPr>
        <w:ind w:firstLine="420" w:firstLineChars="200"/>
        <w:rPr>
          <w:rFonts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ascii="楷体" w:hAnsi="楷体" w:eastAsia="楷体" w:cs="楷体"/>
          <w:bCs/>
          <w:kern w:val="0"/>
          <w:szCs w:val="21"/>
        </w:rPr>
      </w:pPr>
    </w:p>
    <w:p>
      <w:pPr>
        <w:rPr>
          <w:rFonts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ascii="楷体" w:hAnsi="楷体" w:eastAsia="楷体" w:cs="楷体"/>
                <w:sz w:val="22"/>
              </w:rPr>
            </w:pPr>
            <w:r>
              <w:rPr>
                <w:rFonts w:hint="eastAsia" w:ascii="楷体" w:hAnsi="楷体" w:eastAsia="楷体" w:cs="楷体"/>
                <w:sz w:val="22"/>
              </w:rPr>
              <w:t>7,415,740,641.35</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8,950,159,725.21</w:t>
            </w:r>
          </w:p>
        </w:tc>
      </w:tr>
    </w:tbl>
    <w:p>
      <w:pPr>
        <w:pStyle w:val="14"/>
        <w:rPr>
          <w:rFonts w:ascii="楷体" w:hAnsi="楷体" w:cs="楷体"/>
        </w:rPr>
      </w:pPr>
    </w:p>
    <w:p>
      <w:pPr>
        <w:pStyle w:val="14"/>
        <w:rPr>
          <w:rFonts w:ascii="楷体" w:hAnsi="楷体" w:cs="楷体"/>
          <w:sz w:val="22"/>
          <w:szCs w:val="24"/>
        </w:rPr>
      </w:pPr>
      <w:r>
        <w:rPr>
          <w:rFonts w:hint="eastAsia" w:ascii="楷体" w:hAnsi="楷体" w:cs="楷体"/>
          <w:sz w:val="22"/>
          <w:szCs w:val="24"/>
        </w:rPr>
        <w:t>（七）报告期内单一投资者持有产品份额比例达到或者超过总份额20%的情形</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1725"/>
        <w:gridCol w:w="1980"/>
        <w:gridCol w:w="1905"/>
        <w:gridCol w:w="16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5" w:type="dxa"/>
          </w:tcPr>
          <w:p>
            <w:pPr>
              <w:pStyle w:val="14"/>
              <w:jc w:val="center"/>
              <w:rPr>
                <w:rFonts w:ascii="楷体" w:hAnsi="楷体" w:cs="楷体"/>
                <w:sz w:val="22"/>
                <w:szCs w:val="24"/>
              </w:rPr>
            </w:pPr>
            <w:r>
              <w:rPr>
                <w:rFonts w:hint="eastAsia" w:ascii="楷体" w:hAnsi="楷体" w:cs="楷体"/>
                <w:sz w:val="22"/>
                <w:szCs w:val="24"/>
              </w:rPr>
              <w:t>序号</w:t>
            </w:r>
          </w:p>
        </w:tc>
        <w:tc>
          <w:tcPr>
            <w:tcW w:w="1725" w:type="dxa"/>
          </w:tcPr>
          <w:p>
            <w:pPr>
              <w:pStyle w:val="14"/>
              <w:jc w:val="center"/>
              <w:rPr>
                <w:rFonts w:ascii="楷体" w:hAnsi="楷体" w:cs="楷体"/>
                <w:sz w:val="22"/>
                <w:szCs w:val="24"/>
              </w:rPr>
            </w:pPr>
            <w:r>
              <w:rPr>
                <w:rFonts w:hint="eastAsia" w:ascii="楷体" w:hAnsi="楷体" w:cs="楷体"/>
                <w:sz w:val="22"/>
                <w:szCs w:val="24"/>
              </w:rPr>
              <w:t>投资者类别</w:t>
            </w:r>
          </w:p>
        </w:tc>
        <w:tc>
          <w:tcPr>
            <w:tcW w:w="1980" w:type="dxa"/>
          </w:tcPr>
          <w:p>
            <w:pPr>
              <w:pStyle w:val="14"/>
              <w:jc w:val="center"/>
              <w:rPr>
                <w:rFonts w:ascii="楷体" w:hAnsi="楷体" w:cs="楷体"/>
                <w:sz w:val="22"/>
                <w:szCs w:val="24"/>
              </w:rPr>
            </w:pPr>
            <w:r>
              <w:rPr>
                <w:rFonts w:hint="eastAsia" w:ascii="楷体" w:hAnsi="楷体" w:cs="楷体"/>
                <w:sz w:val="22"/>
                <w:szCs w:val="24"/>
              </w:rPr>
              <w:t>期末持有份额</w:t>
            </w:r>
          </w:p>
        </w:tc>
        <w:tc>
          <w:tcPr>
            <w:tcW w:w="1905" w:type="dxa"/>
          </w:tcPr>
          <w:p>
            <w:pPr>
              <w:pStyle w:val="14"/>
              <w:jc w:val="center"/>
              <w:rPr>
                <w:rFonts w:ascii="楷体" w:hAnsi="楷体" w:cs="楷体"/>
                <w:sz w:val="22"/>
                <w:szCs w:val="24"/>
              </w:rPr>
            </w:pPr>
            <w:r>
              <w:rPr>
                <w:rFonts w:hint="eastAsia" w:ascii="楷体" w:hAnsi="楷体" w:cs="楷体"/>
                <w:sz w:val="22"/>
                <w:szCs w:val="24"/>
              </w:rPr>
              <w:t>份额占比</w:t>
            </w:r>
          </w:p>
        </w:tc>
        <w:tc>
          <w:tcPr>
            <w:tcW w:w="1676" w:type="dxa"/>
          </w:tcPr>
          <w:p>
            <w:pPr>
              <w:pStyle w:val="14"/>
              <w:jc w:val="center"/>
              <w:rPr>
                <w:rFonts w:ascii="楷体" w:hAnsi="楷体" w:cs="楷体"/>
                <w:sz w:val="22"/>
                <w:szCs w:val="24"/>
              </w:rPr>
            </w:pPr>
            <w:r>
              <w:rPr>
                <w:rFonts w:hint="eastAsia" w:ascii="楷体" w:hAnsi="楷体" w:cs="楷体"/>
                <w:sz w:val="22"/>
                <w:szCs w:val="24"/>
              </w:rPr>
              <w:t>报告期内份额变化情况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5" w:type="dxa"/>
          </w:tcPr>
          <w:p>
            <w:pPr>
              <w:jc w:val="center"/>
              <w:rPr>
                <w:rFonts w:ascii="楷体" w:hAnsi="楷体" w:eastAsia="楷体" w:cs="楷体"/>
                <w:sz w:val="22"/>
              </w:rPr>
            </w:pPr>
            <w:r>
              <w:rPr>
                <w:rFonts w:hint="eastAsia" w:ascii="楷体" w:hAnsi="楷体" w:eastAsia="楷体" w:cs="楷体"/>
                <w:sz w:val="22"/>
              </w:rPr>
              <w:t>-</w:t>
            </w:r>
          </w:p>
        </w:tc>
        <w:tc>
          <w:tcPr>
            <w:tcW w:w="1725" w:type="dxa"/>
          </w:tcPr>
          <w:p>
            <w:pPr>
              <w:jc w:val="center"/>
              <w:rPr>
                <w:rFonts w:ascii="楷体" w:hAnsi="楷体" w:eastAsia="楷体" w:cs="楷体"/>
                <w:sz w:val="22"/>
              </w:rPr>
            </w:pPr>
            <w:r>
              <w:rPr>
                <w:rFonts w:hint="eastAsia" w:ascii="楷体" w:hAnsi="楷体" w:eastAsia="楷体" w:cs="楷体"/>
                <w:sz w:val="22"/>
              </w:rPr>
              <w:t>-</w:t>
            </w:r>
          </w:p>
        </w:tc>
        <w:tc>
          <w:tcPr>
            <w:tcW w:w="1980" w:type="dxa"/>
          </w:tcPr>
          <w:p>
            <w:pPr>
              <w:jc w:val="center"/>
              <w:rPr>
                <w:rFonts w:ascii="楷体" w:hAnsi="楷体" w:eastAsia="楷体" w:cs="楷体"/>
                <w:sz w:val="22"/>
              </w:rPr>
            </w:pPr>
            <w:r>
              <w:rPr>
                <w:rFonts w:hint="eastAsia" w:ascii="楷体" w:hAnsi="楷体" w:eastAsia="楷体" w:cs="楷体"/>
                <w:sz w:val="22"/>
              </w:rPr>
              <w:t>-</w:t>
            </w:r>
          </w:p>
        </w:tc>
        <w:tc>
          <w:tcPr>
            <w:tcW w:w="1905" w:type="dxa"/>
          </w:tcPr>
          <w:p>
            <w:pPr>
              <w:jc w:val="center"/>
              <w:rPr>
                <w:rFonts w:ascii="楷体" w:hAnsi="楷体" w:eastAsia="楷体" w:cs="楷体"/>
                <w:sz w:val="22"/>
              </w:rPr>
            </w:pPr>
            <w:r>
              <w:rPr>
                <w:rFonts w:hint="eastAsia" w:ascii="楷体" w:hAnsi="楷体" w:eastAsia="楷体" w:cs="楷体"/>
                <w:sz w:val="22"/>
              </w:rPr>
              <w:t>-</w:t>
            </w:r>
          </w:p>
        </w:tc>
        <w:tc>
          <w:tcPr>
            <w:tcW w:w="1676" w:type="dxa"/>
          </w:tcPr>
          <w:p>
            <w:pPr>
              <w:jc w:val="center"/>
              <w:rPr>
                <w:rFonts w:ascii="楷体" w:hAnsi="楷体" w:eastAsia="楷体" w:cs="楷体"/>
                <w:sz w:val="22"/>
              </w:rPr>
            </w:pPr>
            <w:r>
              <w:rPr>
                <w:rFonts w:hint="eastAsia" w:ascii="楷体" w:hAnsi="楷体" w:eastAsia="楷体" w:cs="楷体"/>
                <w:sz w:val="22"/>
              </w:rPr>
              <w:t>-</w:t>
            </w:r>
          </w:p>
        </w:tc>
      </w:tr>
    </w:tbl>
    <w:p>
      <w:pPr>
        <w:pStyle w:val="2"/>
        <w:rPr>
          <w:rFonts w:ascii="楷体" w:hAnsi="楷体" w:cs="楷体"/>
        </w:rPr>
      </w:pPr>
    </w:p>
    <w:p>
      <w:pPr>
        <w:pStyle w:val="2"/>
        <w:rPr>
          <w:rFonts w:ascii="楷体" w:hAnsi="楷体" w:cs="楷体"/>
        </w:rPr>
      </w:pPr>
      <w:r>
        <w:rPr>
          <w:rFonts w:hint="eastAsia" w:ascii="楷体" w:hAnsi="楷体" w:cs="楷体"/>
        </w:rPr>
        <w:t>四.投资运作情况</w:t>
      </w:r>
    </w:p>
    <w:p>
      <w:pPr>
        <w:rPr>
          <w:rFonts w:hint="eastAsia" w:ascii="楷体" w:hAnsi="楷体" w:eastAsia="楷体" w:cs="楷体"/>
          <w:sz w:val="21"/>
          <w:szCs w:val="21"/>
        </w:rPr>
      </w:pPr>
      <w:r>
        <w:rPr>
          <w:rFonts w:hint="eastAsia" w:ascii="楷体" w:hAnsi="楷体" w:eastAsia="楷体" w:cs="楷体"/>
          <w:sz w:val="21"/>
          <w:szCs w:val="21"/>
        </w:rPr>
        <w:t>1、运作期</w:t>
      </w:r>
      <w:bookmarkStart w:id="1" w:name="_GoBack"/>
      <w:bookmarkEnd w:id="1"/>
      <w:r>
        <w:rPr>
          <w:rFonts w:hint="eastAsia" w:ascii="楷体" w:hAnsi="楷体" w:eastAsia="楷体" w:cs="楷体"/>
          <w:sz w:val="21"/>
          <w:szCs w:val="21"/>
        </w:rPr>
        <w:t>回顾</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2025年二季度，在党中央的坚强领导下，面对外部冲击明显加大，国内经济顶住压力平稳增长，各地区各部门深入贯彻党中央、国务院的决策部署，坚持稳中求进，宏观稳经济政策协同发力，国民经济稳中向好。</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从经济基本面看，二季度经济保持了稳健增长态势。上半年国内生产总值同比增长5.3%，二季度增长5.2%。总体上，上半年国民经济迎难而上、稳中向好。上半年全国固定资产投资（不含农户）同比增长2.8%，社会消费品零售总额同比增长5.0%，规模以上工业增加值同比增长6.4%。整体来看，GDP增速反映出我国宏观基本面延续较好表现，显示经济持续增长动力强劲，工业增加值增速超预期，说明中国经济在复杂严峻的外部环境和挑战下，有能力保持平稳增长的态势。同时，投资和消费表现稍显疲弱，房地产开发投资自2月以来持续回落，降幅连月扩大。总体而言，我国经济年内达成增长目标压力不大，但在需求端仍将面临考验。</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债券市场方面，在经历了一季度的调整之后，二季度债市表现好于一季度，一方面是资金面整体更加宽松，另一方面外部关税扰动加剧、国内基本面数据偏弱、机构配置力量强化，多重因素推动债市收益率整体震荡下行。4月初，中美关税博弈深化，外需压力与避险情绪共同推升宽货币预期，触发债市普涨；5月降息落地后，债市以波动为主，上下空间进一步缩窄；6月延续5月行情，收益率震荡下行，但在月底的股债跷跷板效应以及险资调仓的影响下，出现小幅上行。预计三季度关税还会成为扰动市场的重要因素，因此利率可能继续震荡下行，6月已经出现机构配置抢跑的现象，预计后续配置力量仍然存在。</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报告期内，二季度，在央行降息落地及外需压力共同作用下，债市收益率普遍下行。管理人积极对照监管要求，严格管控现金管理类产品的信用风险、久期风险、集中度风险和流动性风险。在资产配置策略上选择以同业存单、利率债、回购和银行存款等低风险资产为主，增加存单和利率债投资比例。在收益率持续下行的过程中增加债券类资产持仓，同时储备了一波利率相对较高的长期存款类资产。相关资产的配置主要抓住资金面波动的点进行，兼顾资产类别和期限的总体均衡。此外，本产品采用较多的杠杆策略、交易策略以及货基增强策略，成功获取一定的超额收益。</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2、后市展望及下阶段投资策略</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展望2025年三季度，虽然二季度经济数据总量改善，但需求端表现仍显疲软，同时在外部高度不确定性下，中期基本面压力仍大，总量政策对冲的必要性将进一步增加，货币政策下半年仍有加码空间，资金面大概率延续宽松态势。因此，三季度仍然处于利率下行周期，债市收益率存在一定下行空间，可择机适当布局。</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后续，本产品管理人将继续依托国内外宏观和微观深入研究分析，采取扎实稳健的投资策略，继续严格遵照资管系列新规要求，聚焦高等级的各类标准化债权资产和高流动性的银行间与沪深交易所标的进行投资，在满足投资者流动性需求的同时，努力争取较好的组合管理收益。</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3、流动性风险分析</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2025年二季度，市场流动性整体宽松，本产品在投资高流动性的利率债和AAA存单以外，动态调整产品杠杆率，充分做好资金准备，平稳度过各关键时点，充分满足了产品的流动性需求，保障了投资者的赎回需求。</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展望后市，本产品将继续重点投资信用等级较高、流动性较好的各类标的，做好资金安排和流动性预判，充分满足产品流动性需求。</w:t>
      </w:r>
    </w:p>
    <w:p>
      <w:pPr>
        <w:rPr>
          <w:rFonts w:hint="eastAsia" w:ascii="楷体" w:hAnsi="楷体" w:eastAsia="楷体" w:cs="楷体"/>
          <w:sz w:val="21"/>
          <w:szCs w:val="21"/>
        </w:rPr>
      </w:pPr>
    </w:p>
    <w:p>
      <w:pPr>
        <w:rPr>
          <w:rFonts w:hint="eastAsia" w:ascii="楷体" w:hAnsi="楷体" w:eastAsia="楷体" w:cs="楷体"/>
          <w:sz w:val="21"/>
          <w:szCs w:val="21"/>
        </w:rPr>
      </w:pPr>
    </w:p>
    <w:p>
      <w:pPr>
        <w:jc w:val="right"/>
        <w:rPr>
          <w:rFonts w:ascii="楷体" w:hAnsi="楷体" w:eastAsia="楷体" w:cs="楷体"/>
          <w:b/>
          <w:bCs/>
          <w:sz w:val="21"/>
          <w:szCs w:val="21"/>
        </w:rPr>
      </w:pPr>
      <w:r>
        <w:rPr>
          <w:rFonts w:hint="eastAsia" w:ascii="楷体" w:hAnsi="楷体" w:eastAsia="楷体" w:cs="楷体"/>
          <w:b/>
          <w:bCs/>
          <w:sz w:val="21"/>
          <w:szCs w:val="21"/>
        </w:rPr>
        <w:t>苏银理财有限责任公司</w:t>
      </w:r>
    </w:p>
    <w:p>
      <w:pPr>
        <w:jc w:val="right"/>
        <w:rPr>
          <w:rFonts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p>
      <w:pPr>
        <w:rPr>
          <w:rFonts w:ascii="楷体" w:hAnsi="楷体" w:eastAsia="楷体" w:cs="楷体"/>
          <w:sz w:val="21"/>
          <w:szCs w:val="21"/>
        </w:rPr>
      </w:pP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4098"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4099"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4100"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4097"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singleLevel"/>
    <w:tmpl w:val="BF205925"/>
    <w:lvl w:ilvl="0" w:tentative="0">
      <w:start w:val="3"/>
      <w:numFmt w:val="decimal"/>
      <w:suff w:val="nothing"/>
      <w:lvlText w:val="%1）"/>
      <w:lvlJc w:val="left"/>
    </w:lvl>
  </w:abstractNum>
  <w:abstractNum w:abstractNumId="1">
    <w:nsid w:val="59ADCABA"/>
    <w:multiLevelType w:val="singleLevel"/>
    <w:tmpl w:val="59ADCABA"/>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136117CD"/>
    <w:rsid w:val="2D5A0610"/>
    <w:rsid w:val="37CB5B0E"/>
    <w:rsid w:val="73ED511F"/>
    <w:rsid w:val="744A6991"/>
    <w:rsid w:val="7ED22C14"/>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31802637FF8E4298AD1DCE61A946E12D</vt:lpwstr>
  </property>
</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446</Words>
  <Characters>2544</Characters>
  <Lines>21</Lines>
  <Paragraphs>5</Paragraphs>
  <TotalTime>86</TotalTime>
  <ScaleCrop>false</ScaleCrop>
  <LinksUpToDate>false</LinksUpToDate>
  <CharactersWithSpaces>2985</CharactersWithSpaces>
  <Application>WPS Office_12.1.0.17147_F1E327BC-269C-435d-A152-05C5408002CA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2025-06-03T02:44:25Z</dcterms:modified>
  <cp:revision>29</cp:revision>
  <dc:title>“${prdInfo.PRD_NAME}”理财产品</dc:title>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acc72b-f1b7-4f36-a745-7f03ca849043}">
  <ds:schemaRefs/>
</ds:datastoreItem>
</file>

<file path=customXml/itemProps3.xml><?xml version="1.0" encoding="utf-8"?>
<ds:datastoreItem xmlns:ds="http://schemas.openxmlformats.org/officeDocument/2006/customXml" ds:itemID="{53b8c67a-3d90-47ad-a290-908aecd706d9}">
  <ds:schemaRefs/>
</ds:datastoreItem>
</file>

<file path=customXml/itemProps4.xml><?xml version="1.0" encoding="utf-8"?>
<ds:datastoreItem xmlns:ds="http://schemas.openxmlformats.org/officeDocument/2006/customXml" ds:itemID="{d869755d-62ea-46ee-b1ba-c9630d0d9eb4}">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446</Words>
  <Characters>2544</Characters>
  <Lines>21</Lines>
  <Paragraphs>5</Paragraphs>
  <TotalTime>3</TotalTime>
  <ScaleCrop>false</ScaleCrop>
  <LinksUpToDate>false</LinksUpToDate>
  <CharactersWithSpaces>2985</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2025-07-16T09:08:53Z</dcterms:modified>
  <dc:title>_x201C__x0024__x007B_prdInfo.PRD_NAME_x007D__x201D_理财产品</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AFA187CDED4246CABEC62D5DC4B3DE66</vt:lpwstr>
  </property>
</Properties>
</file>