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苏银理财恒源日申1年持有1号</w:t>
      </w:r>
      <w:r>
        <w:rPr>
          <w:rFonts w:hint="eastAsia" w:ascii="楷体" w:hAnsi="楷体" w:eastAsia="楷体" w:cs="楷体"/>
          <w:b/>
          <w:sz w:val="36"/>
          <w:szCs w:val="36"/>
        </w:rPr>
        <w:t>”理财产品</w:t>
      </w:r>
    </w:p>
    <w:p>
      <w:pPr>
        <w:pStyle w:val="8"/>
        <w:spacing w:before="0" w:beforeAutospacing="0" w:after="0" w:afterAutospacing="0"/>
        <w:jc w:val="center"/>
        <w:rPr>
          <w:rFonts w:hint="eastAsia"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hint="eastAsia"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hint="eastAsia" w:ascii="楷体" w:hAnsi="楷体" w:eastAsia="楷体" w:cs="楷体"/>
        </w:rPr>
      </w:pPr>
      <w:r>
        <w:rPr>
          <w:rFonts w:hint="eastAsia" w:ascii="楷体" w:hAnsi="楷体" w:eastAsia="楷体" w:cs="楷体"/>
        </w:rPr>
        <w:t>“</w:t>
      </w:r>
      <w:r>
        <w:rPr>
          <w:rFonts w:hint="eastAsia" w:ascii="楷体" w:hAnsi="楷体" w:eastAsia="楷体" w:cs="楷体"/>
          <w:spacing w:val="-7"/>
        </w:rPr>
        <w:t>苏银理财恒源日申1年持有1号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2018年08月22日</w:t>
      </w:r>
      <w:r>
        <w:rPr>
          <w:rFonts w:hint="eastAsia" w:ascii="楷体" w:hAnsi="楷体" w:eastAsia="楷体" w:cs="楷体"/>
        </w:rPr>
        <w:t>成立，于</w:t>
      </w:r>
      <w:r>
        <w:rPr>
          <w:rFonts w:hint="eastAsia" w:ascii="楷体" w:hAnsi="楷体" w:eastAsia="楷体" w:cs="楷体"/>
          <w:spacing w:val="-7"/>
        </w:rPr>
        <w:t>2018年08月22日</w:t>
      </w:r>
      <w:r>
        <w:rPr>
          <w:rFonts w:hint="eastAsia" w:ascii="楷体" w:hAnsi="楷体" w:eastAsia="楷体" w:cs="楷体"/>
        </w:rPr>
        <w:t>正式投资运作。</w:t>
      </w:r>
    </w:p>
    <w:p>
      <w:pPr>
        <w:pStyle w:val="8"/>
        <w:spacing w:before="0" w:beforeAutospacing="0" w:after="0" w:afterAutospacing="0" w:line="360" w:lineRule="auto"/>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一</w:t>
      </w:r>
      <w:bookmarkStart w:id="0" w:name="_Toc535504139"/>
      <w:r>
        <w:rPr>
          <w:rFonts w:hint="eastAsia" w:ascii="楷体" w:hAnsi="楷体" w:eastAsia="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rFonts w:hint="eastAsia" w:ascii="楷体" w:hAnsi="楷体" w:eastAsia="楷体" w:cs="楷体"/>
                <w:sz w:val="24"/>
                <w:szCs w:val="24"/>
                <w:highlight w:val="yellow"/>
              </w:rPr>
            </w:pPr>
            <w:r>
              <w:rPr>
                <w:rFonts w:hint="eastAsia" w:ascii="楷体" w:hAnsi="楷体" w:eastAsia="楷体" w:cs="楷体"/>
                <w:spacing w:val="-6"/>
                <w:sz w:val="24"/>
                <w:szCs w:val="24"/>
              </w:rPr>
              <w:t>苏银理财恒源日申1年持有1号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Z7003121000197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rFonts w:hint="eastAsia" w:ascii="楷体" w:hAnsi="楷体" w:eastAsia="楷体" w:cs="楷体"/>
                <w:sz w:val="24"/>
                <w:szCs w:val="24"/>
                <w:highlight w:val="yellow"/>
              </w:rPr>
            </w:pPr>
            <w:r>
              <w:rPr>
                <w:rFonts w:hint="eastAsia" w:ascii="楷体" w:hAnsi="楷体" w:eastAsia="楷体" w:cs="楷体"/>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16,527,734,819.02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18,820,382,018.88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rFonts w:hint="eastAsia" w:ascii="楷体" w:hAnsi="楷体" w:eastAsia="楷体" w:cs="楷体"/>
                <w:sz w:val="24"/>
                <w:szCs w:val="24"/>
                <w:highlight w:val="yellow"/>
              </w:rPr>
            </w:pPr>
            <w:r>
              <w:rPr>
                <w:rFonts w:hint="eastAsia" w:ascii="楷体" w:hAnsi="楷体" w:eastAsia="楷体" w:cs="楷体"/>
                <w:spacing w:val="-8"/>
                <w:sz w:val="24"/>
                <w:szCs w:val="24"/>
              </w:rPr>
              <w:t>中低风险型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rFonts w:hint="eastAsia" w:ascii="楷体" w:hAnsi="楷体" w:eastAsia="楷体" w:cs="楷体"/>
                <w:sz w:val="24"/>
                <w:szCs w:val="24"/>
                <w:highlight w:val="yellow"/>
              </w:rPr>
            </w:pPr>
            <w:r>
              <w:rPr>
                <w:rFonts w:hint="eastAsia" w:ascii="楷体" w:hAnsi="楷体" w:eastAsia="楷体" w:cs="楷体"/>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rFonts w:hint="eastAsia" w:ascii="楷体" w:hAnsi="楷体" w:eastAsia="楷体" w:cs="楷体"/>
                <w:sz w:val="24"/>
                <w:szCs w:val="24"/>
                <w:highlight w:val="yellow"/>
              </w:rPr>
            </w:pPr>
            <w:r>
              <w:rPr>
                <w:rFonts w:hint="eastAsia" w:ascii="楷体" w:hAnsi="楷体" w:eastAsia="楷体" w:cs="楷体"/>
                <w:spacing w:val="-1"/>
                <w:sz w:val="24"/>
                <w:szCs w:val="24"/>
              </w:rPr>
              <w:t>31000188000310350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rFonts w:hint="eastAsia" w:ascii="楷体" w:hAnsi="楷体" w:eastAsia="楷体" w:cs="楷体"/>
                <w:sz w:val="24"/>
                <w:szCs w:val="24"/>
              </w:rPr>
            </w:pPr>
            <w:r>
              <w:rPr>
                <w:rFonts w:hint="eastAsia" w:ascii="楷体" w:hAnsi="楷体" w:eastAsia="楷体" w:cs="楷体"/>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rFonts w:hint="eastAsia" w:ascii="楷体" w:hAnsi="楷体" w:eastAsia="楷体" w:cs="楷体"/>
                <w:sz w:val="24"/>
                <w:szCs w:val="24"/>
              </w:rPr>
            </w:pPr>
            <w:r>
              <w:rPr>
                <w:rFonts w:hint="eastAsia" w:ascii="楷体" w:hAnsi="楷体" w:eastAsia="楷体" w:cs="楷体"/>
                <w:spacing w:val="-1"/>
                <w:sz w:val="24"/>
                <w:szCs w:val="24"/>
              </w:rPr>
              <w:t>19,132,563,368.16</w:t>
            </w:r>
            <w:r>
              <w:rPr>
                <w:rFonts w:hint="eastAsia" w:ascii="楷体" w:hAnsi="楷体" w:eastAsia="楷体" w:cs="楷体"/>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hint="eastAsia"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rFonts w:hint="eastAsia" w:ascii="楷体" w:hAnsi="楷体" w:eastAsia="楷体" w:cs="楷体"/>
                <w:sz w:val="24"/>
                <w:szCs w:val="24"/>
              </w:rPr>
            </w:pPr>
            <w:r>
              <w:rPr>
                <w:rFonts w:hint="eastAsia" w:ascii="楷体" w:hAnsi="楷体" w:eastAsia="楷体" w:cs="楷体"/>
                <w:spacing w:val="-4"/>
                <w:sz w:val="24"/>
                <w:szCs w:val="24"/>
              </w:rPr>
              <w:t>101.66%</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二、产品净值与业绩比较基准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2100"/>
        <w:gridCol w:w="1470"/>
        <w:gridCol w:w="1665"/>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spacing w:line="320" w:lineRule="exact"/>
              <w:jc w:val="center"/>
              <w:rPr>
                <w:rFonts w:hint="eastAsia" w:ascii="楷体" w:hAnsi="楷体" w:eastAsia="楷体" w:cs="楷体"/>
              </w:rPr>
            </w:pPr>
            <w:r>
              <w:rPr>
                <w:rFonts w:hint="eastAsia" w:ascii="楷体" w:hAnsi="楷体" w:eastAsia="楷体" w:cs="楷体"/>
                <w:sz w:val="24"/>
                <w:szCs w:val="24"/>
              </w:rPr>
              <w:t>报告日期</w:t>
            </w:r>
          </w:p>
        </w:tc>
        <w:tc>
          <w:tcPr>
            <w:tcW w:w="2100" w:type="dxa"/>
          </w:tcPr>
          <w:p>
            <w:pPr>
              <w:spacing w:line="320" w:lineRule="exact"/>
              <w:jc w:val="center"/>
              <w:rPr>
                <w:rFonts w:hint="eastAsia" w:ascii="楷体" w:hAnsi="楷体" w:eastAsia="楷体" w:cs="楷体"/>
              </w:rPr>
            </w:pPr>
            <w:r>
              <w:rPr>
                <w:rFonts w:hint="eastAsia" w:ascii="楷体" w:hAnsi="楷体" w:eastAsia="楷体" w:cs="楷体"/>
                <w:sz w:val="24"/>
                <w:szCs w:val="24"/>
              </w:rPr>
              <w:t>销售</w:t>
            </w:r>
            <w:r>
              <w:rPr>
                <w:rFonts w:hint="eastAsia" w:ascii="楷体" w:hAnsi="楷体" w:eastAsia="楷体" w:cs="楷体"/>
                <w:sz w:val="24"/>
                <w:szCs w:val="24"/>
                <w:lang w:eastAsia="zh-CN"/>
              </w:rPr>
              <w:t>名</w:t>
            </w:r>
            <w:r>
              <w:rPr>
                <w:rFonts w:hint="eastAsia" w:ascii="楷体" w:hAnsi="楷体" w:eastAsia="楷体" w:cs="楷体"/>
                <w:sz w:val="24"/>
                <w:szCs w:val="24"/>
              </w:rPr>
              <w:t>称</w:t>
            </w:r>
          </w:p>
        </w:tc>
        <w:tc>
          <w:tcPr>
            <w:tcW w:w="1470" w:type="dxa"/>
          </w:tcPr>
          <w:p>
            <w:pPr>
              <w:jc w:val="center"/>
              <w:rPr>
                <w:rFonts w:hint="eastAsia" w:ascii="楷体" w:hAnsi="楷体" w:eastAsia="楷体" w:cs="楷体"/>
              </w:rPr>
            </w:pPr>
            <w:r>
              <w:rPr>
                <w:rFonts w:hint="eastAsia" w:ascii="楷体" w:hAnsi="楷体" w:eastAsia="楷体" w:cs="楷体"/>
                <w:sz w:val="24"/>
                <w:szCs w:val="24"/>
              </w:rPr>
              <w:t>单位净值</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累计单位净值</w:t>
            </w:r>
          </w:p>
        </w:tc>
        <w:tc>
          <w:tcPr>
            <w:tcW w:w="1876" w:type="dxa"/>
          </w:tcPr>
          <w:p>
            <w:pPr>
              <w:jc w:val="center"/>
              <w:rPr>
                <w:rFonts w:hint="eastAsia" w:ascii="楷体" w:hAnsi="楷体" w:eastAsia="楷体" w:cs="楷体"/>
              </w:rPr>
            </w:pPr>
            <w:r>
              <w:rPr>
                <w:rFonts w:hint="eastAsia" w:ascii="楷体" w:hAnsi="楷体" w:eastAsia="楷体" w:cs="楷体"/>
                <w:sz w:val="24"/>
                <w:szCs w:val="24"/>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tcPr>
          <w:p>
            <w:pPr>
              <w:jc w:val="center"/>
              <w:rPr>
                <w:rFonts w:hint="eastAsia" w:ascii="楷体" w:hAnsi="楷体" w:eastAsia="楷体" w:cs="楷体"/>
                <w:sz w:val="24"/>
                <w:szCs w:val="24"/>
              </w:rPr>
            </w:pPr>
            <w:r>
              <w:rPr>
                <w:rFonts w:hint="eastAsia" w:ascii="楷体" w:hAnsi="楷体" w:eastAsia="楷体" w:cs="楷体"/>
                <w:sz w:val="24"/>
                <w:szCs w:val="24"/>
              </w:rPr>
              <w:t>2025-06-30</w:t>
            </w:r>
          </w:p>
        </w:tc>
        <w:tc>
          <w:tcPr>
            <w:tcW w:w="2100" w:type="dxa"/>
          </w:tcPr>
          <w:p>
            <w:pPr>
              <w:jc w:val="center"/>
              <w:rPr>
                <w:rFonts w:hint="eastAsia" w:ascii="楷体" w:hAnsi="楷体" w:eastAsia="楷体" w:cs="楷体"/>
                <w:sz w:val="24"/>
                <w:szCs w:val="24"/>
              </w:rPr>
            </w:pPr>
            <w:r>
              <w:rPr>
                <w:rFonts w:hint="eastAsia" w:ascii="楷体" w:hAnsi="楷体" w:eastAsia="楷体" w:cs="楷体"/>
                <w:sz w:val="24"/>
                <w:szCs w:val="24"/>
              </w:rPr>
              <w:t>苏银理财恒源日申1年持有1号S</w:t>
            </w:r>
          </w:p>
        </w:tc>
        <w:tc>
          <w:tcPr>
            <w:tcW w:w="1470" w:type="dxa"/>
          </w:tcPr>
          <w:p>
            <w:pPr>
              <w:jc w:val="center"/>
              <w:rPr>
                <w:rFonts w:hint="eastAsia" w:ascii="楷体" w:hAnsi="楷体" w:eastAsia="楷体" w:cs="楷体"/>
                <w:sz w:val="24"/>
                <w:szCs w:val="24"/>
              </w:rPr>
            </w:pPr>
            <w:r>
              <w:rPr>
                <w:rFonts w:hint="eastAsia" w:ascii="楷体" w:hAnsi="楷体" w:eastAsia="楷体" w:cs="楷体"/>
                <w:sz w:val="24"/>
                <w:szCs w:val="24"/>
              </w:rPr>
              <w:t>1.139769</w:t>
            </w:r>
          </w:p>
        </w:tc>
        <w:tc>
          <w:tcPr>
            <w:tcW w:w="1665" w:type="dxa"/>
          </w:tcPr>
          <w:p>
            <w:pPr>
              <w:jc w:val="center"/>
              <w:rPr>
                <w:rFonts w:hint="eastAsia" w:ascii="楷体" w:hAnsi="楷体" w:eastAsia="楷体" w:cs="楷体"/>
                <w:sz w:val="24"/>
                <w:szCs w:val="24"/>
              </w:rPr>
            </w:pPr>
            <w:r>
              <w:rPr>
                <w:rFonts w:hint="eastAsia" w:ascii="楷体" w:hAnsi="楷体" w:eastAsia="楷体" w:cs="楷体"/>
                <w:sz w:val="24"/>
                <w:szCs w:val="24"/>
              </w:rPr>
              <w:t>1.139769</w:t>
            </w:r>
          </w:p>
        </w:tc>
        <w:tc>
          <w:tcPr>
            <w:tcW w:w="1876" w:type="dxa"/>
          </w:tcPr>
          <w:p>
            <w:pPr>
              <w:jc w:val="center"/>
              <w:rPr>
                <w:rFonts w:hint="eastAsia" w:ascii="楷体" w:hAnsi="楷体" w:eastAsia="楷体" w:cs="楷体"/>
                <w:sz w:val="24"/>
                <w:szCs w:val="24"/>
              </w:rPr>
            </w:pPr>
            <w:r>
              <w:rPr>
                <w:rFonts w:hint="eastAsia" w:ascii="楷体" w:hAnsi="楷体" w:eastAsia="楷体" w:cs="楷体"/>
                <w:sz w:val="24"/>
                <w:szCs w:val="24"/>
              </w:rPr>
              <w:t>2.30%-3.90%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苏银理财恒源日申1年持有1号Q</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1.141028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1.141028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苏银理财恒源日申1年持有1号Z</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1.140652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1.140652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苏银理财恒源日申1年持有1号（代发专享）</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1.139599</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1.139599</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苏银理财恒源日申1年持有1号G</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1.139844</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1.139844</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苏银理财恒源日申1年持有1号D</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1.136508</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1.136508</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2.35%-3.95%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苏银理财恒源日申1年持有1号F</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1.131783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1.131783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苏银理财恒源日申1年持有1号C</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1.136466</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1.136466</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2.30%-3.90%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苏银理财恒源日申1年持有1号B</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1.134482</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1.134482</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2.25%-3.85%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510" w:type="dxa"/>
          </w:tcPr>
          <w:p>
            <w:pPr>
              <w:pageBreakBefore w:val="0"/>
              <w:jc w:val="center"/>
              <w:textAlignment w:val="auto"/>
            </w:pPr>
            <w:r>
              <w:rPr>
                <w:rFonts w:ascii="楷体" w:hAnsi="楷体" w:eastAsia="楷体" w:cs="楷体"/>
                <w:b w:val="0"/>
                <w:i w:val="0"/>
                <w:strike w:val="0"/>
                <w:color w:val="auto"/>
                <w:position w:val="-1"/>
                <w:sz w:val="24"/>
                <w:u w:val="none"/>
              </w:rPr>
              <w:t>2025-06-30</w:t>
            </w:r>
          </w:p>
        </w:tc>
        <w:tc>
          <w:tcPr>
            <w:tcW w:w="2100" w:type="dxa"/>
          </w:tcPr>
          <w:p>
            <w:pPr>
              <w:pageBreakBefore w:val="0"/>
              <w:jc w:val="center"/>
              <w:textAlignment w:val="auto"/>
            </w:pPr>
            <w:r>
              <w:rPr>
                <w:rFonts w:ascii="楷体" w:hAnsi="楷体" w:eastAsia="楷体" w:cs="楷体"/>
                <w:b w:val="0"/>
                <w:i w:val="0"/>
                <w:strike w:val="0"/>
                <w:color w:val="auto"/>
                <w:position w:val="-1"/>
                <w:sz w:val="24"/>
                <w:u w:val="none"/>
              </w:rPr>
              <w:t>苏银理财恒源日申1年持有1号A</w:t>
            </w:r>
          </w:p>
        </w:tc>
        <w:tc>
          <w:tcPr>
            <w:tcW w:w="1470" w:type="dxa"/>
          </w:tcPr>
          <w:p>
            <w:pPr>
              <w:pageBreakBefore w:val="0"/>
              <w:jc w:val="center"/>
              <w:textAlignment w:val="auto"/>
            </w:pPr>
            <w:r>
              <w:rPr>
                <w:rFonts w:ascii="楷体" w:hAnsi="楷体" w:eastAsia="楷体" w:cs="楷体"/>
                <w:b w:val="0"/>
                <w:i w:val="0"/>
                <w:strike w:val="0"/>
                <w:color w:val="auto"/>
                <w:position w:val="-1"/>
                <w:sz w:val="24"/>
                <w:u w:val="none"/>
              </w:rPr>
              <w:t>1.147313</w:t>
            </w:r>
          </w:p>
        </w:tc>
        <w:tc>
          <w:tcPr>
            <w:tcW w:w="1665" w:type="dxa"/>
          </w:tcPr>
          <w:p>
            <w:pPr>
              <w:pageBreakBefore w:val="0"/>
              <w:jc w:val="center"/>
              <w:textAlignment w:val="auto"/>
            </w:pPr>
            <w:r>
              <w:rPr>
                <w:rFonts w:ascii="楷体" w:hAnsi="楷体" w:eastAsia="楷体" w:cs="楷体"/>
                <w:b w:val="0"/>
                <w:i w:val="0"/>
                <w:strike w:val="0"/>
                <w:color w:val="auto"/>
                <w:position w:val="-1"/>
                <w:sz w:val="24"/>
                <w:u w:val="none"/>
              </w:rPr>
              <w:t>1.147313</w:t>
            </w:r>
          </w:p>
        </w:tc>
        <w:tc>
          <w:tcPr>
            <w:tcW w:w="1876" w:type="dxa"/>
          </w:tcPr>
          <w:p>
            <w:pPr>
              <w:pageBreakBefore w:val="0"/>
              <w:jc w:val="center"/>
              <w:textAlignment w:val="auto"/>
            </w:pPr>
            <w:r>
              <w:rPr>
                <w:rFonts w:ascii="楷体" w:hAnsi="楷体" w:eastAsia="楷体" w:cs="楷体"/>
                <w:b w:val="0"/>
                <w:i w:val="0"/>
                <w:strike w:val="0"/>
                <w:color w:val="auto"/>
                <w:position w:val="-1"/>
                <w:sz w:val="24"/>
                <w:u w:val="none"/>
              </w:rPr>
              <w:t>2.20%-3.80%</w:t>
            </w:r>
          </w:p>
        </w:tc>
      </w:tr>
    </w:tbl>
    <w:p>
      <w:pPr>
        <w:rPr>
          <w:rFonts w:hint="eastAsia" w:ascii="楷体" w:hAnsi="楷体" w:eastAsia="楷体" w:cs="楷体"/>
        </w:rPr>
      </w:pPr>
    </w:p>
    <w:p>
      <w:pPr>
        <w:rPr>
          <w:rFonts w:hint="eastAsia" w:ascii="楷体" w:hAnsi="楷体" w:eastAsia="楷体" w:cs="楷体"/>
          <w:sz w:val="21"/>
          <w:szCs w:val="21"/>
        </w:rPr>
      </w:pPr>
      <w:r>
        <w:rPr>
          <w:rFonts w:hint="eastAsia" w:ascii="楷体" w:hAnsi="楷体" w:eastAsia="楷体" w:cs="楷体"/>
          <w:bCs/>
          <w:kern w:val="0"/>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三、产品投资组合情况</w:t>
      </w:r>
    </w:p>
    <w:p>
      <w:pPr>
        <w:pStyle w:val="2"/>
        <w:rPr>
          <w:rFonts w:hint="eastAsia" w:ascii="楷体" w:hAnsi="楷体" w:eastAsia="楷体" w:cs="楷体"/>
          <w:b w:val="0"/>
          <w:sz w:val="21"/>
        </w:rPr>
      </w:pPr>
      <w:r>
        <w:rPr>
          <w:rFonts w:hint="eastAsia" w:ascii="楷体" w:hAnsi="楷体" w:eastAsia="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hint="eastAsia"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hint="eastAsia"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81.93%</w:t>
            </w:r>
          </w:p>
        </w:tc>
        <w:tc>
          <w:tcPr>
            <w:tcW w:w="2550" w:type="dxa"/>
            <w:vAlign w:val="center"/>
          </w:tcPr>
          <w:p>
            <w:pPr>
              <w:jc w:val="center"/>
              <w:rPr>
                <w:rFonts w:hint="eastAsia" w:ascii="楷体" w:hAnsi="楷体" w:eastAsia="楷体" w:cs="楷体"/>
                <w:sz w:val="24"/>
                <w:szCs w:val="24"/>
              </w:rPr>
            </w:pPr>
            <w:r>
              <w:rPr>
                <w:rFonts w:hint="eastAsia" w:ascii="楷体" w:hAnsi="楷体" w:eastAsia="楷体" w:cs="楷体"/>
                <w:sz w:val="24"/>
                <w:szCs w:val="24"/>
              </w:rPr>
              <w:t>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11.64%</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tabs>
                <w:tab w:val="center" w:pos="1522"/>
                <w:tab w:val="right" w:pos="2924"/>
              </w:tabs>
              <w:jc w:val="left"/>
              <w:rPr>
                <w:rFonts w:hint="eastAsia" w:ascii="楷体" w:hAnsi="楷体" w:eastAsia="楷体" w:cs="楷体"/>
                <w:sz w:val="24"/>
                <w:szCs w:val="24"/>
                <w:lang w:eastAsia="zh-CN"/>
              </w:rPr>
            </w:pPr>
            <w:r>
              <w:rPr>
                <w:rFonts w:hint="eastAsia" w:ascii="楷体" w:hAnsi="楷体" w:eastAsia="楷体" w:cs="楷体"/>
                <w:sz w:val="24"/>
                <w:szCs w:val="24"/>
                <w:lang w:eastAsia="zh-CN"/>
              </w:rPr>
              <w:tab/>
            </w:r>
            <w:r>
              <w:rPr>
                <w:rFonts w:hint="eastAsia" w:ascii="楷体" w:hAnsi="楷体" w:eastAsia="楷体" w:cs="楷体"/>
                <w:sz w:val="24"/>
                <w:szCs w:val="24"/>
              </w:rPr>
              <w:t>合计</w:t>
            </w:r>
            <w:r>
              <w:rPr>
                <w:rFonts w:hint="eastAsia" w:ascii="楷体" w:hAnsi="楷体" w:eastAsia="楷体" w:cs="楷体"/>
                <w:sz w:val="24"/>
                <w:szCs w:val="24"/>
                <w:lang w:eastAsia="zh-CN"/>
              </w:rPr>
              <w:tab/>
            </w:r>
          </w:p>
        </w:tc>
        <w:tc>
          <w:tcPr>
            <w:tcW w:w="2610" w:type="dxa"/>
            <w:shd w:val="clear" w:color="auto" w:fill="auto"/>
            <w:vAlign w:val="center"/>
          </w:tcPr>
          <w:p>
            <w:pPr>
              <w:jc w:val="center"/>
              <w:rPr>
                <w:rFonts w:hint="eastAsia" w:ascii="楷体" w:hAnsi="楷体" w:eastAsia="楷体" w:cs="楷体"/>
                <w:sz w:val="24"/>
                <w:szCs w:val="24"/>
              </w:rPr>
            </w:pPr>
            <w:r>
              <w:rPr>
                <w:rFonts w:hint="eastAsia" w:ascii="楷体" w:hAnsi="楷体" w:eastAsia="楷体" w:cs="楷体"/>
                <w:sz w:val="24"/>
                <w:szCs w:val="24"/>
              </w:rPr>
              <w:t>93.57%</w:t>
            </w:r>
          </w:p>
        </w:tc>
        <w:tc>
          <w:tcPr>
            <w:tcW w:w="2550" w:type="dxa"/>
            <w:shd w:val="clear" w:color="auto" w:fill="FFFFFF"/>
            <w:vAlign w:val="center"/>
          </w:tcPr>
          <w:p>
            <w:pPr>
              <w:jc w:val="center"/>
              <w:rPr>
                <w:rFonts w:hint="eastAsia" w:ascii="楷体" w:hAnsi="楷体" w:eastAsia="楷体" w:cs="楷体"/>
                <w:sz w:val="24"/>
                <w:szCs w:val="24"/>
              </w:rPr>
            </w:pPr>
            <w:r>
              <w:rPr>
                <w:rFonts w:hint="eastAsia" w:ascii="楷体" w:hAnsi="楷体" w:eastAsia="楷体" w:cs="楷体"/>
                <w:sz w:val="24"/>
                <w:szCs w:val="24"/>
              </w:rPr>
              <w:t>6.43%</w:t>
            </w:r>
          </w:p>
        </w:tc>
      </w:tr>
    </w:tbl>
    <w:p>
      <w:pPr>
        <w:rPr>
          <w:rFonts w:hint="eastAsia" w:ascii="楷体" w:hAnsi="楷体" w:eastAsia="楷体" w:cs="楷体"/>
        </w:rPr>
      </w:pPr>
    </w:p>
    <w:p>
      <w:pPr>
        <w:pStyle w:val="2"/>
        <w:ind w:left="0"/>
        <w:rPr>
          <w:rFonts w:hint="eastAsia" w:ascii="楷体" w:hAnsi="楷体" w:eastAsia="楷体" w:cs="楷体"/>
          <w:b w:val="0"/>
          <w:sz w:val="21"/>
        </w:rPr>
      </w:pPr>
      <w:r>
        <w:rPr>
          <w:rFonts w:hint="eastAsia" w:ascii="楷体" w:hAnsi="楷体" w:eastAsia="楷体" w:cs="楷体"/>
          <w:b w:val="0"/>
          <w:sz w:val="21"/>
        </w:rPr>
        <w:t>（二）期末理财产品持有的前十项资产</w:t>
      </w:r>
    </w:p>
    <w:tbl>
      <w:tblPr>
        <w:tblStyle w:val="9"/>
        <w:tblW w:w="8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jc w:val="center"/>
              <w:rPr>
                <w:rFonts w:hint="eastAsia" w:ascii="楷体" w:hAnsi="楷体" w:eastAsia="楷体" w:cs="楷体"/>
                <w:sz w:val="22"/>
              </w:rPr>
            </w:pPr>
            <w:r>
              <w:rPr>
                <w:rFonts w:hint="eastAsia" w:ascii="楷体" w:hAnsi="楷体" w:eastAsia="楷体" w:cs="楷体"/>
                <w:sz w:val="22"/>
              </w:rPr>
              <w:t>1</w:t>
            </w:r>
          </w:p>
        </w:tc>
        <w:tc>
          <w:tcPr>
            <w:tcW w:w="2434"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1275" w:type="dxa"/>
          </w:tcPr>
          <w:p>
            <w:pPr>
              <w:jc w:val="center"/>
              <w:rPr>
                <w:rFonts w:hint="eastAsia" w:ascii="楷体" w:hAnsi="楷体" w:eastAsia="楷体" w:cs="楷体"/>
                <w:sz w:val="22"/>
              </w:rPr>
            </w:pPr>
            <w:r>
              <w:rPr>
                <w:rFonts w:hint="eastAsia" w:ascii="楷体" w:hAnsi="楷体" w:eastAsia="楷体" w:cs="楷体"/>
                <w:sz w:val="22"/>
              </w:rPr>
              <w:t>现金及银行存款</w:t>
            </w:r>
          </w:p>
        </w:tc>
        <w:tc>
          <w:tcPr>
            <w:tcW w:w="2235" w:type="dxa"/>
          </w:tcPr>
          <w:p>
            <w:pPr>
              <w:jc w:val="center"/>
              <w:rPr>
                <w:rFonts w:hint="eastAsia" w:ascii="楷体" w:hAnsi="楷体" w:eastAsia="楷体" w:cs="楷体"/>
                <w:sz w:val="22"/>
              </w:rPr>
            </w:pPr>
            <w:r>
              <w:rPr>
                <w:rFonts w:hint="eastAsia" w:ascii="楷体" w:hAnsi="楷体" w:eastAsia="楷体" w:cs="楷体"/>
                <w:sz w:val="22"/>
              </w:rPr>
              <w:t>986,281,058.72</w:t>
            </w:r>
          </w:p>
        </w:tc>
        <w:tc>
          <w:tcPr>
            <w:tcW w:w="1800" w:type="dxa"/>
          </w:tcPr>
          <w:p>
            <w:pPr>
              <w:jc w:val="center"/>
              <w:rPr>
                <w:rFonts w:hint="eastAsia" w:ascii="楷体" w:hAnsi="楷体" w:eastAsia="楷体" w:cs="楷体"/>
                <w:sz w:val="22"/>
              </w:rPr>
            </w:pPr>
            <w:r>
              <w:rPr>
                <w:rFonts w:hint="eastAsia" w:ascii="楷体" w:hAnsi="楷体" w:eastAsia="楷体" w:cs="楷体"/>
                <w:sz w:val="22"/>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23附息国债23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411,769,866.89</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24中飞租赁MTN001B</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323,031,996.58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25农业银行CD203</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296,438,886.81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25工商银行CD135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296,194,320.82</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25中信银行CD131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296,040,980.55</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24国开05</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270,129,633.56</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8</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24工行二级资本债02BC</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269,155,159.18</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24特别国债06</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266,907,969.64</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73" w:type="dxa"/>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tcPr>
          <w:p>
            <w:pPr>
              <w:pageBreakBefore w:val="0"/>
              <w:jc w:val="center"/>
              <w:textAlignment w:val="auto"/>
            </w:pPr>
            <w:r>
              <w:rPr>
                <w:rFonts w:ascii="楷体" w:hAnsi="楷体" w:eastAsia="楷体" w:cs="楷体"/>
                <w:b w:val="0"/>
                <w:i w:val="0"/>
                <w:strike w:val="0"/>
                <w:color w:val="auto"/>
                <w:position w:val="-1"/>
                <w:sz w:val="22"/>
                <w:u w:val="none"/>
              </w:rPr>
              <w:t>24工行永续债01</w:t>
            </w:r>
          </w:p>
        </w:tc>
        <w:tc>
          <w:tcPr>
            <w:tcW w:w="1275" w:type="dxa"/>
          </w:tcPr>
          <w:p>
            <w:pPr>
              <w:pageBreakBefore w:val="0"/>
              <w:jc w:val="center"/>
              <w:textAlignment w:val="auto"/>
            </w:pPr>
            <w:r>
              <w:rPr>
                <w:rFonts w:ascii="楷体" w:hAnsi="楷体" w:eastAsia="楷体" w:cs="楷体"/>
                <w:b w:val="0"/>
                <w:i w:val="0"/>
                <w:strike w:val="0"/>
                <w:color w:val="auto"/>
                <w:position w:val="-1"/>
                <w:sz w:val="22"/>
                <w:u w:val="none"/>
              </w:rPr>
              <w:t>权益类投资</w:t>
            </w:r>
          </w:p>
        </w:tc>
        <w:tc>
          <w:tcPr>
            <w:tcW w:w="2235" w:type="dxa"/>
          </w:tcPr>
          <w:p>
            <w:pPr>
              <w:pageBreakBefore w:val="0"/>
              <w:jc w:val="center"/>
              <w:textAlignment w:val="auto"/>
            </w:pPr>
            <w:r>
              <w:rPr>
                <w:rFonts w:ascii="楷体" w:hAnsi="楷体" w:eastAsia="楷体" w:cs="楷体"/>
                <w:b w:val="0"/>
                <w:i w:val="0"/>
                <w:strike w:val="0"/>
                <w:color w:val="auto"/>
                <w:position w:val="-1"/>
                <w:sz w:val="22"/>
                <w:u w:val="none"/>
              </w:rPr>
              <w:t>259,635,695.21</w:t>
            </w:r>
          </w:p>
        </w:tc>
        <w:tc>
          <w:tcPr>
            <w:tcW w:w="1800" w:type="dxa"/>
          </w:tcPr>
          <w:p>
            <w:pPr>
              <w:pageBreakBefore w:val="0"/>
              <w:jc w:val="center"/>
              <w:textAlignment w:val="auto"/>
            </w:pPr>
            <w:r>
              <w:rPr>
                <w:rFonts w:ascii="楷体" w:hAnsi="楷体" w:eastAsia="楷体" w:cs="楷体"/>
                <w:b w:val="0"/>
                <w:i w:val="0"/>
                <w:strike w:val="0"/>
                <w:color w:val="auto"/>
                <w:position w:val="-1"/>
                <w:sz w:val="22"/>
                <w:u w:val="none"/>
              </w:rPr>
              <w:t>1.36%</w:t>
            </w:r>
          </w:p>
        </w:tc>
      </w:tr>
    </w:tbl>
    <w:p>
      <w:pPr>
        <w:pStyle w:val="14"/>
        <w:rPr>
          <w:rFonts w:hint="eastAsia" w:ascii="楷体" w:hAnsi="楷体" w:eastAsia="楷体" w:cs="楷体"/>
        </w:rPr>
      </w:pPr>
    </w:p>
    <w:p>
      <w:pPr>
        <w:pStyle w:val="2"/>
        <w:numPr>
          <w:ilvl w:val="0"/>
          <w:numId w:val="1"/>
        </w:numPr>
        <w:rPr>
          <w:rFonts w:hint="eastAsia" w:ascii="楷体" w:hAnsi="楷体" w:eastAsia="楷体" w:cs="楷体"/>
          <w:b w:val="0"/>
          <w:sz w:val="21"/>
        </w:rPr>
      </w:pPr>
      <w:r>
        <w:rPr>
          <w:rFonts w:hint="eastAsia" w:ascii="楷体" w:hAnsi="楷体" w:eastAsia="楷体" w:cs="楷体"/>
          <w:b w:val="0"/>
          <w:sz w:val="21"/>
        </w:rPr>
        <w:t>非标资产情况</w:t>
      </w:r>
    </w:p>
    <w:p>
      <w:pPr>
        <w:ind w:firstLine="220" w:firstLineChars="100"/>
        <w:rPr>
          <w:rFonts w:hint="eastAsia"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spacing w:line="320" w:lineRule="exact"/>
        <w:ind w:firstLine="220" w:firstLineChars="100"/>
        <w:rPr>
          <w:rFonts w:hint="eastAsia"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hint="eastAsia" w:ascii="楷体" w:hAnsi="楷体" w:eastAsia="楷体" w:cs="楷体"/>
                <w:sz w:val="24"/>
                <w:szCs w:val="24"/>
              </w:rPr>
            </w:pPr>
            <w:r>
              <w:rPr>
                <w:rFonts w:hint="eastAsia" w:ascii="楷体" w:hAnsi="楷体" w:eastAsia="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12"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hint="eastAsia" w:ascii="楷体" w:hAnsi="楷体" w:eastAsia="楷体" w:cs="楷体"/>
                <w:sz w:val="22"/>
                <w:szCs w:val="24"/>
              </w:rPr>
            </w:pPr>
            <w:r>
              <w:rPr>
                <w:rFonts w:hint="eastAsia" w:ascii="楷体" w:hAnsi="楷体" w:eastAsia="楷体" w:cs="楷体"/>
                <w:sz w:val="22"/>
              </w:rPr>
              <w:t>-</w:t>
            </w:r>
          </w:p>
        </w:tc>
      </w:tr>
    </w:tbl>
    <w:p>
      <w:pPr>
        <w:pStyle w:val="14"/>
        <w:rPr>
          <w:rFonts w:hint="eastAsia" w:ascii="楷体" w:hAnsi="楷体" w:eastAsia="楷体" w:cs="楷体"/>
        </w:rPr>
      </w:pPr>
    </w:p>
    <w:p>
      <w:pPr>
        <w:pStyle w:val="2"/>
        <w:rPr>
          <w:rFonts w:hint="eastAsia" w:ascii="楷体" w:hAnsi="楷体" w:eastAsia="楷体" w:cs="楷体"/>
          <w:b w:val="0"/>
          <w:sz w:val="21"/>
        </w:rPr>
      </w:pPr>
      <w:r>
        <w:rPr>
          <w:rFonts w:hint="eastAsia" w:ascii="楷体" w:hAnsi="楷体" w:eastAsia="楷体" w:cs="楷体"/>
          <w:b w:val="0"/>
          <w:sz w:val="21"/>
        </w:rPr>
        <w:t>（四）关联交易情况</w:t>
      </w:r>
    </w:p>
    <w:p>
      <w:pPr>
        <w:spacing w:line="320" w:lineRule="exact"/>
        <w:ind w:firstLine="220" w:firstLineChars="100"/>
        <w:rPr>
          <w:rFonts w:hint="eastAsia"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465"/>
        <w:gridCol w:w="1440"/>
        <w:gridCol w:w="1425"/>
        <w:gridCol w:w="2115"/>
        <w:gridCol w:w="2176"/>
      </w:tblGrid>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6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1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ind w:firstLine="220" w:firstLineChars="100"/>
        <w:rPr>
          <w:rFonts w:hint="eastAsia"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425"/>
        <w:gridCol w:w="2085"/>
        <w:gridCol w:w="2191"/>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证券代码</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证券简称</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报告期投资的证券数量（张）</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142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08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c>
          <w:tcPr>
            <w:tcW w:w="219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w:t>
            </w:r>
          </w:p>
        </w:tc>
      </w:tr>
    </w:tbl>
    <w:p>
      <w:pPr>
        <w:rPr>
          <w:rFonts w:hint="eastAsia" w:ascii="楷体" w:hAnsi="楷体" w:eastAsia="楷体" w:cs="楷体"/>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480"/>
        <w:gridCol w:w="1440"/>
        <w:gridCol w:w="1395"/>
        <w:gridCol w:w="2130"/>
        <w:gridCol w:w="2176"/>
      </w:tblGrid>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金融工具代码</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金融工具名称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报告期投资的证券数量</w:t>
            </w:r>
          </w:p>
        </w:tc>
        <w:tc>
          <w:tcPr>
            <w:tcW w:w="217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ZZGL202504091188</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江苏信托安源4号集合资金信托计划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145,048,429.81</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145,000,000.00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ZZGL202504091189</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江苏信托安源5号集合资金信托计划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130,103,926.40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132,000,000.00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ZZGL202504091190</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江苏信托安源6号集合资金信托计划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211,585,414.73</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212,000,000.00</w:t>
            </w:r>
          </w:p>
        </w:tc>
      </w:tr>
      <w:tr>
        <w:tblPrEx>
          <w:tblCellMar>
            <w:top w:w="0" w:type="dxa"/>
            <w:left w:w="108" w:type="dxa"/>
            <w:bottom w:w="0" w:type="dxa"/>
            <w:right w:w="108" w:type="dxa"/>
          </w:tblCellMar>
        </w:tblPrEx>
        <w:trPr>
          <w:trHeight w:val="283" w:hRule="atLeast"/>
        </w:trPr>
        <w:tc>
          <w:tcPr>
            <w:tcW w:w="148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华泰证券(上海)资产管理有限公司</w:t>
            </w:r>
          </w:p>
        </w:tc>
        <w:tc>
          <w:tcPr>
            <w:tcW w:w="14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ZZGL202505211221</w:t>
            </w:r>
          </w:p>
        </w:tc>
        <w:tc>
          <w:tcPr>
            <w:tcW w:w="1395"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华泰银泰精选16号集合资产管理计划</w:t>
            </w:r>
          </w:p>
        </w:tc>
        <w:tc>
          <w:tcPr>
            <w:tcW w:w="21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100,000,000.00</w:t>
            </w:r>
          </w:p>
        </w:tc>
        <w:tc>
          <w:tcPr>
            <w:tcW w:w="2176"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100,000,000.00</w:t>
            </w:r>
          </w:p>
        </w:tc>
      </w:tr>
    </w:tbl>
    <w:p>
      <w:pPr>
        <w:rPr>
          <w:rFonts w:hint="eastAsia" w:ascii="楷体" w:hAnsi="楷体" w:eastAsia="楷体" w:cs="楷体"/>
          <w:sz w:val="22"/>
          <w:szCs w:val="24"/>
        </w:rPr>
      </w:pPr>
    </w:p>
    <w:p>
      <w:pPr>
        <w:numPr>
          <w:ilvl w:val="0"/>
          <w:numId w:val="2"/>
        </w:numPr>
        <w:ind w:firstLine="220" w:firstLineChars="100"/>
        <w:rPr>
          <w:rFonts w:hint="eastAsia"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1930"/>
        <w:gridCol w:w="3540"/>
        <w:gridCol w:w="3151"/>
      </w:tblGrid>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交易类型</w:t>
            </w:r>
          </w:p>
        </w:tc>
        <w:tc>
          <w:tcPr>
            <w:tcW w:w="35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关联方名称</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华泰证券股份有限公司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10,598,825.43</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3,389,619.08</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948,970.75</w:t>
            </w:r>
          </w:p>
        </w:tc>
      </w:tr>
      <w:tr>
        <w:tblPrEx>
          <w:tblCellMar>
            <w:top w:w="0" w:type="dxa"/>
            <w:left w:w="108" w:type="dxa"/>
            <w:bottom w:w="0" w:type="dxa"/>
            <w:right w:w="108" w:type="dxa"/>
          </w:tblCellMar>
        </w:tblPrEx>
        <w:trPr>
          <w:trHeight w:val="283" w:hRule="atLeast"/>
        </w:trPr>
        <w:tc>
          <w:tcPr>
            <w:tcW w:w="193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二级交易</w:t>
            </w:r>
          </w:p>
        </w:tc>
        <w:tc>
          <w:tcPr>
            <w:tcW w:w="354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3151"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158,680,074.20</w:t>
            </w:r>
          </w:p>
        </w:tc>
      </w:tr>
    </w:tbl>
    <w:p>
      <w:pPr>
        <w:pStyle w:val="14"/>
        <w:rPr>
          <w:rFonts w:hint="eastAsia" w:ascii="楷体" w:hAnsi="楷体" w:eastAsia="楷体" w:cs="楷体"/>
          <w:sz w:val="21"/>
          <w:szCs w:val="21"/>
        </w:rPr>
      </w:pPr>
      <w:r>
        <w:rPr>
          <w:rFonts w:hint="eastAsia" w:ascii="楷体" w:hAnsi="楷体" w:eastAsia="楷体" w:cs="楷体"/>
          <w:sz w:val="21"/>
          <w:szCs w:val="21"/>
        </w:rPr>
        <w:t>注：本报告中理财产品托管费、代销费、直销费均基于产品实际支付金额进行统计。</w:t>
      </w:r>
    </w:p>
    <w:p>
      <w:pPr>
        <w:pStyle w:val="14"/>
        <w:rPr>
          <w:rFonts w:hint="eastAsia" w:ascii="楷体" w:hAnsi="楷体" w:eastAsia="楷体" w:cs="楷体"/>
        </w:rPr>
      </w:pPr>
    </w:p>
    <w:p>
      <w:pPr>
        <w:rPr>
          <w:rFonts w:hint="eastAsia"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苏银理财恒源日申1年持有1号B</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hint="eastAsia" w:ascii="楷体" w:hAnsi="楷体" w:eastAsia="楷体" w:cs="楷体"/>
                <w:sz w:val="22"/>
              </w:rPr>
            </w:pPr>
            <w:r>
              <w:rPr>
                <w:rFonts w:hint="eastAsia" w:ascii="楷体" w:hAnsi="楷体" w:eastAsia="楷体" w:cs="楷体"/>
                <w:sz w:val="22"/>
              </w:rPr>
              <w:t>164,299,840.20</w:t>
            </w:r>
          </w:p>
        </w:tc>
      </w:tr>
    </w:tbl>
    <w:p>
      <w:pPr>
        <w:ind w:firstLine="420" w:firstLineChars="200"/>
        <w:rPr>
          <w:rFonts w:hint="eastAsia"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hint="eastAsia" w:ascii="楷体" w:hAnsi="楷体" w:eastAsia="楷体" w:cs="楷体"/>
          <w:bCs/>
          <w:kern w:val="0"/>
          <w:szCs w:val="21"/>
        </w:rPr>
      </w:pPr>
    </w:p>
    <w:p>
      <w:pPr>
        <w:rPr>
          <w:rFonts w:hint="eastAsia"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hint="eastAsia"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hint="eastAsia" w:ascii="楷体" w:hAnsi="楷体" w:eastAsia="楷体" w:cs="楷体"/>
                <w:sz w:val="22"/>
              </w:rPr>
            </w:pPr>
            <w:r>
              <w:rPr>
                <w:rFonts w:hint="eastAsia" w:ascii="楷体" w:hAnsi="楷体" w:eastAsia="楷体" w:cs="楷体"/>
                <w:sz w:val="22"/>
              </w:rPr>
              <w:t>16,527,734,819.02</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18,389,015,574.31</w:t>
            </w:r>
          </w:p>
        </w:tc>
      </w:tr>
    </w:tbl>
    <w:p>
      <w:pPr>
        <w:pStyle w:val="14"/>
        <w:rPr>
          <w:rFonts w:hint="eastAsia" w:ascii="楷体" w:hAnsi="楷体" w:eastAsia="楷体" w:cs="楷体"/>
        </w:rPr>
      </w:pPr>
    </w:p>
    <w:p>
      <w:pPr>
        <w:pStyle w:val="2"/>
        <w:rPr>
          <w:rFonts w:hint="eastAsia" w:ascii="楷体" w:hAnsi="楷体" w:eastAsia="楷体" w:cs="楷体"/>
        </w:rPr>
      </w:pPr>
      <w:r>
        <w:rPr>
          <w:rFonts w:hint="eastAsia" w:ascii="楷体" w:hAnsi="楷体" w:eastAsia="楷体" w:cs="楷体"/>
        </w:rPr>
        <w:t>四.投资运作情况</w:t>
      </w:r>
    </w:p>
    <w:p>
      <w:pPr>
        <w:pStyle w:val="2"/>
        <w:rPr>
          <w:rFonts w:hint="eastAsia" w:ascii="楷体" w:hAnsi="楷体" w:eastAsia="楷体" w:cs="楷体"/>
          <w:b w:val="0"/>
          <w:sz w:val="21"/>
        </w:rPr>
      </w:pPr>
      <w:r>
        <w:rPr>
          <w:rFonts w:hint="eastAsia" w:ascii="楷体" w:hAnsi="楷体" w:eastAsia="楷体" w:cs="楷体"/>
          <w:b w:val="0"/>
          <w:sz w:val="21"/>
        </w:rPr>
        <w:t>1、运作期回顾</w:t>
      </w:r>
    </w:p>
    <w:p>
      <w:pPr>
        <w:ind w:firstLine="420" w:firstLineChars="200"/>
        <w:rPr>
          <w:rFonts w:hint="eastAsia" w:ascii="楷体" w:hAnsi="楷体" w:eastAsia="楷体"/>
          <w:bCs/>
          <w:kern w:val="0"/>
          <w:sz w:val="21"/>
          <w:szCs w:val="21"/>
        </w:rPr>
      </w:pPr>
      <w:r>
        <w:rPr>
          <w:rFonts w:hint="eastAsia" w:ascii="楷体" w:hAnsi="楷体" w:eastAsia="楷体"/>
          <w:bCs/>
          <w:kern w:val="0"/>
          <w:sz w:val="21"/>
          <w:szCs w:val="21"/>
        </w:rPr>
        <w:t>二季度经济景气度虽有所回落，但仍顶住压力、迎难而上，呈现出总体平稳、稳中向好的态势。由于特朗普关税事件的持续发酵，外部不稳定不确定因素较多，国内有效需求不足，经济回升向好基础仍需加力巩固。</w:t>
      </w:r>
    </w:p>
    <w:p>
      <w:pPr>
        <w:ind w:firstLine="420" w:firstLineChars="200"/>
        <w:rPr>
          <w:rFonts w:hint="eastAsia" w:ascii="楷体" w:hAnsi="楷体" w:eastAsia="楷体"/>
          <w:bCs/>
          <w:kern w:val="0"/>
          <w:sz w:val="21"/>
          <w:szCs w:val="21"/>
        </w:rPr>
      </w:pPr>
      <w:r>
        <w:rPr>
          <w:rFonts w:hint="eastAsia" w:ascii="楷体" w:hAnsi="楷体" w:eastAsia="楷体"/>
          <w:bCs/>
          <w:kern w:val="0"/>
          <w:sz w:val="21"/>
          <w:szCs w:val="21"/>
        </w:rPr>
        <w:t>债券市场方面，受货币政策延续宽松基调等影响，二季度收益率整体呈现“宽幅震荡、中枢下行”特征。4月份受美国加征关税、基本面边际走弱因素影响，中长端利率大幅下行，资金面也有所回暖，因此债市走出牛平特征。5月中旬开始，国债收益率触底后快速反弹；6月中下旬开始，随着央行放量投放，资金利率超预期宽松，叠加基本面趋弱引发配置资金“跨季抢跑”，收益率再度下行。</w:t>
      </w:r>
    </w:p>
    <w:p>
      <w:pPr>
        <w:ind w:firstLine="420" w:firstLineChars="200"/>
        <w:rPr>
          <w:rFonts w:hint="default" w:ascii="楷体" w:hAnsi="楷体" w:eastAsia="楷体"/>
          <w:bCs/>
          <w:kern w:val="0"/>
          <w:sz w:val="21"/>
          <w:szCs w:val="21"/>
          <w:lang w:val="en-US" w:eastAsia="zh-CN"/>
        </w:rPr>
      </w:pPr>
      <w:r>
        <w:rPr>
          <w:rFonts w:hint="eastAsia" w:ascii="楷体" w:hAnsi="楷体" w:eastAsia="楷体"/>
          <w:bCs/>
          <w:kern w:val="0"/>
          <w:sz w:val="21"/>
          <w:szCs w:val="21"/>
          <w:lang w:val="en-US" w:eastAsia="zh-CN"/>
        </w:rPr>
        <w:t>在债券收益率整体下行的背景下，产品保持合理的组合久期，并通过债券交易增厚资本利得，取得了较为稳健的收益。</w:t>
      </w:r>
    </w:p>
    <w:p>
      <w:pPr>
        <w:ind w:firstLine="480" w:firstLineChars="200"/>
        <w:rPr>
          <w:rFonts w:hint="eastAsia" w:ascii="楷体" w:hAnsi="楷体" w:eastAsia="楷体"/>
          <w:bCs/>
          <w:kern w:val="0"/>
          <w:sz w:val="24"/>
          <w:szCs w:val="24"/>
        </w:rPr>
      </w:pPr>
    </w:p>
    <w:p>
      <w:pPr>
        <w:pStyle w:val="4"/>
        <w:spacing w:before="43" w:line="275" w:lineRule="auto"/>
        <w:ind w:right="1799" w:firstLine="226" w:firstLineChars="100"/>
        <w:rPr>
          <w:rFonts w:hint="eastAsia" w:ascii="楷体" w:hAnsi="楷体" w:eastAsia="楷体" w:cs="楷体"/>
          <w:spacing w:val="8"/>
          <w:sz w:val="21"/>
        </w:rPr>
      </w:pPr>
    </w:p>
    <w:p>
      <w:pPr>
        <w:pStyle w:val="2"/>
        <w:rPr>
          <w:rFonts w:hint="eastAsia" w:ascii="楷体" w:hAnsi="楷体" w:eastAsia="楷体" w:cs="楷体"/>
          <w:b w:val="0"/>
          <w:sz w:val="21"/>
        </w:rPr>
      </w:pPr>
      <w:r>
        <w:rPr>
          <w:rFonts w:hint="eastAsia" w:ascii="楷体" w:hAnsi="楷体" w:eastAsia="楷体" w:cs="楷体"/>
          <w:b w:val="0"/>
          <w:sz w:val="21"/>
        </w:rPr>
        <w:t>2、后市展望及下阶段投资策略</w:t>
      </w:r>
    </w:p>
    <w:p>
      <w:pPr>
        <w:ind w:firstLine="420" w:firstLineChars="200"/>
        <w:rPr>
          <w:rFonts w:hint="default" w:ascii="楷体" w:hAnsi="楷体" w:eastAsia="楷体"/>
          <w:bCs/>
          <w:kern w:val="0"/>
          <w:sz w:val="21"/>
          <w:szCs w:val="21"/>
          <w:lang w:val="en-US" w:eastAsia="zh-CN"/>
        </w:rPr>
      </w:pPr>
      <w:r>
        <w:rPr>
          <w:rFonts w:hint="eastAsia" w:ascii="楷体" w:hAnsi="楷体" w:eastAsia="楷体"/>
          <w:bCs/>
          <w:kern w:val="0"/>
          <w:sz w:val="21"/>
          <w:szCs w:val="21"/>
        </w:rPr>
        <w:t>进入三季度，市场或继续博弈央行重启买债等宽松措施落地的预期，资金价格和短债利率继续下行有望打开长债利率下行空间。同时，也需要密切关注</w:t>
      </w:r>
      <w:r>
        <w:rPr>
          <w:rFonts w:hint="eastAsia" w:ascii="楷体" w:hAnsi="楷体" w:eastAsia="楷体"/>
          <w:bCs/>
          <w:kern w:val="0"/>
          <w:sz w:val="21"/>
          <w:szCs w:val="21"/>
          <w:lang w:val="en-US" w:eastAsia="zh-CN"/>
        </w:rPr>
        <w:t>中美谈判进展超预期，重要会议政策超预期的风险。</w:t>
      </w:r>
    </w:p>
    <w:p>
      <w:pPr>
        <w:ind w:firstLine="420" w:firstLineChars="200"/>
        <w:rPr>
          <w:rFonts w:hint="eastAsia" w:ascii="楷体" w:hAnsi="楷体" w:eastAsia="楷体"/>
          <w:bCs/>
          <w:kern w:val="0"/>
          <w:sz w:val="21"/>
          <w:szCs w:val="21"/>
        </w:rPr>
      </w:pPr>
      <w:r>
        <w:rPr>
          <w:rFonts w:hint="eastAsia" w:ascii="楷体" w:hAnsi="楷体" w:eastAsia="楷体"/>
          <w:bCs/>
          <w:kern w:val="0"/>
          <w:sz w:val="21"/>
          <w:szCs w:val="21"/>
        </w:rPr>
        <w:t>产品严控信用风险，精选高等级信用债券进行投资，在对国内外宏观经济态势、利率走势、收益率曲线变化趋势等因素的综合研判的基础上，通过利率债、CD、银行二永债等债券的交易，动态调整组合久期。产品持续优化组合配置，力求获得稳健的投资收益。</w:t>
      </w:r>
    </w:p>
    <w:p>
      <w:pPr>
        <w:ind w:firstLine="420" w:firstLineChars="200"/>
        <w:rPr>
          <w:rFonts w:hint="eastAsia" w:ascii="楷体" w:hAnsi="楷体" w:eastAsia="楷体"/>
          <w:bCs/>
          <w:kern w:val="0"/>
          <w:sz w:val="21"/>
          <w:szCs w:val="21"/>
        </w:rPr>
      </w:pPr>
      <w:bookmarkStart w:id="1" w:name="_GoBack"/>
      <w:bookmarkEnd w:id="1"/>
    </w:p>
    <w:p>
      <w:pPr>
        <w:pStyle w:val="2"/>
        <w:rPr>
          <w:rFonts w:hint="eastAsia" w:ascii="楷体" w:hAnsi="楷体" w:eastAsia="楷体" w:cs="楷体"/>
          <w:b w:val="0"/>
          <w:sz w:val="21"/>
        </w:rPr>
      </w:pPr>
      <w:r>
        <w:rPr>
          <w:rFonts w:hint="eastAsia" w:ascii="楷体" w:hAnsi="楷体" w:eastAsia="楷体" w:cs="楷体"/>
          <w:b w:val="0"/>
          <w:sz w:val="21"/>
        </w:rPr>
        <w:t>3、流动性风险分析</w:t>
      </w:r>
    </w:p>
    <w:p>
      <w:pPr>
        <w:ind w:firstLine="420" w:firstLineChars="200"/>
        <w:rPr>
          <w:rFonts w:hint="eastAsia" w:ascii="楷体" w:hAnsi="楷体" w:eastAsia="楷体"/>
          <w:bCs/>
          <w:kern w:val="0"/>
          <w:sz w:val="21"/>
          <w:szCs w:val="21"/>
        </w:rPr>
      </w:pPr>
      <w:r>
        <w:rPr>
          <w:rFonts w:hint="eastAsia" w:ascii="楷体" w:hAnsi="楷体" w:eastAsia="楷体"/>
          <w:bCs/>
          <w:kern w:val="0"/>
          <w:sz w:val="21"/>
          <w:szCs w:val="21"/>
        </w:rPr>
        <w:t>产品持仓以高等级信用债为主，变现能力较强，同时注重调优持仓结构，确保流动性处于合理水平。</w:t>
      </w:r>
    </w:p>
    <w:p>
      <w:pPr>
        <w:pStyle w:val="4"/>
        <w:spacing w:before="0" w:line="240" w:lineRule="auto"/>
        <w:ind w:left="0" w:right="0" w:firstLine="0" w:firstLineChars="0"/>
        <w:rPr>
          <w:rFonts w:hint="eastAsia" w:ascii="楷体" w:hAnsi="楷体" w:eastAsia="楷体" w:cs="楷体"/>
          <w:sz w:val="21"/>
        </w:rPr>
      </w:pPr>
    </w:p>
    <w:p>
      <w:pPr>
        <w:ind w:firstLine="560" w:firstLineChars="200"/>
        <w:rPr>
          <w:rFonts w:hint="eastAsia" w:ascii="楷体" w:hAnsi="楷体" w:eastAsia="楷体" w:cs="楷体"/>
          <w:bCs/>
          <w:kern w:val="0"/>
          <w:szCs w:val="21"/>
        </w:rPr>
      </w:pPr>
    </w:p>
    <w:p>
      <w:pPr>
        <w:rPr>
          <w:rFonts w:hint="eastAsia" w:ascii="楷体" w:hAnsi="楷体" w:eastAsia="楷体" w:cs="楷体"/>
        </w:rPr>
      </w:pPr>
    </w:p>
    <w:p>
      <w:pPr>
        <w:ind w:firstLine="560" w:firstLineChars="200"/>
        <w:rPr>
          <w:rFonts w:hint="eastAsia" w:ascii="楷体" w:hAnsi="楷体" w:eastAsia="楷体" w:cs="楷体"/>
          <w:bCs/>
          <w:kern w:val="0"/>
          <w:szCs w:val="21"/>
        </w:rPr>
      </w:pPr>
    </w:p>
    <w:p>
      <w:pPr>
        <w:rPr>
          <w:rFonts w:hint="eastAsia" w:ascii="楷体" w:hAnsi="楷体" w:eastAsia="楷体" w:cs="楷体"/>
          <w:sz w:val="21"/>
          <w:szCs w:val="21"/>
        </w:rPr>
      </w:pPr>
    </w:p>
    <w:p>
      <w:pPr>
        <w:jc w:val="right"/>
        <w:rPr>
          <w:rFonts w:hint="eastAsia" w:ascii="楷体" w:hAnsi="楷体" w:eastAsia="楷体" w:cs="楷体"/>
          <w:sz w:val="21"/>
          <w:szCs w:val="21"/>
        </w:rPr>
      </w:pPr>
      <w:r>
        <w:rPr>
          <w:rFonts w:hint="eastAsia" w:ascii="楷体" w:hAnsi="楷体" w:eastAsia="楷体" w:cs="楷体"/>
          <w:b/>
          <w:sz w:val="21"/>
          <w:szCs w:val="21"/>
        </w:rPr>
        <w:t>苏银理财有限责任公司</w:t>
      </w:r>
    </w:p>
    <w:p>
      <w:pPr>
        <w:ind w:firstLine="630" w:firstLineChars="300"/>
        <w:jc w:val="right"/>
        <w:rPr>
          <w:rFonts w:hint="eastAsia"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205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2051"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204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205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E02BC3"/>
    <w:multiLevelType w:val="singleLevel"/>
    <w:tmpl w:val="B4E02BC3"/>
    <w:lvl w:ilvl="0" w:tentative="0">
      <w:start w:val="3"/>
      <w:numFmt w:val="chineseCounting"/>
      <w:suff w:val="nothing"/>
      <w:lvlText w:val="（%1）"/>
      <w:lvlJc w:val="left"/>
      <w:rPr>
        <w:rFonts w:hint="eastAsia"/>
      </w:rPr>
    </w:lvl>
  </w:abstractNum>
  <w:abstractNum w:abstractNumId="1">
    <w:nsid w:val="F2A81E1A"/>
    <w:multiLevelType w:val="singleLevel"/>
    <w:tmpl w:val="F2A81E1A"/>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2E43375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Info spid="_x0000_s2052"/>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2</TotalTime>
  <ScaleCrop>false</ScaleCrop>
  <LinksUpToDate>false</LinksUpToDate>
  <CharactersWithSpaces>2803</CharactersWithSpaces>
  <Application>WPS Office_11.8.2.11734_F1E327BC-269C-435d-A152-05C5408002CA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2025-07-14T12:13:26Z</dcterms:modified>
  <cp:revision>22</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fe8857-0246-43a9-bb78-ff9eea540377}">
  <ds:schemaRefs/>
</ds:datastoreItem>
</file>

<file path=customXml/itemProps3.xml><?xml version="1.0" encoding="utf-8"?>
<ds:datastoreItem xmlns:ds="http://schemas.openxmlformats.org/officeDocument/2006/customXml" ds:itemID="{5a0ad4db-85d1-4259-a71d-b7532d395d46}">
  <ds:schemaRefs/>
</ds:datastoreItem>
</file>

<file path=customXml/itemProps4.xml><?xml version="1.0" encoding="utf-8"?>
<ds:datastoreItem xmlns:ds="http://schemas.openxmlformats.org/officeDocument/2006/customXml" ds:itemID="{5cad4cdb-2a72-4b44-b7bc-16e99139acc8}">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TotalTime>
  <ScaleCrop>false</ScaleCrop>
  <LinksUpToDate>false</LinksUpToDate>
  <CharactersWithSpaces>2803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2025-07-15T11:21:19Z</dcterms:modified>
  <dc:title>_x201C__x0024__x007B_prdInfo.PRD_NAME_x007D__x201D_理财产品</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F633FFE5590A4249B274BE4F1B350C00</vt:lpwstr>
  </property>
</Properties>
</file>