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sz w:val="36"/>
          <w:szCs w:val="36"/>
        </w:rPr>
        <w:t>“</w:t>
      </w:r>
      <w:r>
        <w:rPr>
          <w:rFonts w:hint="eastAsia" w:ascii="楷体" w:hAnsi="楷体" w:eastAsia="楷体" w:cs="楷体"/>
          <w:b/>
          <w:bCs/>
          <w:spacing w:val="-1"/>
          <w:sz w:val="36"/>
          <w:szCs w:val="36"/>
        </w:rPr>
        <w:t>苏银理财启源货币1号</w:t>
      </w:r>
      <w:r>
        <w:rPr>
          <w:rFonts w:hint="eastAsia" w:ascii="楷体" w:hAnsi="楷体" w:eastAsia="楷体" w:cs="楷体"/>
          <w:b/>
          <w:sz w:val="36"/>
          <w:szCs w:val="36"/>
        </w:rPr>
        <w:t>”理财产品</w:t>
      </w:r>
    </w:p>
    <w:p>
      <w:pPr>
        <w:pStyle w:val="8"/>
        <w:spacing w:before="0" w:beforeAutospacing="0" w:after="0" w:afterAutospacing="0"/>
        <w:jc w:val="center"/>
        <w:rPr>
          <w:rFonts w:ascii="楷体" w:hAnsi="楷体" w:eastAsia="楷体" w:cs="楷体"/>
          <w:b/>
          <w:sz w:val="36"/>
          <w:szCs w:val="36"/>
        </w:rPr>
      </w:pPr>
      <w:r>
        <w:rPr>
          <w:rFonts w:hint="eastAsia" w:ascii="楷体" w:hAnsi="楷体" w:eastAsia="楷体" w:cs="楷体"/>
          <w:b/>
          <w:bCs/>
          <w:spacing w:val="4"/>
          <w:sz w:val="36"/>
          <w:szCs w:val="36"/>
        </w:rPr>
        <w:t>2025年二季度</w:t>
      </w:r>
      <w:r>
        <w:rPr>
          <w:rFonts w:hint="eastAsia" w:ascii="楷体" w:hAnsi="楷体" w:eastAsia="楷体" w:cs="楷体"/>
          <w:b/>
          <w:sz w:val="36"/>
          <w:szCs w:val="36"/>
        </w:rPr>
        <w:t>投资管理报告</w:t>
      </w:r>
    </w:p>
    <w:p>
      <w:pPr>
        <w:pStyle w:val="8"/>
        <w:spacing w:before="0" w:beforeAutospacing="0" w:after="0" w:afterAutospacing="0" w:line="360" w:lineRule="auto"/>
        <w:rPr>
          <w:rFonts w:ascii="楷体" w:hAnsi="楷体" w:eastAsia="楷体" w:cs="楷体"/>
        </w:rPr>
      </w:pPr>
      <w:r>
        <w:rPr>
          <w:rFonts w:hint="eastAsia" w:ascii="楷体" w:hAnsi="楷体" w:eastAsia="楷体" w:cs="楷体"/>
        </w:rPr>
        <w:t>尊敬的投资者：</w:t>
      </w:r>
    </w:p>
    <w:p>
      <w:pPr>
        <w:pStyle w:val="8"/>
        <w:spacing w:before="0" w:beforeAutospacing="0" w:after="0" w:afterAutospacing="0" w:line="360" w:lineRule="auto"/>
        <w:ind w:firstLine="566" w:firstLineChars="236"/>
        <w:rPr>
          <w:rFonts w:ascii="楷体" w:hAnsi="楷体" w:eastAsia="楷体" w:cs="楷体"/>
        </w:rPr>
      </w:pPr>
      <w:r>
        <w:rPr>
          <w:rFonts w:hint="eastAsia" w:ascii="楷体" w:hAnsi="楷体" w:eastAsia="楷体" w:cs="楷体"/>
        </w:rPr>
        <w:t>“</w:t>
      </w:r>
      <w:r>
        <w:rPr>
          <w:rFonts w:hint="eastAsia" w:ascii="楷体" w:hAnsi="楷体" w:eastAsia="楷体" w:cs="楷体"/>
          <w:spacing w:val="-7"/>
        </w:rPr>
        <w:t>苏银理财启源货币1号</w:t>
      </w:r>
      <w:r>
        <w:rPr>
          <w:rFonts w:hint="eastAsia" w:ascii="楷体" w:hAnsi="楷体" w:eastAsia="楷体" w:cs="楷体"/>
        </w:rPr>
        <w:t>”理财产品于</w:t>
      </w:r>
      <w:r>
        <w:rPr>
          <w:rFonts w:hint="eastAsia" w:ascii="楷体" w:hAnsi="楷体" w:eastAsia="楷体" w:cs="楷体"/>
          <w:spacing w:val="-53"/>
        </w:rPr>
        <w:t xml:space="preserve"> </w:t>
      </w:r>
      <w:r>
        <w:rPr>
          <w:rFonts w:hint="eastAsia" w:ascii="楷体" w:hAnsi="楷体" w:eastAsia="楷体" w:cs="楷体"/>
          <w:spacing w:val="-7"/>
        </w:rPr>
        <w:t>2023年12月07日</w:t>
      </w:r>
      <w:r>
        <w:rPr>
          <w:rFonts w:hint="eastAsia" w:ascii="楷体" w:hAnsi="楷体" w:eastAsia="楷体" w:cs="楷体"/>
        </w:rPr>
        <w:t>成立，于</w:t>
      </w:r>
      <w:r>
        <w:rPr>
          <w:rFonts w:hint="eastAsia" w:ascii="楷体" w:hAnsi="楷体" w:eastAsia="楷体" w:cs="楷体"/>
          <w:spacing w:val="-7"/>
        </w:rPr>
        <w:t>2023年12月07日</w:t>
      </w:r>
      <w:r>
        <w:rPr>
          <w:rFonts w:hint="eastAsia" w:ascii="楷体" w:hAnsi="楷体" w:eastAsia="楷体" w:cs="楷体"/>
        </w:rPr>
        <w:t>正式投资运作。</w:t>
      </w:r>
    </w:p>
    <w:p>
      <w:pPr>
        <w:pStyle w:val="8"/>
        <w:spacing w:before="0" w:beforeAutospacing="0" w:after="0" w:afterAutospacing="0" w:line="360" w:lineRule="auto"/>
        <w:rPr>
          <w:rFonts w:ascii="楷体" w:hAnsi="楷体" w:eastAsia="楷体" w:cs="楷体"/>
        </w:rPr>
      </w:pPr>
    </w:p>
    <w:p>
      <w:pPr>
        <w:pStyle w:val="2"/>
        <w:rPr>
          <w:rFonts w:ascii="楷体" w:hAnsi="楷体" w:cs="楷体"/>
        </w:rPr>
      </w:pPr>
      <w:r>
        <w:rPr>
          <w:rFonts w:hint="eastAsia" w:ascii="楷体" w:hAnsi="楷体" w:cs="楷体"/>
        </w:rPr>
        <w:t>一</w:t>
      </w:r>
      <w:bookmarkStart w:id="0" w:name="_Toc535504139"/>
      <w:r>
        <w:rPr>
          <w:rFonts w:hint="eastAsia" w:ascii="楷体" w:hAnsi="楷体" w:cs="楷体"/>
        </w:rPr>
        <w:t>、产品基本情况</w:t>
      </w:r>
      <w:bookmarkEnd w:id="0"/>
    </w:p>
    <w:tbl>
      <w:tblPr>
        <w:tblStyle w:val="9"/>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4"/>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产品名称</w:t>
            </w:r>
          </w:p>
        </w:tc>
        <w:tc>
          <w:tcPr>
            <w:tcW w:w="3847" w:type="dxa"/>
          </w:tcPr>
          <w:p>
            <w:pPr>
              <w:pStyle w:val="25"/>
              <w:spacing w:before="56" w:line="202" w:lineRule="auto"/>
              <w:jc w:val="center"/>
              <w:rPr>
                <w:sz w:val="24"/>
                <w:szCs w:val="24"/>
                <w:highlight w:val="yellow"/>
              </w:rPr>
            </w:pPr>
            <w:r>
              <w:rPr>
                <w:rFonts w:hint="eastAsia"/>
                <w:spacing w:val="-6"/>
                <w:sz w:val="24"/>
                <w:szCs w:val="24"/>
              </w:rPr>
              <w:t>苏银理财启源货币1号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全国银行业理财信息登记系统登记编码</w:t>
            </w:r>
          </w:p>
        </w:tc>
        <w:tc>
          <w:tcPr>
            <w:tcW w:w="3847" w:type="dxa"/>
          </w:tcPr>
          <w:p>
            <w:pPr>
              <w:pStyle w:val="25"/>
              <w:spacing w:before="85" w:line="176" w:lineRule="auto"/>
              <w:jc w:val="center"/>
              <w:rPr>
                <w:sz w:val="24"/>
                <w:szCs w:val="24"/>
                <w:highlight w:val="yellow"/>
              </w:rPr>
            </w:pPr>
            <w:r>
              <w:rPr>
                <w:rFonts w:hint="eastAsia"/>
                <w:spacing w:val="-1"/>
                <w:sz w:val="24"/>
                <w:szCs w:val="24"/>
              </w:rPr>
              <w:t>Z7003123000204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产品运作方式</w:t>
            </w:r>
          </w:p>
        </w:tc>
        <w:tc>
          <w:tcPr>
            <w:tcW w:w="3847" w:type="dxa"/>
          </w:tcPr>
          <w:p>
            <w:pPr>
              <w:pStyle w:val="25"/>
              <w:spacing w:before="52" w:line="201" w:lineRule="auto"/>
              <w:jc w:val="center"/>
              <w:rPr>
                <w:sz w:val="24"/>
                <w:szCs w:val="24"/>
                <w:highlight w:val="yellow"/>
              </w:rPr>
            </w:pPr>
            <w:r>
              <w:rPr>
                <w:rFonts w:hint="eastAsia"/>
                <w:spacing w:val="-2"/>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报告期末产品存续份额（份）</w:t>
            </w:r>
          </w:p>
        </w:tc>
        <w:tc>
          <w:tcPr>
            <w:tcW w:w="3847" w:type="dxa"/>
          </w:tcPr>
          <w:p>
            <w:pPr>
              <w:pStyle w:val="25"/>
              <w:spacing w:before="87" w:line="174" w:lineRule="auto"/>
              <w:jc w:val="center"/>
              <w:rPr>
                <w:sz w:val="24"/>
                <w:szCs w:val="24"/>
                <w:highlight w:val="yellow"/>
              </w:rPr>
            </w:pPr>
            <w:r>
              <w:rPr>
                <w:rFonts w:hint="eastAsia"/>
                <w:spacing w:val="-1"/>
                <w:sz w:val="24"/>
                <w:szCs w:val="24"/>
              </w:rPr>
              <w:t>8,598,920,059.31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产品资产净值（元）</w:t>
            </w:r>
          </w:p>
        </w:tc>
        <w:tc>
          <w:tcPr>
            <w:tcW w:w="3847" w:type="dxa"/>
          </w:tcPr>
          <w:p>
            <w:pPr>
              <w:pStyle w:val="25"/>
              <w:spacing w:before="78" w:line="182" w:lineRule="auto"/>
              <w:jc w:val="center"/>
              <w:rPr>
                <w:sz w:val="24"/>
                <w:szCs w:val="24"/>
                <w:highlight w:val="yellow"/>
              </w:rPr>
            </w:pPr>
            <w:r>
              <w:rPr>
                <w:rFonts w:hint="eastAsia"/>
                <w:spacing w:val="-1"/>
                <w:sz w:val="24"/>
                <w:szCs w:val="24"/>
              </w:rPr>
              <w:t>8,598,920,059.31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风险收益特征</w:t>
            </w:r>
          </w:p>
        </w:tc>
        <w:tc>
          <w:tcPr>
            <w:tcW w:w="3847" w:type="dxa"/>
          </w:tcPr>
          <w:p>
            <w:pPr>
              <w:pStyle w:val="25"/>
              <w:spacing w:before="54" w:line="200" w:lineRule="auto"/>
              <w:jc w:val="center"/>
              <w:rPr>
                <w:sz w:val="24"/>
                <w:szCs w:val="24"/>
                <w:highlight w:val="yellow"/>
              </w:rPr>
            </w:pPr>
            <w:r>
              <w:rPr>
                <w:rFonts w:hint="eastAsia"/>
                <w:spacing w:val="-8"/>
                <w:sz w:val="24"/>
                <w:szCs w:val="24"/>
              </w:rPr>
              <w:t>低风险型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收益类型</w:t>
            </w:r>
          </w:p>
        </w:tc>
        <w:tc>
          <w:tcPr>
            <w:tcW w:w="3847" w:type="dxa"/>
          </w:tcPr>
          <w:p>
            <w:pPr>
              <w:pStyle w:val="25"/>
              <w:spacing w:before="56" w:line="199" w:lineRule="auto"/>
              <w:jc w:val="center"/>
              <w:rPr>
                <w:sz w:val="24"/>
                <w:szCs w:val="24"/>
                <w:highlight w:val="yellow"/>
              </w:rPr>
            </w:pPr>
            <w:r>
              <w:rPr>
                <w:rFonts w:hint="eastAsia"/>
                <w:spacing w:val="-9"/>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管理人</w:t>
            </w:r>
          </w:p>
        </w:tc>
        <w:tc>
          <w:tcPr>
            <w:tcW w:w="3847" w:type="dxa"/>
          </w:tcPr>
          <w:p>
            <w:pPr>
              <w:pStyle w:val="25"/>
              <w:spacing w:before="55" w:line="200" w:lineRule="auto"/>
              <w:jc w:val="center"/>
              <w:rPr>
                <w:sz w:val="24"/>
                <w:szCs w:val="24"/>
                <w:highlight w:val="yellow"/>
              </w:rPr>
            </w:pPr>
            <w:r>
              <w:rPr>
                <w:rFonts w:hint="eastAsia"/>
                <w:spacing w:val="-3"/>
                <w:sz w:val="24"/>
                <w:szCs w:val="24"/>
              </w:rPr>
              <w:t>苏银理财有限责任公司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托管人</w:t>
            </w:r>
          </w:p>
        </w:tc>
        <w:tc>
          <w:tcPr>
            <w:tcW w:w="3847" w:type="dxa"/>
          </w:tcPr>
          <w:p>
            <w:pPr>
              <w:pStyle w:val="25"/>
              <w:spacing w:before="56" w:line="199" w:lineRule="auto"/>
              <w:jc w:val="center"/>
              <w:rPr>
                <w:sz w:val="24"/>
                <w:szCs w:val="24"/>
                <w:highlight w:val="yellow"/>
              </w:rPr>
            </w:pPr>
            <w:r>
              <w:rPr>
                <w:rFonts w:hint="eastAsia"/>
                <w:spacing w:val="-3"/>
                <w:sz w:val="24"/>
                <w:szCs w:val="24"/>
              </w:rPr>
              <w:t>江苏银行股份有限公司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w:t>
            </w:r>
          </w:p>
        </w:tc>
        <w:tc>
          <w:tcPr>
            <w:tcW w:w="3847" w:type="dxa"/>
          </w:tcPr>
          <w:p>
            <w:pPr>
              <w:pStyle w:val="25"/>
              <w:spacing w:before="90" w:line="173" w:lineRule="auto"/>
              <w:jc w:val="center"/>
              <w:rPr>
                <w:sz w:val="24"/>
                <w:szCs w:val="24"/>
                <w:highlight w:val="yellow"/>
              </w:rPr>
            </w:pPr>
            <w:r>
              <w:rPr>
                <w:rFonts w:hint="eastAsia"/>
                <w:spacing w:val="-1"/>
                <w:sz w:val="24"/>
                <w:szCs w:val="24"/>
              </w:rPr>
              <w:t>31000188000564305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托管账户开户行</w:t>
            </w:r>
          </w:p>
        </w:tc>
        <w:tc>
          <w:tcPr>
            <w:tcW w:w="3847" w:type="dxa"/>
          </w:tcPr>
          <w:p>
            <w:pPr>
              <w:pStyle w:val="25"/>
              <w:spacing w:before="56" w:line="199" w:lineRule="auto"/>
              <w:jc w:val="center"/>
              <w:rPr>
                <w:sz w:val="24"/>
                <w:szCs w:val="24"/>
              </w:rPr>
            </w:pPr>
            <w:r>
              <w:rPr>
                <w:rFonts w:hint="eastAsia"/>
                <w:spacing w:val="-2"/>
                <w:sz w:val="24"/>
                <w:szCs w:val="24"/>
              </w:rPr>
              <w:t>江苏银行股份有限公司营业部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产品资产总值（元）</w:t>
            </w:r>
          </w:p>
        </w:tc>
        <w:tc>
          <w:tcPr>
            <w:tcW w:w="3847" w:type="dxa"/>
          </w:tcPr>
          <w:p>
            <w:pPr>
              <w:pStyle w:val="25"/>
              <w:spacing w:before="81" w:line="180" w:lineRule="auto"/>
              <w:jc w:val="center"/>
              <w:rPr>
                <w:sz w:val="24"/>
                <w:szCs w:val="24"/>
              </w:rPr>
            </w:pPr>
            <w:r>
              <w:rPr>
                <w:rFonts w:hint="eastAsia"/>
                <w:spacing w:val="-1"/>
                <w:sz w:val="24"/>
                <w:szCs w:val="24"/>
              </w:rPr>
              <w:t>8,599,962,755.86</w:t>
            </w:r>
            <w:r>
              <w:rPr>
                <w:rFonts w:hint="eastAsia"/>
                <w:spacing w:val="-29"/>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774" w:type="dxa"/>
            <w:vAlign w:val="center"/>
          </w:tcPr>
          <w:p>
            <w:pPr>
              <w:spacing w:line="320" w:lineRule="exact"/>
              <w:rPr>
                <w:rFonts w:ascii="楷体" w:hAnsi="楷体" w:eastAsia="楷体" w:cs="楷体"/>
                <w:sz w:val="24"/>
                <w:szCs w:val="24"/>
              </w:rPr>
            </w:pPr>
            <w:r>
              <w:rPr>
                <w:rFonts w:hint="eastAsia" w:ascii="楷体" w:hAnsi="楷体" w:eastAsia="楷体" w:cs="楷体"/>
                <w:sz w:val="24"/>
                <w:szCs w:val="24"/>
              </w:rPr>
              <w:t>杠杆水平</w:t>
            </w:r>
          </w:p>
        </w:tc>
        <w:tc>
          <w:tcPr>
            <w:tcW w:w="3847" w:type="dxa"/>
          </w:tcPr>
          <w:p>
            <w:pPr>
              <w:pStyle w:val="25"/>
              <w:spacing w:before="56" w:line="202" w:lineRule="auto"/>
              <w:jc w:val="center"/>
              <w:rPr>
                <w:sz w:val="24"/>
                <w:szCs w:val="24"/>
              </w:rPr>
            </w:pPr>
            <w:r>
              <w:rPr>
                <w:rFonts w:hint="eastAsia"/>
                <w:spacing w:val="-4"/>
                <w:sz w:val="24"/>
                <w:szCs w:val="24"/>
              </w:rPr>
              <w:t>100.01%</w:t>
            </w:r>
          </w:p>
        </w:tc>
      </w:tr>
    </w:tbl>
    <w:p>
      <w:pPr>
        <w:pStyle w:val="14"/>
        <w:rPr>
          <w:rFonts w:ascii="楷体" w:hAnsi="楷体" w:cs="楷体"/>
        </w:rPr>
      </w:pPr>
    </w:p>
    <w:p>
      <w:pPr>
        <w:pStyle w:val="2"/>
        <w:rPr>
          <w:rFonts w:ascii="楷体" w:hAnsi="楷体" w:cs="楷体"/>
        </w:rPr>
      </w:pPr>
      <w:r>
        <w:rPr>
          <w:rFonts w:hint="eastAsia" w:ascii="楷体" w:hAnsi="楷体" w:cs="楷体"/>
        </w:rPr>
        <w:t>二、产品收益与业绩比较基准</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1"/>
        <w:gridCol w:w="1961"/>
        <w:gridCol w:w="1462"/>
        <w:gridCol w:w="1712"/>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61"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报告日期</w:t>
            </w:r>
          </w:p>
        </w:tc>
        <w:tc>
          <w:tcPr>
            <w:tcW w:w="1961" w:type="dxa"/>
          </w:tcPr>
          <w:p>
            <w:pPr>
              <w:spacing w:line="320" w:lineRule="exact"/>
              <w:jc w:val="center"/>
              <w:rPr>
                <w:rFonts w:ascii="楷体" w:hAnsi="楷体" w:eastAsia="楷体" w:cs="楷体"/>
                <w:sz w:val="21"/>
                <w:szCs w:val="21"/>
              </w:rPr>
            </w:pPr>
            <w:r>
              <w:rPr>
                <w:rFonts w:hint="eastAsia" w:ascii="楷体" w:hAnsi="楷体" w:eastAsia="楷体" w:cs="楷体"/>
                <w:sz w:val="21"/>
                <w:szCs w:val="21"/>
              </w:rPr>
              <w:t>销售名称</w:t>
            </w:r>
          </w:p>
        </w:tc>
        <w:tc>
          <w:tcPr>
            <w:tcW w:w="1462" w:type="dxa"/>
          </w:tcPr>
          <w:p>
            <w:pPr>
              <w:jc w:val="center"/>
              <w:rPr>
                <w:rFonts w:ascii="楷体" w:hAnsi="楷体" w:eastAsia="楷体" w:cs="楷体"/>
                <w:sz w:val="21"/>
                <w:szCs w:val="21"/>
              </w:rPr>
            </w:pPr>
            <w:r>
              <w:rPr>
                <w:rFonts w:hint="eastAsia" w:ascii="楷体" w:hAnsi="楷体" w:eastAsia="楷体" w:cs="楷体"/>
                <w:sz w:val="21"/>
                <w:szCs w:val="21"/>
              </w:rPr>
              <w:t>每万份收益</w:t>
            </w:r>
          </w:p>
        </w:tc>
        <w:tc>
          <w:tcPr>
            <w:tcW w:w="1712" w:type="dxa"/>
          </w:tcPr>
          <w:p>
            <w:pPr>
              <w:jc w:val="center"/>
              <w:rPr>
                <w:rFonts w:ascii="楷体" w:hAnsi="楷体" w:eastAsia="楷体" w:cs="楷体"/>
                <w:sz w:val="21"/>
                <w:szCs w:val="21"/>
              </w:rPr>
            </w:pPr>
            <w:r>
              <w:rPr>
                <w:rFonts w:hint="eastAsia" w:ascii="楷体" w:hAnsi="楷体" w:eastAsia="楷体" w:cs="楷体"/>
                <w:sz w:val="21"/>
                <w:szCs w:val="21"/>
              </w:rPr>
              <w:t>七日年化收益率</w:t>
            </w:r>
          </w:p>
        </w:tc>
        <w:tc>
          <w:tcPr>
            <w:tcW w:w="1525" w:type="dxa"/>
          </w:tcPr>
          <w:p>
            <w:pPr>
              <w:jc w:val="center"/>
              <w:rPr>
                <w:rFonts w:ascii="楷体" w:hAnsi="楷体" w:eastAsia="楷体" w:cs="楷体"/>
                <w:sz w:val="21"/>
                <w:szCs w:val="21"/>
              </w:rPr>
            </w:pPr>
            <w:r>
              <w:rPr>
                <w:rFonts w:hint="eastAsia" w:ascii="楷体" w:hAnsi="楷体" w:eastAsia="楷体" w:cs="楷体"/>
                <w:sz w:val="21"/>
                <w:szCs w:val="21"/>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1" w:type="dxa"/>
          </w:tcPr>
          <w:p>
            <w:pPr>
              <w:jc w:val="left"/>
              <w:rPr>
                <w:rFonts w:ascii="楷体" w:hAnsi="楷体" w:eastAsia="楷体" w:cs="楷体"/>
                <w:sz w:val="22"/>
              </w:rPr>
            </w:pPr>
            <w:r>
              <w:rPr>
                <w:rFonts w:hint="eastAsia" w:ascii="楷体" w:hAnsi="楷体" w:eastAsia="楷体" w:cs="楷体"/>
                <w:sz w:val="22"/>
              </w:rPr>
              <w:t>2025-06-30</w:t>
            </w:r>
          </w:p>
        </w:tc>
        <w:tc>
          <w:tcPr>
            <w:tcW w:w="1961" w:type="dxa"/>
          </w:tcPr>
          <w:p>
            <w:pPr>
              <w:jc w:val="left"/>
              <w:rPr>
                <w:rFonts w:ascii="楷体" w:hAnsi="楷体" w:eastAsia="楷体" w:cs="楷体"/>
                <w:sz w:val="22"/>
              </w:rPr>
            </w:pPr>
            <w:r>
              <w:rPr>
                <w:rFonts w:hint="eastAsia" w:ascii="楷体" w:hAnsi="楷体" w:eastAsia="楷体" w:cs="楷体"/>
                <w:sz w:val="22"/>
              </w:rPr>
              <w:t>苏银理财启源货币1号H</w:t>
            </w:r>
          </w:p>
        </w:tc>
        <w:tc>
          <w:tcPr>
            <w:tcW w:w="1462" w:type="dxa"/>
          </w:tcPr>
          <w:p>
            <w:pPr>
              <w:jc w:val="left"/>
              <w:rPr>
                <w:rFonts w:ascii="楷体" w:hAnsi="楷体" w:eastAsia="楷体" w:cs="楷体"/>
                <w:sz w:val="22"/>
              </w:rPr>
            </w:pPr>
            <w:r>
              <w:rPr>
                <w:rFonts w:hint="eastAsia" w:ascii="楷体" w:hAnsi="楷体" w:eastAsia="楷体" w:cs="楷体"/>
                <w:sz w:val="22"/>
              </w:rPr>
              <w:t>0.4529</w:t>
            </w:r>
          </w:p>
        </w:tc>
        <w:tc>
          <w:tcPr>
            <w:tcW w:w="1712" w:type="dxa"/>
          </w:tcPr>
          <w:p>
            <w:pPr>
              <w:jc w:val="left"/>
              <w:rPr>
                <w:rFonts w:ascii="楷体" w:hAnsi="楷体" w:eastAsia="楷体" w:cs="楷体"/>
                <w:sz w:val="22"/>
              </w:rPr>
            </w:pPr>
            <w:r>
              <w:rPr>
                <w:rFonts w:hint="eastAsia" w:ascii="楷体" w:hAnsi="楷体" w:eastAsia="楷体" w:cs="楷体"/>
                <w:sz w:val="22"/>
              </w:rPr>
              <w:t>1.61%</w:t>
            </w:r>
          </w:p>
        </w:tc>
        <w:tc>
          <w:tcPr>
            <w:tcW w:w="1525" w:type="dxa"/>
          </w:tcPr>
          <w:p>
            <w:pPr>
              <w:jc w:val="left"/>
              <w:rPr>
                <w:rFonts w:ascii="楷体" w:hAnsi="楷体" w:eastAsia="楷体" w:cs="楷体"/>
                <w:sz w:val="22"/>
              </w:rPr>
            </w:pPr>
            <w:r>
              <w:rPr>
                <w:rFonts w:hint="eastAsia" w:ascii="楷体" w:hAnsi="楷体" w:eastAsia="楷体" w:cs="楷体"/>
                <w:sz w:val="22"/>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苏银理财启源货币1号W</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0.4118</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1.45%</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苏银理财启源货币1号M</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0.5049</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1.80%</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苏银理财启源货币1号N</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0.7940</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2.94%</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苏银理财启源货币1号I</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0.4638</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1.65%</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苏银理财启源货币1号J</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0.4666</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苏银理财启源货币1号JS鑫福款</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0.4666</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苏银理财启源货币1号K</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0.4638</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1.65%</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苏银理财启源货币1号A</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0.4666</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苏银理财启源货币1号F</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0.4666</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苏银理财启源货币1号G</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0.4666</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1.66%</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苏银理财启源货币1号P</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0.8078</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2.99%</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苏银理财启源货币1号DG</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0.4993</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1.84%</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961" w:type="dxa"/>
          </w:tcPr>
          <w:p>
            <w:pPr>
              <w:pageBreakBefore w:val="0"/>
              <w:jc w:val="left"/>
              <w:textAlignment w:val="auto"/>
            </w:pPr>
            <w:r>
              <w:rPr>
                <w:rFonts w:ascii="楷体" w:hAnsi="楷体" w:eastAsia="楷体" w:cs="楷体"/>
                <w:b w:val="0"/>
                <w:i w:val="0"/>
                <w:strike w:val="0"/>
                <w:color w:val="auto"/>
                <w:position w:val="-1"/>
                <w:sz w:val="22"/>
                <w:u w:val="none"/>
              </w:rPr>
              <w:t>2025-06-30</w:t>
            </w:r>
          </w:p>
        </w:tc>
        <w:tc>
          <w:tcPr>
            <w:tcW w:w="1961" w:type="dxa"/>
          </w:tcPr>
          <w:p>
            <w:pPr>
              <w:pageBreakBefore w:val="0"/>
              <w:jc w:val="left"/>
              <w:textAlignment w:val="auto"/>
            </w:pPr>
            <w:r>
              <w:rPr>
                <w:rFonts w:ascii="楷体" w:hAnsi="楷体" w:eastAsia="楷体" w:cs="楷体"/>
                <w:b w:val="0"/>
                <w:i w:val="0"/>
                <w:strike w:val="0"/>
                <w:color w:val="auto"/>
                <w:position w:val="-1"/>
                <w:sz w:val="22"/>
                <w:u w:val="none"/>
              </w:rPr>
              <w:t>苏银理财启源货币1号XN</w:t>
            </w:r>
          </w:p>
        </w:tc>
        <w:tc>
          <w:tcPr>
            <w:tcW w:w="1462" w:type="dxa"/>
          </w:tcPr>
          <w:p>
            <w:pPr>
              <w:pageBreakBefore w:val="0"/>
              <w:jc w:val="left"/>
              <w:textAlignment w:val="auto"/>
            </w:pPr>
            <w:r>
              <w:rPr>
                <w:rFonts w:ascii="楷体" w:hAnsi="楷体" w:eastAsia="楷体" w:cs="楷体"/>
                <w:b w:val="0"/>
                <w:i w:val="0"/>
                <w:strike w:val="0"/>
                <w:color w:val="auto"/>
                <w:position w:val="-1"/>
                <w:sz w:val="22"/>
                <w:u w:val="none"/>
              </w:rPr>
              <w:t>0.8829</w:t>
            </w:r>
          </w:p>
        </w:tc>
        <w:tc>
          <w:tcPr>
            <w:tcW w:w="1712" w:type="dxa"/>
          </w:tcPr>
          <w:p>
            <w:pPr>
              <w:pageBreakBefore w:val="0"/>
              <w:jc w:val="left"/>
              <w:textAlignment w:val="auto"/>
            </w:pPr>
            <w:r>
              <w:rPr>
                <w:rFonts w:ascii="楷体" w:hAnsi="楷体" w:eastAsia="楷体" w:cs="楷体"/>
                <w:b w:val="0"/>
                <w:i w:val="0"/>
                <w:strike w:val="0"/>
                <w:color w:val="auto"/>
                <w:position w:val="-1"/>
                <w:sz w:val="22"/>
                <w:u w:val="none"/>
              </w:rPr>
              <w:t>3.28%</w:t>
            </w:r>
          </w:p>
        </w:tc>
        <w:tc>
          <w:tcPr>
            <w:tcW w:w="1525" w:type="dxa"/>
          </w:tcPr>
          <w:p>
            <w:pPr>
              <w:pageBreakBefore w:val="0"/>
              <w:jc w:val="left"/>
              <w:textAlignment w:val="auto"/>
            </w:pPr>
            <w:r>
              <w:rPr>
                <w:rFonts w:ascii="楷体" w:hAnsi="楷体" w:eastAsia="楷体" w:cs="楷体"/>
                <w:b w:val="0"/>
                <w:i w:val="0"/>
                <w:strike w:val="0"/>
                <w:color w:val="auto"/>
                <w:position w:val="-1"/>
                <w:sz w:val="22"/>
                <w:u w:val="none"/>
              </w:rPr>
              <w:t>中国人民银行公布的7天通知存款利率</w:t>
            </w:r>
          </w:p>
        </w:tc>
      </w:tr>
    </w:tbl>
    <w:p>
      <w:pPr>
        <w:rPr>
          <w:rFonts w:ascii="楷体" w:hAnsi="楷体" w:eastAsia="楷体" w:cs="楷体"/>
        </w:rPr>
      </w:pPr>
    </w:p>
    <w:p>
      <w:pPr>
        <w:rPr>
          <w:rFonts w:ascii="楷体" w:hAnsi="楷体" w:eastAsia="楷体" w:cs="楷体"/>
          <w:sz w:val="21"/>
          <w:szCs w:val="21"/>
        </w:rPr>
      </w:pPr>
      <w:r>
        <w:rPr>
          <w:rFonts w:hint="eastAsia" w:ascii="楷体" w:hAnsi="楷体" w:eastAsia="楷体" w:cs="楷体"/>
          <w:sz w:val="21"/>
          <w:szCs w:val="21"/>
        </w:rPr>
        <w:t>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hAnsi="楷体" w:eastAsia="楷体" w:cs="楷体"/>
        </w:rPr>
      </w:pPr>
    </w:p>
    <w:p>
      <w:pPr>
        <w:pStyle w:val="2"/>
        <w:ind w:left="0"/>
        <w:rPr>
          <w:rFonts w:ascii="楷体" w:hAnsi="楷体" w:cs="楷体"/>
        </w:rPr>
      </w:pPr>
      <w:r>
        <w:rPr>
          <w:rFonts w:hint="eastAsia" w:ascii="楷体" w:hAnsi="楷体" w:cs="楷体"/>
        </w:rPr>
        <w:t>三、产品投资组合情况</w:t>
      </w:r>
    </w:p>
    <w:p>
      <w:pPr>
        <w:pStyle w:val="2"/>
        <w:rPr>
          <w:rFonts w:ascii="楷体" w:hAnsi="楷体" w:cs="楷体"/>
          <w:b w:val="0"/>
          <w:sz w:val="21"/>
        </w:rPr>
      </w:pPr>
      <w:r>
        <w:rPr>
          <w:rFonts w:hint="eastAsia" w:ascii="楷体" w:hAnsi="楷体" w:cs="楷体"/>
          <w:b w:val="0"/>
          <w:sz w:val="21"/>
        </w:rPr>
        <w:t>（一）期末理财产品持有资产情况</w:t>
      </w:r>
    </w:p>
    <w:tbl>
      <w:tblPr>
        <w:tblStyle w:val="9"/>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413"/>
        <w:gridCol w:w="261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序号</w:t>
            </w:r>
          </w:p>
        </w:tc>
        <w:tc>
          <w:tcPr>
            <w:tcW w:w="2413"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资产类别</w:t>
            </w:r>
          </w:p>
        </w:tc>
        <w:tc>
          <w:tcPr>
            <w:tcW w:w="2610" w:type="dxa"/>
            <w:vAlign w:val="center"/>
          </w:tcPr>
          <w:p>
            <w:pPr>
              <w:spacing w:line="320" w:lineRule="exact"/>
              <w:rPr>
                <w:rFonts w:ascii="楷体" w:hAnsi="楷体" w:eastAsia="楷体" w:cs="楷体"/>
                <w:sz w:val="21"/>
                <w:szCs w:val="21"/>
              </w:rPr>
            </w:pPr>
            <w:r>
              <w:rPr>
                <w:rFonts w:hint="eastAsia" w:ascii="楷体" w:hAnsi="楷体" w:eastAsia="楷体" w:cs="楷体"/>
                <w:sz w:val="21"/>
                <w:szCs w:val="21"/>
              </w:rPr>
              <w:t>直接投资占总资产的比例</w:t>
            </w:r>
          </w:p>
        </w:tc>
        <w:tc>
          <w:tcPr>
            <w:tcW w:w="2550" w:type="dxa"/>
            <w:vAlign w:val="center"/>
          </w:tcPr>
          <w:p>
            <w:pPr>
              <w:spacing w:line="320" w:lineRule="exact"/>
              <w:jc w:val="center"/>
              <w:rPr>
                <w:rFonts w:ascii="楷体" w:hAnsi="楷体" w:eastAsia="楷体" w:cs="楷体"/>
                <w:sz w:val="21"/>
                <w:szCs w:val="21"/>
              </w:rPr>
            </w:pPr>
            <w:r>
              <w:rPr>
                <w:rFonts w:hint="eastAsia" w:ascii="楷体" w:hAnsi="楷体" w:eastAsia="楷体" w:cs="楷体"/>
                <w:sz w:val="21"/>
                <w:szCs w:val="21"/>
              </w:rPr>
              <w:t>间接投资占总资产的比例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jc w:val="center"/>
              <w:rPr>
                <w:rFonts w:ascii="楷体" w:hAnsi="楷体" w:eastAsia="楷体" w:cs="楷体"/>
                <w:sz w:val="24"/>
                <w:szCs w:val="24"/>
              </w:rPr>
            </w:pPr>
            <w:r>
              <w:rPr>
                <w:rFonts w:hint="eastAsia" w:ascii="楷体" w:hAnsi="楷体" w:eastAsia="楷体" w:cs="楷体"/>
                <w:sz w:val="24"/>
                <w:szCs w:val="24"/>
              </w:rPr>
              <w:t>1</w:t>
            </w:r>
          </w:p>
        </w:tc>
        <w:tc>
          <w:tcPr>
            <w:tcW w:w="2413" w:type="dxa"/>
            <w:vAlign w:val="center"/>
          </w:tcPr>
          <w:p>
            <w:pPr>
              <w:jc w:val="center"/>
              <w:rPr>
                <w:rFonts w:ascii="楷体" w:hAnsi="楷体" w:eastAsia="楷体" w:cs="楷体"/>
                <w:sz w:val="24"/>
                <w:szCs w:val="24"/>
              </w:rPr>
            </w:pPr>
            <w:r>
              <w:rPr>
                <w:rFonts w:hint="eastAsia" w:ascii="楷体" w:hAnsi="楷体" w:eastAsia="楷体" w:cs="楷体"/>
                <w:sz w:val="24"/>
                <w:szCs w:val="24"/>
              </w:rPr>
              <w:t>固定收益类</w:t>
            </w:r>
          </w:p>
        </w:tc>
        <w:tc>
          <w:tcPr>
            <w:tcW w:w="2610" w:type="dxa"/>
            <w:vAlign w:val="center"/>
          </w:tcPr>
          <w:p>
            <w:pPr>
              <w:jc w:val="center"/>
              <w:rPr>
                <w:rFonts w:ascii="楷体" w:hAnsi="楷体" w:eastAsia="楷体" w:cs="楷体"/>
                <w:sz w:val="24"/>
                <w:szCs w:val="24"/>
              </w:rPr>
            </w:pPr>
            <w:r>
              <w:rPr>
                <w:rFonts w:hint="eastAsia" w:ascii="楷体" w:hAnsi="楷体" w:eastAsia="楷体" w:cs="楷体"/>
                <w:sz w:val="24"/>
                <w:szCs w:val="24"/>
              </w:rPr>
              <w:t>80.31%</w:t>
            </w:r>
          </w:p>
        </w:tc>
        <w:tc>
          <w:tcPr>
            <w:tcW w:w="2550" w:type="dxa"/>
            <w:vAlign w:val="center"/>
          </w:tcPr>
          <w:p>
            <w:pPr>
              <w:jc w:val="center"/>
              <w:rPr>
                <w:rFonts w:ascii="楷体" w:hAnsi="楷体" w:eastAsia="楷体" w:cs="楷体"/>
                <w:sz w:val="24"/>
                <w:szCs w:val="24"/>
              </w:rPr>
            </w:pPr>
            <w:r>
              <w:rPr>
                <w:rFonts w:hint="eastAsia" w:ascii="楷体" w:hAnsi="楷体" w:eastAsia="楷体" w:cs="楷体"/>
                <w:sz w:val="24"/>
                <w:szCs w:val="24"/>
              </w:rPr>
              <w:t>19.69%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2</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权益类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3</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商品及金融衍生品类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27" w:type="dxa"/>
            <w:vAlign w:val="center"/>
          </w:tcPr>
          <w:p>
            <w:pPr>
              <w:pageBreakBefore w:val="0"/>
              <w:jc w:val="center"/>
              <w:textAlignment w:val="auto"/>
            </w:pPr>
            <w:r>
              <w:rPr>
                <w:rFonts w:ascii="楷体" w:hAnsi="楷体" w:eastAsia="楷体" w:cs="楷体"/>
                <w:b w:val="0"/>
                <w:i w:val="0"/>
                <w:strike w:val="0"/>
                <w:color w:val="auto"/>
                <w:position w:val="-1"/>
                <w:sz w:val="24"/>
                <w:u w:val="none"/>
              </w:rPr>
              <w:t>4</w:t>
            </w:r>
          </w:p>
        </w:tc>
        <w:tc>
          <w:tcPr>
            <w:tcW w:w="2413" w:type="dxa"/>
            <w:vAlign w:val="center"/>
          </w:tcPr>
          <w:p>
            <w:pPr>
              <w:pageBreakBefore w:val="0"/>
              <w:jc w:val="center"/>
              <w:textAlignment w:val="auto"/>
            </w:pPr>
            <w:r>
              <w:rPr>
                <w:rFonts w:ascii="楷体" w:hAnsi="楷体" w:eastAsia="楷体" w:cs="楷体"/>
                <w:b w:val="0"/>
                <w:i w:val="0"/>
                <w:strike w:val="0"/>
                <w:color w:val="auto"/>
                <w:position w:val="-1"/>
                <w:sz w:val="24"/>
                <w:u w:val="none"/>
              </w:rPr>
              <w:t>混合类</w:t>
            </w:r>
          </w:p>
        </w:tc>
        <w:tc>
          <w:tcPr>
            <w:tcW w:w="261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c>
          <w:tcPr>
            <w:tcW w:w="2550" w:type="dxa"/>
            <w:vAlign w:val="center"/>
          </w:tcPr>
          <w:p>
            <w:pPr>
              <w:pageBreakBefore w:val="0"/>
              <w:jc w:val="center"/>
              <w:textAlignment w:val="auto"/>
            </w:pPr>
            <w:r>
              <w:rPr>
                <w:rFonts w:ascii="楷体" w:hAnsi="楷体" w:eastAsia="楷体" w:cs="楷体"/>
                <w:b w:val="0"/>
                <w:i w:val="0"/>
                <w:strike w:val="0"/>
                <w:color w:val="auto"/>
                <w:position w:val="-1"/>
                <w:sz w:val="24"/>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140" w:type="dxa"/>
            <w:gridSpan w:val="2"/>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合计</w:t>
            </w:r>
          </w:p>
        </w:tc>
        <w:tc>
          <w:tcPr>
            <w:tcW w:w="2610" w:type="dxa"/>
            <w:shd w:val="clear" w:color="auto" w:fill="auto"/>
            <w:vAlign w:val="center"/>
          </w:tcPr>
          <w:p>
            <w:pPr>
              <w:jc w:val="center"/>
              <w:rPr>
                <w:rFonts w:ascii="楷体" w:hAnsi="楷体" w:eastAsia="楷体" w:cs="楷体"/>
                <w:sz w:val="24"/>
                <w:szCs w:val="24"/>
              </w:rPr>
            </w:pPr>
            <w:r>
              <w:rPr>
                <w:rFonts w:hint="eastAsia" w:ascii="楷体" w:hAnsi="楷体" w:eastAsia="楷体" w:cs="楷体"/>
                <w:sz w:val="24"/>
                <w:szCs w:val="24"/>
              </w:rPr>
              <w:t>80.31%</w:t>
            </w:r>
          </w:p>
        </w:tc>
        <w:tc>
          <w:tcPr>
            <w:tcW w:w="2550" w:type="dxa"/>
            <w:shd w:val="clear" w:color="auto" w:fill="FFFFFF"/>
            <w:vAlign w:val="center"/>
          </w:tcPr>
          <w:p>
            <w:pPr>
              <w:jc w:val="center"/>
              <w:rPr>
                <w:rFonts w:ascii="楷体" w:hAnsi="楷体" w:eastAsia="楷体" w:cs="楷体"/>
                <w:sz w:val="24"/>
                <w:szCs w:val="24"/>
              </w:rPr>
            </w:pPr>
            <w:r>
              <w:rPr>
                <w:rFonts w:hint="eastAsia" w:ascii="楷体" w:hAnsi="楷体" w:eastAsia="楷体" w:cs="楷体"/>
                <w:sz w:val="24"/>
                <w:szCs w:val="24"/>
              </w:rPr>
              <w:t>19.69%</w:t>
            </w:r>
          </w:p>
        </w:tc>
      </w:tr>
    </w:tbl>
    <w:p>
      <w:pPr>
        <w:pStyle w:val="2"/>
        <w:rPr>
          <w:rFonts w:ascii="楷体" w:hAnsi="楷体" w:cs="楷体"/>
        </w:rPr>
      </w:pPr>
    </w:p>
    <w:p>
      <w:pPr>
        <w:rPr>
          <w:rFonts w:ascii="楷体" w:hAnsi="楷体" w:eastAsia="楷体" w:cs="楷体"/>
        </w:rPr>
      </w:pPr>
    </w:p>
    <w:p>
      <w:pPr>
        <w:pStyle w:val="2"/>
        <w:ind w:left="0"/>
        <w:rPr>
          <w:rFonts w:ascii="楷体" w:hAnsi="楷体" w:cs="楷体"/>
          <w:b w:val="0"/>
          <w:sz w:val="21"/>
        </w:rPr>
      </w:pPr>
      <w:r>
        <w:rPr>
          <w:rFonts w:hint="eastAsia" w:ascii="楷体" w:hAnsi="楷体" w:cs="楷体"/>
          <w:b w:val="0"/>
          <w:sz w:val="21"/>
        </w:rPr>
        <w:t>（二）期末理财产品持有的前十项资产</w:t>
      </w:r>
    </w:p>
    <w:tbl>
      <w:tblPr>
        <w:tblStyle w:val="9"/>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2434"/>
        <w:gridCol w:w="1275"/>
        <w:gridCol w:w="223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序号</w:t>
            </w:r>
          </w:p>
        </w:tc>
        <w:tc>
          <w:tcPr>
            <w:tcW w:w="2434"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资产名称</w:t>
            </w:r>
          </w:p>
        </w:tc>
        <w:tc>
          <w:tcPr>
            <w:tcW w:w="127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资产类别</w:t>
            </w:r>
          </w:p>
        </w:tc>
        <w:tc>
          <w:tcPr>
            <w:tcW w:w="2235"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持有金额（元）</w:t>
            </w:r>
          </w:p>
        </w:tc>
        <w:tc>
          <w:tcPr>
            <w:tcW w:w="1800" w:type="dxa"/>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jc w:val="center"/>
              <w:rPr>
                <w:rFonts w:ascii="楷体" w:hAnsi="楷体" w:eastAsia="楷体" w:cs="楷体"/>
                <w:sz w:val="22"/>
              </w:rPr>
            </w:pPr>
            <w:r>
              <w:rPr>
                <w:rFonts w:hint="eastAsia" w:ascii="楷体" w:hAnsi="楷体" w:eastAsia="楷体" w:cs="楷体"/>
                <w:sz w:val="22"/>
              </w:rPr>
              <w:t>1</w:t>
            </w:r>
          </w:p>
        </w:tc>
        <w:tc>
          <w:tcPr>
            <w:tcW w:w="2434" w:type="dxa"/>
            <w:vAlign w:val="center"/>
          </w:tcPr>
          <w:p>
            <w:pPr>
              <w:jc w:val="center"/>
              <w:rPr>
                <w:rFonts w:ascii="楷体" w:hAnsi="楷体" w:eastAsia="楷体" w:cs="楷体"/>
                <w:sz w:val="22"/>
              </w:rPr>
            </w:pPr>
            <w:r>
              <w:rPr>
                <w:rFonts w:hint="eastAsia" w:ascii="楷体" w:hAnsi="楷体" w:eastAsia="楷体" w:cs="楷体"/>
                <w:sz w:val="22"/>
              </w:rPr>
              <w:t>现金及银行存款</w:t>
            </w:r>
          </w:p>
        </w:tc>
        <w:tc>
          <w:tcPr>
            <w:tcW w:w="1275" w:type="dxa"/>
            <w:vAlign w:val="center"/>
          </w:tcPr>
          <w:p>
            <w:pPr>
              <w:jc w:val="center"/>
              <w:rPr>
                <w:rFonts w:ascii="楷体" w:hAnsi="楷体" w:eastAsia="楷体" w:cs="楷体"/>
                <w:sz w:val="22"/>
              </w:rPr>
            </w:pPr>
            <w:r>
              <w:rPr>
                <w:rFonts w:hint="eastAsia" w:ascii="楷体" w:hAnsi="楷体" w:eastAsia="楷体" w:cs="楷体"/>
                <w:sz w:val="22"/>
              </w:rPr>
              <w:t>现金及银行存款</w:t>
            </w:r>
          </w:p>
        </w:tc>
        <w:tc>
          <w:tcPr>
            <w:tcW w:w="2235" w:type="dxa"/>
            <w:vAlign w:val="center"/>
          </w:tcPr>
          <w:p>
            <w:pPr>
              <w:jc w:val="center"/>
              <w:rPr>
                <w:rFonts w:ascii="楷体" w:hAnsi="楷体" w:eastAsia="楷体" w:cs="楷体"/>
                <w:sz w:val="22"/>
              </w:rPr>
            </w:pPr>
            <w:r>
              <w:rPr>
                <w:rFonts w:hint="eastAsia" w:ascii="楷体" w:hAnsi="楷体" w:eastAsia="楷体" w:cs="楷体"/>
                <w:sz w:val="22"/>
              </w:rPr>
              <w:t>966,114,882.61</w:t>
            </w:r>
          </w:p>
        </w:tc>
        <w:tc>
          <w:tcPr>
            <w:tcW w:w="1800" w:type="dxa"/>
            <w:vAlign w:val="center"/>
          </w:tcPr>
          <w:p>
            <w:pPr>
              <w:jc w:val="center"/>
              <w:rPr>
                <w:rFonts w:ascii="楷体" w:hAnsi="楷体" w:eastAsia="楷体" w:cs="楷体"/>
                <w:sz w:val="22"/>
              </w:rPr>
            </w:pPr>
            <w:r>
              <w:rPr>
                <w:rFonts w:hint="eastAsia" w:ascii="楷体" w:hAnsi="楷体" w:eastAsia="楷体" w:cs="楷体"/>
                <w:sz w:val="22"/>
              </w:rPr>
              <w:t>11.23%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2</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24农业银行CD223</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298,761,494.98</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3.47%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3</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24农发清发02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151,455,484.33</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4</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150,156,164.38</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5</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150,070,372.21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6</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拆放同业及债券买入返售</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143,037,005.04</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7</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24徽商银行CD230</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103,634,213.70</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rPr>
                <w:rFonts w:hint="eastAsia" w:eastAsia="宋体"/>
                <w:lang w:eastAsia="zh-CN"/>
              </w:rPr>
            </w:pPr>
            <w:r>
              <w:rPr>
                <w:rFonts w:hint="eastAsia" w:ascii="楷体" w:hAnsi="楷体" w:eastAsia="楷体" w:cs="楷体"/>
                <w:b w:val="0"/>
                <w:i w:val="0"/>
                <w:strike w:val="0"/>
                <w:color w:val="auto"/>
                <w:position w:val="-1"/>
                <w:sz w:val="22"/>
                <w:u w:val="none"/>
                <w:lang w:val="en-US" w:eastAsia="zh-CN"/>
              </w:rPr>
              <w:t>8</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25南京银行CD116</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同业存单</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102,828,157.53</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9</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23农发清发12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101,919,809.46</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73" w:type="dxa"/>
            <w:vAlign w:val="center"/>
          </w:tcPr>
          <w:p>
            <w:pPr>
              <w:pageBreakBefore w:val="0"/>
              <w:jc w:val="center"/>
              <w:textAlignment w:val="auto"/>
            </w:pPr>
            <w:r>
              <w:rPr>
                <w:rFonts w:ascii="楷体" w:hAnsi="楷体" w:eastAsia="楷体" w:cs="楷体"/>
                <w:b w:val="0"/>
                <w:i w:val="0"/>
                <w:strike w:val="0"/>
                <w:color w:val="auto"/>
                <w:position w:val="-1"/>
                <w:sz w:val="22"/>
                <w:u w:val="none"/>
              </w:rPr>
              <w:t>10</w:t>
            </w:r>
          </w:p>
        </w:tc>
        <w:tc>
          <w:tcPr>
            <w:tcW w:w="2434" w:type="dxa"/>
            <w:vAlign w:val="center"/>
          </w:tcPr>
          <w:p>
            <w:pPr>
              <w:pageBreakBefore w:val="0"/>
              <w:jc w:val="center"/>
              <w:textAlignment w:val="auto"/>
            </w:pPr>
            <w:r>
              <w:rPr>
                <w:rFonts w:ascii="楷体" w:hAnsi="楷体" w:eastAsia="楷体" w:cs="楷体"/>
                <w:b w:val="0"/>
                <w:i w:val="0"/>
                <w:strike w:val="0"/>
                <w:color w:val="auto"/>
                <w:position w:val="-1"/>
                <w:sz w:val="22"/>
                <w:u w:val="none"/>
              </w:rPr>
              <w:t>23农发清发22</w:t>
            </w:r>
          </w:p>
        </w:tc>
        <w:tc>
          <w:tcPr>
            <w:tcW w:w="1275" w:type="dxa"/>
            <w:vAlign w:val="center"/>
          </w:tcPr>
          <w:p>
            <w:pPr>
              <w:pageBreakBefore w:val="0"/>
              <w:jc w:val="center"/>
              <w:textAlignment w:val="auto"/>
            </w:pPr>
            <w:r>
              <w:rPr>
                <w:rFonts w:ascii="楷体" w:hAnsi="楷体" w:eastAsia="楷体" w:cs="楷体"/>
                <w:b w:val="0"/>
                <w:i w:val="0"/>
                <w:strike w:val="0"/>
                <w:color w:val="auto"/>
                <w:position w:val="-1"/>
                <w:sz w:val="22"/>
                <w:u w:val="none"/>
              </w:rPr>
              <w:t>债券</w:t>
            </w:r>
          </w:p>
        </w:tc>
        <w:tc>
          <w:tcPr>
            <w:tcW w:w="2235" w:type="dxa"/>
            <w:vAlign w:val="center"/>
          </w:tcPr>
          <w:p>
            <w:pPr>
              <w:pageBreakBefore w:val="0"/>
              <w:jc w:val="center"/>
              <w:textAlignment w:val="auto"/>
            </w:pPr>
            <w:r>
              <w:rPr>
                <w:rFonts w:ascii="楷体" w:hAnsi="楷体" w:eastAsia="楷体" w:cs="楷体"/>
                <w:b w:val="0"/>
                <w:i w:val="0"/>
                <w:strike w:val="0"/>
                <w:color w:val="auto"/>
                <w:position w:val="-1"/>
                <w:sz w:val="22"/>
                <w:u w:val="none"/>
              </w:rPr>
              <w:t>101,841,667.91</w:t>
            </w:r>
          </w:p>
        </w:tc>
        <w:tc>
          <w:tcPr>
            <w:tcW w:w="1800" w:type="dxa"/>
            <w:vAlign w:val="center"/>
          </w:tcPr>
          <w:p>
            <w:pPr>
              <w:pageBreakBefore w:val="0"/>
              <w:jc w:val="center"/>
              <w:textAlignment w:val="auto"/>
            </w:pPr>
            <w:r>
              <w:rPr>
                <w:rFonts w:ascii="楷体" w:hAnsi="楷体" w:eastAsia="楷体" w:cs="楷体"/>
                <w:b w:val="0"/>
                <w:i w:val="0"/>
                <w:strike w:val="0"/>
                <w:color w:val="auto"/>
                <w:position w:val="-1"/>
                <w:sz w:val="22"/>
                <w:u w:val="none"/>
              </w:rPr>
              <w:t>1.18%</w:t>
            </w:r>
          </w:p>
        </w:tc>
      </w:tr>
    </w:tbl>
    <w:p>
      <w:pPr>
        <w:pStyle w:val="14"/>
        <w:rPr>
          <w:rFonts w:ascii="楷体" w:hAnsi="楷体" w:cs="楷体"/>
        </w:rPr>
      </w:pPr>
    </w:p>
    <w:p>
      <w:pPr>
        <w:pStyle w:val="2"/>
        <w:numPr>
          <w:ilvl w:val="0"/>
          <w:numId w:val="1"/>
        </w:numPr>
        <w:rPr>
          <w:rFonts w:ascii="楷体" w:hAnsi="楷体" w:cs="楷体"/>
          <w:b w:val="0"/>
          <w:sz w:val="21"/>
        </w:rPr>
      </w:pPr>
      <w:r>
        <w:rPr>
          <w:rFonts w:hint="eastAsia" w:ascii="楷体" w:hAnsi="楷体" w:cs="楷体"/>
          <w:b w:val="0"/>
          <w:sz w:val="21"/>
        </w:rPr>
        <w:t>非标资产情况</w:t>
      </w:r>
    </w:p>
    <w:p>
      <w:pPr>
        <w:ind w:firstLine="220" w:firstLineChars="100"/>
        <w:rPr>
          <w:rFonts w:ascii="楷体" w:hAnsi="楷体" w:eastAsia="楷体" w:cs="楷体"/>
        </w:rPr>
      </w:pPr>
      <w:r>
        <w:rPr>
          <w:rFonts w:hint="eastAsia" w:ascii="楷体" w:hAnsi="楷体" w:eastAsia="楷体" w:cs="楷体"/>
          <w:sz w:val="22"/>
          <w:szCs w:val="24"/>
        </w:rPr>
        <w:t>1）非标资产投资情况</w:t>
      </w:r>
    </w:p>
    <w:tbl>
      <w:tblPr>
        <w:tblStyle w:val="9"/>
        <w:tblW w:w="8811" w:type="dxa"/>
        <w:tblInd w:w="0" w:type="dxa"/>
        <w:tblLayout w:type="fixed"/>
        <w:tblCellMar>
          <w:top w:w="0" w:type="dxa"/>
          <w:left w:w="108" w:type="dxa"/>
          <w:bottom w:w="0" w:type="dxa"/>
          <w:right w:w="108" w:type="dxa"/>
        </w:tblCellMar>
      </w:tblPr>
      <w:tblGrid>
        <w:gridCol w:w="1401"/>
        <w:gridCol w:w="1410"/>
        <w:gridCol w:w="1245"/>
        <w:gridCol w:w="1485"/>
        <w:gridCol w:w="1335"/>
        <w:gridCol w:w="1080"/>
        <w:gridCol w:w="855"/>
      </w:tblGrid>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融资客户</w:t>
            </w:r>
          </w:p>
        </w:tc>
        <w:tc>
          <w:tcPr>
            <w:tcW w:w="141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项目名称</w:t>
            </w:r>
          </w:p>
        </w:tc>
        <w:tc>
          <w:tcPr>
            <w:tcW w:w="124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剩余融资期限（天）</w:t>
            </w:r>
          </w:p>
        </w:tc>
        <w:tc>
          <w:tcPr>
            <w:tcW w:w="148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资产面值</w:t>
            </w:r>
          </w:p>
        </w:tc>
        <w:tc>
          <w:tcPr>
            <w:tcW w:w="133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到期分配方式</w:t>
            </w:r>
          </w:p>
        </w:tc>
        <w:tc>
          <w:tcPr>
            <w:tcW w:w="1080"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交易结构</w:t>
            </w:r>
          </w:p>
        </w:tc>
        <w:tc>
          <w:tcPr>
            <w:tcW w:w="855" w:type="dxa"/>
            <w:tcBorders>
              <w:top w:val="single" w:color="auto" w:sz="4" w:space="0"/>
              <w:left w:val="nil"/>
              <w:bottom w:val="single" w:color="auto" w:sz="4" w:space="0"/>
              <w:right w:val="single" w:color="auto" w:sz="4" w:space="0"/>
            </w:tcBorders>
            <w:vAlign w:val="center"/>
          </w:tcPr>
          <w:p>
            <w:pPr>
              <w:spacing w:line="320" w:lineRule="exact"/>
              <w:jc w:val="center"/>
              <w:rPr>
                <w:rFonts w:ascii="楷体" w:hAnsi="楷体" w:eastAsia="楷体" w:cs="楷体"/>
                <w:sz w:val="24"/>
                <w:szCs w:val="24"/>
              </w:rPr>
            </w:pPr>
            <w:r>
              <w:rPr>
                <w:rFonts w:hint="eastAsia" w:ascii="楷体" w:hAnsi="楷体" w:eastAsia="楷体" w:cs="楷体"/>
                <w:sz w:val="24"/>
                <w:szCs w:val="24"/>
              </w:rPr>
              <w:t>风险状况</w:t>
            </w:r>
          </w:p>
        </w:tc>
      </w:tr>
      <w:tr>
        <w:tblPrEx>
          <w:tblCellMar>
            <w:top w:w="0" w:type="dxa"/>
            <w:left w:w="108" w:type="dxa"/>
            <w:bottom w:w="0" w:type="dxa"/>
            <w:right w:w="108" w:type="dxa"/>
          </w:tblCellMar>
        </w:tblPrEx>
        <w:trPr>
          <w:trHeight w:val="270" w:hRule="atLeast"/>
        </w:trPr>
        <w:tc>
          <w:tcPr>
            <w:tcW w:w="1401"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1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24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48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highlight w:val="yellow"/>
              </w:rPr>
            </w:pPr>
            <w:r>
              <w:rPr>
                <w:rFonts w:hint="eastAsia" w:ascii="楷体" w:hAnsi="楷体" w:eastAsia="楷体" w:cs="楷体"/>
                <w:sz w:val="22"/>
              </w:rPr>
              <w:t>-</w:t>
            </w:r>
          </w:p>
        </w:tc>
        <w:tc>
          <w:tcPr>
            <w:tcW w:w="133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080"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855" w:type="dxa"/>
            <w:tcBorders>
              <w:top w:val="single" w:color="auto" w:sz="4" w:space="0"/>
              <w:left w:val="nil"/>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pStyle w:val="14"/>
        <w:rPr>
          <w:rFonts w:ascii="楷体" w:hAnsi="楷体" w:cs="楷体"/>
        </w:rPr>
      </w:pPr>
    </w:p>
    <w:p>
      <w:pPr>
        <w:spacing w:line="320" w:lineRule="exact"/>
        <w:ind w:firstLine="220" w:firstLineChars="100"/>
        <w:rPr>
          <w:rFonts w:ascii="楷体" w:hAnsi="楷体" w:eastAsia="楷体" w:cs="楷体"/>
        </w:rPr>
      </w:pPr>
      <w:r>
        <w:rPr>
          <w:rFonts w:hint="eastAsia" w:ascii="楷体" w:hAnsi="楷体" w:eastAsia="楷体" w:cs="楷体"/>
          <w:sz w:val="22"/>
          <w:szCs w:val="24"/>
        </w:rPr>
        <w:t>2）融资客户情况</w:t>
      </w:r>
    </w:p>
    <w:tbl>
      <w:tblPr>
        <w:tblStyle w:val="10"/>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99"/>
        <w:gridCol w:w="126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412"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融资客户</w:t>
            </w:r>
          </w:p>
        </w:tc>
        <w:tc>
          <w:tcPr>
            <w:tcW w:w="1399"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成立日期</w:t>
            </w:r>
          </w:p>
        </w:tc>
        <w:tc>
          <w:tcPr>
            <w:tcW w:w="1263"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注册资本（元）</w:t>
            </w:r>
          </w:p>
        </w:tc>
        <w:tc>
          <w:tcPr>
            <w:tcW w:w="4746" w:type="dxa"/>
            <w:tcBorders>
              <w:top w:val="single" w:color="auto" w:sz="4" w:space="0"/>
              <w:left w:val="single" w:color="auto" w:sz="4" w:space="0"/>
              <w:bottom w:val="single" w:color="auto" w:sz="4" w:space="0"/>
              <w:right w:val="single" w:color="auto" w:sz="4" w:space="0"/>
            </w:tcBorders>
          </w:tcPr>
          <w:p>
            <w:pPr>
              <w:pStyle w:val="14"/>
              <w:jc w:val="center"/>
              <w:rPr>
                <w:rFonts w:ascii="楷体" w:hAnsi="楷体" w:cs="楷体"/>
                <w:sz w:val="24"/>
                <w:szCs w:val="24"/>
              </w:rPr>
            </w:pPr>
            <w:r>
              <w:rPr>
                <w:rFonts w:hint="eastAsia" w:ascii="楷体" w:hAnsi="楷体" w:cs="楷体"/>
                <w:sz w:val="24"/>
                <w:szCs w:val="24"/>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399"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1263"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c>
          <w:tcPr>
            <w:tcW w:w="4746" w:type="dxa"/>
            <w:tcBorders>
              <w:top w:val="single" w:color="auto" w:sz="4" w:space="0"/>
              <w:left w:val="single" w:color="auto" w:sz="4" w:space="0"/>
              <w:bottom w:val="single" w:color="auto" w:sz="4" w:space="0"/>
              <w:right w:val="single" w:color="auto" w:sz="4" w:space="0"/>
            </w:tcBorders>
          </w:tcPr>
          <w:p>
            <w:pPr>
              <w:jc w:val="center"/>
              <w:rPr>
                <w:rFonts w:ascii="楷体" w:hAnsi="楷体" w:eastAsia="楷体" w:cs="楷体"/>
                <w:sz w:val="22"/>
                <w:szCs w:val="24"/>
              </w:rPr>
            </w:pPr>
            <w:r>
              <w:rPr>
                <w:rFonts w:hint="eastAsia" w:ascii="楷体" w:hAnsi="楷体" w:eastAsia="楷体" w:cs="楷体"/>
                <w:sz w:val="22"/>
              </w:rPr>
              <w:t>-</w:t>
            </w:r>
          </w:p>
        </w:tc>
      </w:tr>
    </w:tbl>
    <w:p>
      <w:pPr>
        <w:pStyle w:val="14"/>
        <w:rPr>
          <w:rFonts w:ascii="楷体" w:hAnsi="楷体" w:cs="楷体"/>
        </w:rPr>
      </w:pPr>
    </w:p>
    <w:p>
      <w:pPr>
        <w:pStyle w:val="2"/>
        <w:rPr>
          <w:rFonts w:ascii="楷体" w:hAnsi="楷体" w:cs="楷体"/>
          <w:b w:val="0"/>
          <w:sz w:val="21"/>
        </w:rPr>
      </w:pPr>
      <w:r>
        <w:rPr>
          <w:rFonts w:hint="eastAsia" w:ascii="楷体" w:hAnsi="楷体" w:cs="楷体"/>
          <w:b w:val="0"/>
          <w:sz w:val="21"/>
        </w:rPr>
        <w:t>（四）关联交易情况</w:t>
      </w:r>
    </w:p>
    <w:p>
      <w:pPr>
        <w:spacing w:line="320" w:lineRule="exact"/>
        <w:ind w:firstLine="220" w:firstLineChars="100"/>
        <w:rPr>
          <w:rFonts w:ascii="楷体" w:hAnsi="楷体" w:eastAsia="楷体" w:cs="楷体"/>
          <w:sz w:val="22"/>
          <w:szCs w:val="24"/>
        </w:rPr>
      </w:pPr>
      <w:r>
        <w:rPr>
          <w:rFonts w:hint="eastAsia" w:ascii="楷体" w:hAnsi="楷体" w:eastAsia="楷体" w:cs="楷体"/>
          <w:sz w:val="22"/>
          <w:szCs w:val="24"/>
        </w:rPr>
        <w:t>1）报告期内投资于关联方发行的证券或其他金融工具</w:t>
      </w:r>
    </w:p>
    <w:tbl>
      <w:tblPr>
        <w:tblStyle w:val="9"/>
        <w:tblW w:w="8621" w:type="dxa"/>
        <w:tblInd w:w="0" w:type="dxa"/>
        <w:tblLayout w:type="fixed"/>
        <w:tblCellMar>
          <w:top w:w="0" w:type="dxa"/>
          <w:left w:w="108" w:type="dxa"/>
          <w:bottom w:w="0" w:type="dxa"/>
          <w:right w:w="108" w:type="dxa"/>
        </w:tblCellMar>
      </w:tblPr>
      <w:tblGrid>
        <w:gridCol w:w="1801"/>
        <w:gridCol w:w="1673"/>
        <w:gridCol w:w="1758"/>
        <w:gridCol w:w="1673"/>
        <w:gridCol w:w="1716"/>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1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rPr>
      </w:pPr>
    </w:p>
    <w:p>
      <w:pPr>
        <w:ind w:firstLine="220" w:firstLineChars="100"/>
        <w:rPr>
          <w:rFonts w:ascii="楷体" w:hAnsi="楷体" w:eastAsia="楷体" w:cs="楷体"/>
        </w:rPr>
      </w:pPr>
      <w:r>
        <w:rPr>
          <w:rFonts w:hint="eastAsia" w:ascii="楷体" w:hAnsi="楷体" w:eastAsia="楷体" w:cs="楷体"/>
          <w:sz w:val="22"/>
          <w:szCs w:val="24"/>
        </w:rPr>
        <w:t>2）报告期内投资于关联方承销的证券或其他金融工具</w:t>
      </w:r>
    </w:p>
    <w:tbl>
      <w:tblPr>
        <w:tblStyle w:val="9"/>
        <w:tblW w:w="8621" w:type="dxa"/>
        <w:tblInd w:w="0" w:type="dxa"/>
        <w:tblLayout w:type="fixed"/>
        <w:tblCellMar>
          <w:top w:w="0" w:type="dxa"/>
          <w:left w:w="108" w:type="dxa"/>
          <w:bottom w:w="0" w:type="dxa"/>
          <w:right w:w="108" w:type="dxa"/>
        </w:tblCellMar>
      </w:tblPr>
      <w:tblGrid>
        <w:gridCol w:w="1801"/>
        <w:gridCol w:w="1673"/>
        <w:gridCol w:w="1758"/>
        <w:gridCol w:w="1673"/>
        <w:gridCol w:w="1716"/>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证券简称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报告期投资的证券数量（张）</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1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报告期内投资于关联方管理的资管产品或其他金融工具</w:t>
      </w:r>
    </w:p>
    <w:tbl>
      <w:tblPr>
        <w:tblStyle w:val="9"/>
        <w:tblW w:w="8621" w:type="dxa"/>
        <w:tblInd w:w="0" w:type="dxa"/>
        <w:tblLayout w:type="fixed"/>
        <w:tblCellMar>
          <w:top w:w="0" w:type="dxa"/>
          <w:left w:w="108" w:type="dxa"/>
          <w:bottom w:w="0" w:type="dxa"/>
          <w:right w:w="108" w:type="dxa"/>
        </w:tblCellMar>
      </w:tblPr>
      <w:tblGrid>
        <w:gridCol w:w="1801"/>
        <w:gridCol w:w="1673"/>
        <w:gridCol w:w="1758"/>
        <w:gridCol w:w="1673"/>
        <w:gridCol w:w="1716"/>
      </w:tblGrid>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金融工具代码</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金融工具名称</w:t>
            </w:r>
          </w:p>
        </w:tc>
        <w:tc>
          <w:tcPr>
            <w:tcW w:w="167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报告期投资的证券数量</w:t>
            </w:r>
          </w:p>
        </w:tc>
        <w:tc>
          <w:tcPr>
            <w:tcW w:w="17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报告期投资的证券金额（元）</w:t>
            </w:r>
          </w:p>
        </w:tc>
      </w:tr>
      <w:tr>
        <w:tblPrEx>
          <w:tblCellMar>
            <w:top w:w="0" w:type="dxa"/>
            <w:left w:w="108" w:type="dxa"/>
            <w:bottom w:w="0" w:type="dxa"/>
            <w:right w:w="108" w:type="dxa"/>
          </w:tblCellMar>
        </w:tblPrEx>
        <w:trPr>
          <w:trHeight w:val="283" w:hRule="atLeast"/>
        </w:trPr>
        <w:tc>
          <w:tcPr>
            <w:tcW w:w="1801"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5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67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171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rPr>
          <w:rFonts w:ascii="楷体" w:hAnsi="楷体" w:eastAsia="楷体" w:cs="楷体"/>
          <w:sz w:val="22"/>
          <w:szCs w:val="24"/>
        </w:rPr>
      </w:pPr>
    </w:p>
    <w:p>
      <w:pPr>
        <w:numPr>
          <w:ilvl w:val="0"/>
          <w:numId w:val="2"/>
        </w:numPr>
        <w:ind w:firstLine="220" w:firstLineChars="100"/>
        <w:rPr>
          <w:rFonts w:ascii="楷体" w:hAnsi="楷体" w:eastAsia="楷体" w:cs="楷体"/>
          <w:sz w:val="22"/>
          <w:szCs w:val="24"/>
        </w:rPr>
      </w:pPr>
      <w:r>
        <w:rPr>
          <w:rFonts w:hint="eastAsia" w:ascii="楷体" w:hAnsi="楷体" w:eastAsia="楷体" w:cs="楷体"/>
          <w:sz w:val="22"/>
          <w:szCs w:val="24"/>
        </w:rPr>
        <w:t>报告期内的其他关联交易</w:t>
      </w:r>
    </w:p>
    <w:tbl>
      <w:tblPr>
        <w:tblStyle w:val="9"/>
        <w:tblW w:w="8621" w:type="dxa"/>
        <w:tblInd w:w="0" w:type="dxa"/>
        <w:tblLayout w:type="fixed"/>
        <w:tblCellMar>
          <w:top w:w="0" w:type="dxa"/>
          <w:left w:w="108" w:type="dxa"/>
          <w:bottom w:w="0" w:type="dxa"/>
          <w:right w:w="108" w:type="dxa"/>
        </w:tblCellMar>
      </w:tblPr>
      <w:tblGrid>
        <w:gridCol w:w="2253"/>
        <w:gridCol w:w="3670"/>
        <w:gridCol w:w="2698"/>
      </w:tblGrid>
      <w:tr>
        <w:tblPrEx>
          <w:tblCellMar>
            <w:top w:w="0" w:type="dxa"/>
            <w:left w:w="108" w:type="dxa"/>
            <w:bottom w:w="0" w:type="dxa"/>
            <w:right w:w="108" w:type="dxa"/>
          </w:tblCellMar>
        </w:tblPrEx>
        <w:trPr>
          <w:trHeight w:val="283" w:hRule="atLeast"/>
        </w:trPr>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交易类型</w:t>
            </w:r>
          </w:p>
        </w:tc>
        <w:tc>
          <w:tcPr>
            <w:tcW w:w="367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关联方名称</w:t>
            </w:r>
          </w:p>
        </w:tc>
        <w:tc>
          <w:tcPr>
            <w:tcW w:w="269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关联交易金额（元）</w:t>
            </w:r>
          </w:p>
        </w:tc>
      </w:tr>
      <w:tr>
        <w:tblPrEx>
          <w:tblCellMar>
            <w:top w:w="0" w:type="dxa"/>
            <w:left w:w="108" w:type="dxa"/>
            <w:bottom w:w="0" w:type="dxa"/>
            <w:right w:w="108" w:type="dxa"/>
          </w:tblCellMar>
        </w:tblPrEx>
        <w:trPr>
          <w:trHeight w:val="283" w:hRule="atLeast"/>
        </w:trPr>
        <w:tc>
          <w:tcPr>
            <w:tcW w:w="225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回购</w:t>
            </w:r>
          </w:p>
        </w:tc>
        <w:tc>
          <w:tcPr>
            <w:tcW w:w="3670"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东吴证券股份有限公司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223,500,076.00</w:t>
            </w:r>
          </w:p>
        </w:tc>
      </w:tr>
      <w:tr>
        <w:tblPrEx>
          <w:tblCellMar>
            <w:top w:w="0" w:type="dxa"/>
            <w:left w:w="108" w:type="dxa"/>
            <w:bottom w:w="0" w:type="dxa"/>
            <w:right w:w="108" w:type="dxa"/>
          </w:tblCellMar>
        </w:tblPrEx>
        <w:trPr>
          <w:trHeight w:val="283" w:hRule="atLeast"/>
        </w:trPr>
        <w:tc>
          <w:tcPr>
            <w:tcW w:w="2253"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代销费</w:t>
            </w:r>
          </w:p>
        </w:tc>
        <w:tc>
          <w:tcPr>
            <w:tcW w:w="367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864,238.63</w:t>
            </w:r>
          </w:p>
        </w:tc>
      </w:tr>
      <w:tr>
        <w:tblPrEx>
          <w:tblCellMar>
            <w:top w:w="0" w:type="dxa"/>
            <w:left w:w="108" w:type="dxa"/>
            <w:bottom w:w="0" w:type="dxa"/>
            <w:right w:w="108" w:type="dxa"/>
          </w:tblCellMar>
        </w:tblPrEx>
        <w:trPr>
          <w:trHeight w:val="283" w:hRule="atLeast"/>
        </w:trPr>
        <w:tc>
          <w:tcPr>
            <w:tcW w:w="2253"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托管费</w:t>
            </w:r>
          </w:p>
        </w:tc>
        <w:tc>
          <w:tcPr>
            <w:tcW w:w="367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江苏银行股份有限公司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209,345.53</w:t>
            </w:r>
          </w:p>
        </w:tc>
      </w:tr>
      <w:tr>
        <w:tblPrEx>
          <w:tblCellMar>
            <w:top w:w="0" w:type="dxa"/>
            <w:left w:w="108" w:type="dxa"/>
            <w:bottom w:w="0" w:type="dxa"/>
            <w:right w:w="108" w:type="dxa"/>
          </w:tblCellMar>
        </w:tblPrEx>
        <w:trPr>
          <w:trHeight w:val="283" w:hRule="atLeast"/>
        </w:trPr>
        <w:tc>
          <w:tcPr>
            <w:tcW w:w="2253"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回购</w:t>
            </w:r>
          </w:p>
        </w:tc>
        <w:tc>
          <w:tcPr>
            <w:tcW w:w="3670"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江苏省国际信托有限责任公司</w:t>
            </w:r>
          </w:p>
        </w:tc>
        <w:tc>
          <w:tcPr>
            <w:tcW w:w="2698" w:type="dxa"/>
            <w:tcBorders>
              <w:top w:val="single" w:color="000000" w:sz="4" w:space="0"/>
              <w:left w:val="single" w:color="000000" w:sz="4" w:space="0"/>
              <w:bottom w:val="single" w:color="000000" w:sz="4" w:space="0"/>
              <w:right w:val="single" w:color="000000" w:sz="4" w:space="0"/>
            </w:tcBorders>
            <w:shd w:val="clear" w:color="auto" w:fill="auto"/>
          </w:tcPr>
          <w:p>
            <w:pPr>
              <w:pageBreakBefore w:val="0"/>
              <w:jc w:val="center"/>
              <w:textAlignment w:val="auto"/>
            </w:pPr>
            <w:r>
              <w:rPr>
                <w:rFonts w:ascii="楷体" w:hAnsi="楷体" w:eastAsia="楷体" w:cs="楷体"/>
                <w:b w:val="0"/>
                <w:i w:val="0"/>
                <w:strike w:val="0"/>
                <w:color w:val="auto"/>
                <w:position w:val="-1"/>
                <w:sz w:val="22"/>
                <w:u w:val="none"/>
              </w:rPr>
              <w:t>349,000,000.00</w:t>
            </w:r>
          </w:p>
        </w:tc>
      </w:tr>
    </w:tbl>
    <w:p>
      <w:pPr>
        <w:pStyle w:val="14"/>
        <w:rPr>
          <w:rFonts w:ascii="楷体" w:hAnsi="楷体" w:cs="楷体"/>
          <w:sz w:val="21"/>
          <w:szCs w:val="21"/>
        </w:rPr>
      </w:pPr>
      <w:r>
        <w:rPr>
          <w:rFonts w:hint="eastAsia" w:ascii="楷体" w:hAnsi="楷体" w:cs="楷体"/>
          <w:sz w:val="21"/>
          <w:szCs w:val="21"/>
        </w:rPr>
        <w:t>注：本报告中理财产品托管费、代销费、直销费均基于产品实际支付金额进行统计。</w:t>
      </w:r>
    </w:p>
    <w:p>
      <w:pPr>
        <w:pStyle w:val="14"/>
        <w:rPr>
          <w:rFonts w:ascii="楷体" w:hAnsi="楷体" w:cs="楷体"/>
        </w:rPr>
      </w:pPr>
    </w:p>
    <w:p>
      <w:pPr>
        <w:rPr>
          <w:rFonts w:ascii="楷体" w:hAnsi="楷体" w:eastAsia="楷体" w:cs="楷体"/>
          <w:sz w:val="22"/>
          <w:szCs w:val="24"/>
        </w:rPr>
      </w:pPr>
      <w:r>
        <w:rPr>
          <w:rFonts w:hint="eastAsia" w:ascii="楷体" w:hAnsi="楷体" w:eastAsia="楷体" w:cs="楷体"/>
          <w:sz w:val="22"/>
          <w:szCs w:val="24"/>
        </w:rPr>
        <w:t>（五）自有资金投资情况</w:t>
      </w:r>
    </w:p>
    <w:tbl>
      <w:tblPr>
        <w:tblStyle w:val="9"/>
        <w:tblW w:w="7299" w:type="dxa"/>
        <w:tblInd w:w="0" w:type="dxa"/>
        <w:tblLayout w:type="fixed"/>
        <w:tblCellMar>
          <w:top w:w="0" w:type="dxa"/>
          <w:left w:w="108" w:type="dxa"/>
          <w:bottom w:w="0" w:type="dxa"/>
          <w:right w:w="108" w:type="dxa"/>
        </w:tblCellMar>
      </w:tblPr>
      <w:tblGrid>
        <w:gridCol w:w="2796"/>
        <w:gridCol w:w="4503"/>
      </w:tblGrid>
      <w:tr>
        <w:tblPrEx>
          <w:tblCellMar>
            <w:top w:w="0" w:type="dxa"/>
            <w:left w:w="108" w:type="dxa"/>
            <w:bottom w:w="0" w:type="dxa"/>
            <w:right w:w="108" w:type="dxa"/>
          </w:tblCellMar>
        </w:tblPrEx>
        <w:trPr>
          <w:trHeight w:val="311"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产品名称</w:t>
            </w:r>
          </w:p>
        </w:tc>
        <w:tc>
          <w:tcPr>
            <w:tcW w:w="450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78" w:hRule="atLeast"/>
        </w:trPr>
        <w:tc>
          <w:tcPr>
            <w:tcW w:w="2796"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c>
          <w:tcPr>
            <w:tcW w:w="4503" w:type="dxa"/>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楷体" w:hAnsi="楷体" w:eastAsia="楷体" w:cs="楷体"/>
                <w:sz w:val="22"/>
              </w:rPr>
            </w:pPr>
            <w:r>
              <w:rPr>
                <w:rFonts w:hint="eastAsia" w:ascii="楷体" w:hAnsi="楷体" w:eastAsia="楷体" w:cs="楷体"/>
                <w:sz w:val="22"/>
              </w:rPr>
              <w:t>-</w:t>
            </w:r>
          </w:p>
        </w:tc>
      </w:tr>
    </w:tbl>
    <w:p>
      <w:pPr>
        <w:ind w:firstLine="420" w:firstLineChars="200"/>
        <w:rPr>
          <w:rFonts w:ascii="楷体" w:hAnsi="楷体" w:eastAsia="楷体" w:cs="楷体"/>
          <w:bCs/>
          <w:kern w:val="0"/>
          <w:sz w:val="21"/>
          <w:szCs w:val="21"/>
        </w:rPr>
      </w:pPr>
      <w:r>
        <w:rPr>
          <w:rFonts w:hint="eastAsia" w:ascii="楷体" w:hAnsi="楷体" w:eastAsia="楷体" w:cs="楷体"/>
          <w:bCs/>
          <w:kern w:val="0"/>
          <w:sz w:val="21"/>
          <w:szCs w:val="21"/>
        </w:rPr>
        <w:t>本公司自有资金投资本公司管理的理财产品适用的费率均不优于其他投资者。</w:t>
      </w:r>
    </w:p>
    <w:p>
      <w:pPr>
        <w:ind w:firstLine="560" w:firstLineChars="200"/>
        <w:rPr>
          <w:rFonts w:ascii="楷体" w:hAnsi="楷体" w:eastAsia="楷体" w:cs="楷体"/>
          <w:bCs/>
          <w:kern w:val="0"/>
          <w:szCs w:val="21"/>
        </w:rPr>
      </w:pPr>
    </w:p>
    <w:p>
      <w:pPr>
        <w:rPr>
          <w:rFonts w:ascii="楷体" w:hAnsi="楷体" w:eastAsia="楷体" w:cs="楷体"/>
          <w:sz w:val="22"/>
          <w:szCs w:val="24"/>
        </w:rPr>
      </w:pPr>
      <w:r>
        <w:rPr>
          <w:rFonts w:hint="eastAsia" w:ascii="楷体" w:hAnsi="楷体" w:eastAsia="楷体" w:cs="楷体"/>
          <w:sz w:val="22"/>
          <w:szCs w:val="24"/>
        </w:rPr>
        <w:t>（六）理财产品份额变动情况</w:t>
      </w:r>
    </w:p>
    <w:tbl>
      <w:tblPr>
        <w:tblStyle w:val="9"/>
        <w:tblW w:w="7305" w:type="dxa"/>
        <w:tblInd w:w="0" w:type="dxa"/>
        <w:tblLayout w:type="fixed"/>
        <w:tblCellMar>
          <w:top w:w="0" w:type="dxa"/>
          <w:left w:w="108" w:type="dxa"/>
          <w:bottom w:w="0" w:type="dxa"/>
          <w:right w:w="108" w:type="dxa"/>
        </w:tblCellMar>
      </w:tblPr>
      <w:tblGrid>
        <w:gridCol w:w="2798"/>
        <w:gridCol w:w="4507"/>
      </w:tblGrid>
      <w:tr>
        <w:tblPrEx>
          <w:tblCellMar>
            <w:top w:w="0" w:type="dxa"/>
            <w:left w:w="108" w:type="dxa"/>
            <w:bottom w:w="0" w:type="dxa"/>
            <w:right w:w="108" w:type="dxa"/>
          </w:tblCellMar>
        </w:tblPrEx>
        <w:trPr>
          <w:trHeight w:val="311" w:hRule="atLeast"/>
        </w:trPr>
        <w:tc>
          <w:tcPr>
            <w:tcW w:w="2798"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日期</w:t>
            </w:r>
          </w:p>
        </w:tc>
        <w:tc>
          <w:tcPr>
            <w:tcW w:w="4507" w:type="dxa"/>
            <w:tcBorders>
              <w:top w:val="single" w:color="000000" w:sz="4" w:space="0"/>
              <w:left w:val="single" w:color="000000" w:sz="4" w:space="0"/>
              <w:bottom w:val="single" w:color="000000" w:sz="4" w:space="0"/>
              <w:right w:val="single" w:color="000000" w:sz="4" w:space="0"/>
            </w:tcBorders>
            <w:vAlign w:val="center"/>
          </w:tcPr>
          <w:p>
            <w:pPr>
              <w:spacing w:line="320" w:lineRule="exact"/>
              <w:jc w:val="center"/>
              <w:rPr>
                <w:rFonts w:ascii="楷体" w:hAnsi="楷体" w:eastAsia="楷体" w:cs="楷体"/>
                <w:sz w:val="22"/>
                <w:szCs w:val="24"/>
              </w:rPr>
            </w:pPr>
            <w:r>
              <w:rPr>
                <w:rFonts w:hint="eastAsia" w:ascii="楷体" w:hAnsi="楷体" w:eastAsia="楷体" w:cs="楷体"/>
                <w:sz w:val="22"/>
                <w:szCs w:val="24"/>
              </w:rPr>
              <w:t>持有份额（份）</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2025-06-30</w:t>
            </w:r>
          </w:p>
        </w:tc>
        <w:tc>
          <w:tcPr>
            <w:tcW w:w="4507" w:type="dxa"/>
            <w:tcBorders>
              <w:top w:val="single" w:color="000000" w:sz="4" w:space="0"/>
              <w:left w:val="single" w:color="000000" w:sz="4" w:space="0"/>
              <w:bottom w:val="single" w:color="000000" w:sz="4" w:space="0"/>
              <w:right w:val="single" w:color="000000" w:sz="4" w:space="0"/>
            </w:tcBorders>
          </w:tcPr>
          <w:p>
            <w:pPr>
              <w:jc w:val="center"/>
              <w:rPr>
                <w:rFonts w:ascii="楷体" w:hAnsi="楷体" w:eastAsia="楷体" w:cs="楷体"/>
                <w:sz w:val="22"/>
              </w:rPr>
            </w:pPr>
            <w:r>
              <w:rPr>
                <w:rFonts w:hint="eastAsia" w:ascii="楷体" w:hAnsi="楷体" w:eastAsia="楷体" w:cs="楷体"/>
                <w:sz w:val="22"/>
              </w:rPr>
              <w:t>8,598,920,059.31</w:t>
            </w:r>
          </w:p>
        </w:tc>
      </w:tr>
      <w:tr>
        <w:tblPrEx>
          <w:tblCellMar>
            <w:top w:w="0" w:type="dxa"/>
            <w:left w:w="108" w:type="dxa"/>
            <w:bottom w:w="0" w:type="dxa"/>
            <w:right w:w="108" w:type="dxa"/>
          </w:tblCellMar>
        </w:tblPrEx>
        <w:trPr>
          <w:trHeight w:val="320" w:hRule="atLeast"/>
        </w:trPr>
        <w:tc>
          <w:tcPr>
            <w:tcW w:w="2798"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2025-03-31</w:t>
            </w:r>
          </w:p>
        </w:tc>
        <w:tc>
          <w:tcPr>
            <w:tcW w:w="4507" w:type="dxa"/>
            <w:tcBorders>
              <w:top w:val="single" w:color="000000" w:sz="4" w:space="0"/>
              <w:left w:val="single" w:color="000000" w:sz="4" w:space="0"/>
              <w:bottom w:val="single" w:color="000000" w:sz="4" w:space="0"/>
              <w:right w:val="single" w:color="000000" w:sz="4" w:space="0"/>
            </w:tcBorders>
          </w:tcPr>
          <w:p>
            <w:pPr>
              <w:pageBreakBefore w:val="0"/>
              <w:jc w:val="center"/>
              <w:textAlignment w:val="auto"/>
            </w:pPr>
            <w:r>
              <w:rPr>
                <w:rFonts w:ascii="楷体" w:hAnsi="楷体" w:eastAsia="楷体" w:cs="楷体"/>
                <w:b w:val="0"/>
                <w:i w:val="0"/>
                <w:strike w:val="0"/>
                <w:color w:val="auto"/>
                <w:position w:val="-1"/>
                <w:sz w:val="22"/>
                <w:u w:val="none"/>
              </w:rPr>
              <w:t>9,928,503,811.39</w:t>
            </w:r>
          </w:p>
        </w:tc>
      </w:tr>
    </w:tbl>
    <w:p>
      <w:pPr>
        <w:pStyle w:val="14"/>
        <w:rPr>
          <w:rFonts w:ascii="楷体" w:hAnsi="楷体" w:cs="楷体"/>
        </w:rPr>
      </w:pPr>
    </w:p>
    <w:p>
      <w:pPr>
        <w:pStyle w:val="14"/>
        <w:rPr>
          <w:rFonts w:ascii="楷体" w:hAnsi="楷体" w:cs="楷体"/>
          <w:sz w:val="22"/>
          <w:szCs w:val="24"/>
        </w:rPr>
      </w:pPr>
      <w:r>
        <w:rPr>
          <w:rFonts w:hint="eastAsia" w:ascii="楷体" w:hAnsi="楷体" w:cs="楷体"/>
          <w:sz w:val="22"/>
          <w:szCs w:val="24"/>
        </w:rPr>
        <w:t>（七）报告期内单一投资者持有产品份额比例达到或者超过总份额20%的情形</w:t>
      </w:r>
    </w:p>
    <w:tbl>
      <w:tblPr>
        <w:tblStyle w:val="10"/>
        <w:tblW w:w="8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725"/>
        <w:gridCol w:w="1980"/>
        <w:gridCol w:w="1905"/>
        <w:gridCol w:w="1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tcPr>
          <w:p>
            <w:pPr>
              <w:pStyle w:val="14"/>
              <w:jc w:val="center"/>
              <w:rPr>
                <w:rFonts w:ascii="楷体" w:hAnsi="楷体" w:cs="楷体"/>
                <w:sz w:val="22"/>
                <w:szCs w:val="24"/>
              </w:rPr>
            </w:pPr>
            <w:r>
              <w:rPr>
                <w:rFonts w:hint="eastAsia" w:ascii="楷体" w:hAnsi="楷体" w:cs="楷体"/>
                <w:sz w:val="22"/>
                <w:szCs w:val="24"/>
              </w:rPr>
              <w:t>序号</w:t>
            </w:r>
          </w:p>
        </w:tc>
        <w:tc>
          <w:tcPr>
            <w:tcW w:w="1725" w:type="dxa"/>
          </w:tcPr>
          <w:p>
            <w:pPr>
              <w:pStyle w:val="14"/>
              <w:jc w:val="center"/>
              <w:rPr>
                <w:rFonts w:ascii="楷体" w:hAnsi="楷体" w:cs="楷体"/>
                <w:sz w:val="22"/>
                <w:szCs w:val="24"/>
              </w:rPr>
            </w:pPr>
            <w:r>
              <w:rPr>
                <w:rFonts w:hint="eastAsia" w:ascii="楷体" w:hAnsi="楷体" w:cs="楷体"/>
                <w:sz w:val="22"/>
                <w:szCs w:val="24"/>
              </w:rPr>
              <w:t>投资者类别</w:t>
            </w:r>
          </w:p>
        </w:tc>
        <w:tc>
          <w:tcPr>
            <w:tcW w:w="1980" w:type="dxa"/>
          </w:tcPr>
          <w:p>
            <w:pPr>
              <w:pStyle w:val="14"/>
              <w:jc w:val="center"/>
              <w:rPr>
                <w:rFonts w:ascii="楷体" w:hAnsi="楷体" w:cs="楷体"/>
                <w:sz w:val="22"/>
                <w:szCs w:val="24"/>
              </w:rPr>
            </w:pPr>
            <w:r>
              <w:rPr>
                <w:rFonts w:hint="eastAsia" w:ascii="楷体" w:hAnsi="楷体" w:cs="楷体"/>
                <w:sz w:val="22"/>
                <w:szCs w:val="24"/>
              </w:rPr>
              <w:t>期末持有份额</w:t>
            </w:r>
          </w:p>
        </w:tc>
        <w:tc>
          <w:tcPr>
            <w:tcW w:w="1905" w:type="dxa"/>
          </w:tcPr>
          <w:p>
            <w:pPr>
              <w:pStyle w:val="14"/>
              <w:jc w:val="center"/>
              <w:rPr>
                <w:rFonts w:ascii="楷体" w:hAnsi="楷体" w:cs="楷体"/>
                <w:sz w:val="22"/>
                <w:szCs w:val="24"/>
              </w:rPr>
            </w:pPr>
            <w:r>
              <w:rPr>
                <w:rFonts w:hint="eastAsia" w:ascii="楷体" w:hAnsi="楷体" w:cs="楷体"/>
                <w:sz w:val="22"/>
                <w:szCs w:val="24"/>
              </w:rPr>
              <w:t>份额占比</w:t>
            </w:r>
          </w:p>
        </w:tc>
        <w:tc>
          <w:tcPr>
            <w:tcW w:w="1676" w:type="dxa"/>
          </w:tcPr>
          <w:p>
            <w:pPr>
              <w:pStyle w:val="14"/>
              <w:jc w:val="center"/>
              <w:rPr>
                <w:rFonts w:ascii="楷体" w:hAnsi="楷体" w:cs="楷体"/>
                <w:sz w:val="22"/>
                <w:szCs w:val="24"/>
              </w:rPr>
            </w:pPr>
            <w:r>
              <w:rPr>
                <w:rFonts w:hint="eastAsia" w:ascii="楷体" w:hAnsi="楷体" w:cs="楷体"/>
                <w:sz w:val="22"/>
                <w:szCs w:val="24"/>
              </w:rPr>
              <w:t>报告期内份额变化情况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tcPr>
          <w:p>
            <w:pPr>
              <w:jc w:val="center"/>
              <w:rPr>
                <w:rFonts w:ascii="楷体" w:hAnsi="楷体" w:eastAsia="楷体" w:cs="楷体"/>
                <w:sz w:val="22"/>
              </w:rPr>
            </w:pPr>
            <w:r>
              <w:rPr>
                <w:rFonts w:hint="eastAsia" w:ascii="楷体" w:hAnsi="楷体" w:eastAsia="楷体" w:cs="楷体"/>
                <w:sz w:val="22"/>
              </w:rPr>
              <w:t>-</w:t>
            </w:r>
          </w:p>
        </w:tc>
        <w:tc>
          <w:tcPr>
            <w:tcW w:w="1725" w:type="dxa"/>
          </w:tcPr>
          <w:p>
            <w:pPr>
              <w:jc w:val="center"/>
              <w:rPr>
                <w:rFonts w:ascii="楷体" w:hAnsi="楷体" w:eastAsia="楷体" w:cs="楷体"/>
                <w:sz w:val="22"/>
              </w:rPr>
            </w:pPr>
            <w:r>
              <w:rPr>
                <w:rFonts w:hint="eastAsia" w:ascii="楷体" w:hAnsi="楷体" w:eastAsia="楷体" w:cs="楷体"/>
                <w:sz w:val="22"/>
              </w:rPr>
              <w:t>-</w:t>
            </w:r>
          </w:p>
        </w:tc>
        <w:tc>
          <w:tcPr>
            <w:tcW w:w="1980" w:type="dxa"/>
          </w:tcPr>
          <w:p>
            <w:pPr>
              <w:jc w:val="center"/>
              <w:rPr>
                <w:rFonts w:ascii="楷体" w:hAnsi="楷体" w:eastAsia="楷体" w:cs="楷体"/>
                <w:sz w:val="22"/>
              </w:rPr>
            </w:pPr>
            <w:r>
              <w:rPr>
                <w:rFonts w:hint="eastAsia" w:ascii="楷体" w:hAnsi="楷体" w:eastAsia="楷体" w:cs="楷体"/>
                <w:sz w:val="22"/>
              </w:rPr>
              <w:t>-</w:t>
            </w:r>
          </w:p>
        </w:tc>
        <w:tc>
          <w:tcPr>
            <w:tcW w:w="1905" w:type="dxa"/>
          </w:tcPr>
          <w:p>
            <w:pPr>
              <w:jc w:val="center"/>
              <w:rPr>
                <w:rFonts w:ascii="楷体" w:hAnsi="楷体" w:eastAsia="楷体" w:cs="楷体"/>
                <w:sz w:val="22"/>
              </w:rPr>
            </w:pPr>
            <w:r>
              <w:rPr>
                <w:rFonts w:hint="eastAsia" w:ascii="楷体" w:hAnsi="楷体" w:eastAsia="楷体" w:cs="楷体"/>
                <w:sz w:val="22"/>
              </w:rPr>
              <w:t>-</w:t>
            </w:r>
          </w:p>
        </w:tc>
        <w:tc>
          <w:tcPr>
            <w:tcW w:w="1676" w:type="dxa"/>
          </w:tcPr>
          <w:p>
            <w:pPr>
              <w:jc w:val="center"/>
              <w:rPr>
                <w:rFonts w:ascii="楷体" w:hAnsi="楷体" w:eastAsia="楷体" w:cs="楷体"/>
                <w:sz w:val="22"/>
              </w:rPr>
            </w:pPr>
            <w:r>
              <w:rPr>
                <w:rFonts w:hint="eastAsia" w:ascii="楷体" w:hAnsi="楷体" w:eastAsia="楷体" w:cs="楷体"/>
                <w:sz w:val="22"/>
              </w:rPr>
              <w:t>-</w:t>
            </w:r>
          </w:p>
        </w:tc>
      </w:tr>
    </w:tbl>
    <w:p>
      <w:pPr>
        <w:pStyle w:val="2"/>
        <w:rPr>
          <w:rFonts w:ascii="楷体" w:hAnsi="楷体" w:cs="楷体"/>
        </w:rPr>
      </w:pPr>
    </w:p>
    <w:p>
      <w:pPr>
        <w:pStyle w:val="2"/>
        <w:rPr>
          <w:rFonts w:ascii="楷体" w:hAnsi="楷体" w:cs="楷体"/>
        </w:rPr>
      </w:pPr>
      <w:r>
        <w:rPr>
          <w:rFonts w:hint="eastAsia" w:ascii="楷体" w:hAnsi="楷体" w:cs="楷体"/>
        </w:rPr>
        <w:t>四.投资运作情况</w:t>
      </w:r>
    </w:p>
    <w:p>
      <w:pPr>
        <w:rPr>
          <w:rFonts w:hint="eastAsia" w:ascii="楷体" w:hAnsi="楷体" w:eastAsia="楷体" w:cs="楷体"/>
          <w:sz w:val="21"/>
          <w:szCs w:val="21"/>
        </w:rPr>
      </w:pPr>
      <w:r>
        <w:rPr>
          <w:rFonts w:hint="eastAsia" w:ascii="楷体" w:hAnsi="楷体" w:eastAsia="楷体" w:cs="楷体"/>
          <w:sz w:val="21"/>
          <w:szCs w:val="21"/>
        </w:rPr>
        <w:t>1、运作期</w:t>
      </w:r>
      <w:bookmarkStart w:id="1" w:name="_GoBack"/>
      <w:bookmarkEnd w:id="1"/>
      <w:r>
        <w:rPr>
          <w:rFonts w:hint="eastAsia" w:ascii="楷体" w:hAnsi="楷体" w:eastAsia="楷体" w:cs="楷体"/>
          <w:sz w:val="21"/>
          <w:szCs w:val="21"/>
        </w:rPr>
        <w:t>回顾</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2025年二季度，在党中央的坚强领导下，面对外部冲击明显加大，国内经济顶住压力平稳增长，各地区各部门深入贯彻党中央、国务院的决策部署，坚持稳中求进，宏观稳经济政策协同发力，国民经济稳中向好。</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从经济基本面看，二季度经济保持了稳健增长态势。上半年国内生产总值同比增长5.3%，二季度增长5.2%。总体上，上半年国民经济迎难而上、稳中向好。上半年全国固定资产投资（不含农户）同比增长2.8%，社会消费品零售总额同比增长5.0%，规模以上工业增加值同比增长6.4%。整体来看，GDP增速反映出我国宏观基本面延续较好表现，显示经济持续增长动力强劲，工业增加值增速超预期，说明中国经济在复杂严峻的外部环境和挑战下，有能力保持平稳增长的态势。同时，投资和消费表现稍显疲弱，房地产开发投资自2月以来持续回落，降幅连月扩大。总体而言，我国经济年内达成增长目标压力不大，但在需求端仍将面临考验。</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债券市场方面，在经历了一季度的调整之后，二季度债市表现好于一季度，一方面是资金面整体更加宽松，另一方面外部关税扰动加剧、国内基本面数据偏弱、机构配置力量强化，多重因素推动债市收益率整体震荡下行。4月初，中美关税博弈深化，外需压力与避险情绪共同推升宽货币预期，触发债市普涨；5月降息落地后，债市以波动为主，上下空间进一步缩窄；6月延续5月行情，收益率震荡下行，但在月底的股债跷跷板效应以及险资调仓的影响下，出现小幅上行。预计三季度关税还会成为扰动市场的重要因素，因此利率可能继续震荡下行，6月已经出现机构配置抢跑的现象，预计后续配置力量仍然存在。</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报告期内，管理人严格遵循监管要求，持续加强对现金管理类产品的信用风险、久期风险、集中度风险和流动性风险的管控。资产配置策略主要集中于低风险资产，如银行存款、回购、同业存单及证券公司债，结合适度的杠杆运用和梯形策略，确保在不同资产类别和期限之间实现合理的均衡，最大程度地降低风险。针对产品流动性充裕特质，产品通过季末较大幅度提高高价存款和回购配置比例，有效提升了产品的静态收益，为投资者提供了相对稳定的回报，帮助其应对市场的不确定性。管理人在资产配置上灵活应对，密切关注宏观经济变化，从而及时调整投资组合。管理人通过灵活的资产配置和恰当的投资策略，确保了现金管理类产品在复杂市场环境下的稳健表现，为投资者提供了更为可靠的收益保障。</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2、后市展望及下阶段投资策略</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展望2025年三季度，虽然二季度经济数据总量改善，但需求端表现仍显疲软，同时在外部高度不确定性下，中期基本面压力仍大，总量政策对冲的必要性将进一步增加，货币政策下半年仍有加码空间，资金面大概率延续宽松态势。因此，三季度仍然处于利率下行周期，债市收益率存在一定下行空间，可择机适当布局。</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后续，本产品管理人将继续依托国内外宏观和微观深入研究分析，采取扎实稳健的投资策略，继续严格遵照资管系列新规要求，聚焦高等级的各类标准化债权资产和高流动性的银行间与沪深交易所标的进行投资，在满足投资者流动性需求的同时，努力争取较好的组合管理收益。</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3、流动性风险分析</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2025年二季度，市场流动性整体宽松，本产品在投资高流动性的利率债和AAA存单以外，动态调整产品杠杆率，充分做好资金准备，平稳度过各关键时点，充分满足了产品的流动性需求，保障了投资者的赎回需求。</w:t>
      </w:r>
    </w:p>
    <w:p>
      <w:pPr>
        <w:ind w:firstLine="420" w:firstLineChars="200"/>
        <w:rPr>
          <w:rFonts w:hint="eastAsia" w:ascii="楷体" w:hAnsi="楷体" w:eastAsia="楷体" w:cs="楷体"/>
          <w:sz w:val="21"/>
          <w:szCs w:val="21"/>
        </w:rPr>
      </w:pPr>
      <w:r>
        <w:rPr>
          <w:rFonts w:hint="eastAsia" w:ascii="楷体" w:hAnsi="楷体" w:eastAsia="楷体" w:cs="楷体"/>
          <w:sz w:val="21"/>
          <w:szCs w:val="21"/>
        </w:rPr>
        <w:t>展望后市，本产品将继续重点投资信用等级较高、流动性较好的各类标的，做好资金安排和流动性预判，充分满足产品流动性需求。</w:t>
      </w:r>
    </w:p>
    <w:p>
      <w:pPr>
        <w:rPr>
          <w:rFonts w:hint="eastAsia" w:ascii="楷体" w:hAnsi="楷体" w:eastAsia="楷体" w:cs="楷体"/>
          <w:sz w:val="21"/>
          <w:szCs w:val="21"/>
        </w:rPr>
      </w:pPr>
    </w:p>
    <w:p>
      <w:pPr>
        <w:rPr>
          <w:rFonts w:hint="eastAsia" w:ascii="楷体" w:hAnsi="楷体" w:eastAsia="楷体" w:cs="楷体"/>
          <w:sz w:val="21"/>
          <w:szCs w:val="21"/>
        </w:rPr>
      </w:pPr>
    </w:p>
    <w:p>
      <w:pPr>
        <w:jc w:val="right"/>
        <w:rPr>
          <w:rFonts w:ascii="楷体" w:hAnsi="楷体" w:eastAsia="楷体" w:cs="楷体"/>
          <w:b/>
          <w:bCs/>
          <w:sz w:val="21"/>
          <w:szCs w:val="21"/>
        </w:rPr>
      </w:pPr>
      <w:r>
        <w:rPr>
          <w:rFonts w:hint="eastAsia" w:ascii="楷体" w:hAnsi="楷体" w:eastAsia="楷体" w:cs="楷体"/>
          <w:b/>
          <w:bCs/>
          <w:sz w:val="21"/>
          <w:szCs w:val="21"/>
        </w:rPr>
        <w:t>苏银理财有限责任公司</w:t>
      </w:r>
    </w:p>
    <w:p>
      <w:pPr>
        <w:jc w:val="right"/>
        <w:rPr>
          <w:rFonts w:ascii="楷体" w:hAnsi="楷体" w:eastAsia="楷体" w:cs="楷体"/>
          <w:sz w:val="21"/>
          <w:szCs w:val="21"/>
        </w:rPr>
      </w:pPr>
      <w:r>
        <w:rPr>
          <w:rFonts w:hint="eastAsia" w:ascii="楷体" w:hAnsi="楷体" w:eastAsia="楷体" w:cs="楷体"/>
          <w:sz w:val="21"/>
          <w:szCs w:val="21"/>
        </w:rPr>
        <w:t>2025年06月30日</w:t>
      </w:r>
    </w:p>
    <w:p>
      <w:pPr>
        <w:rPr>
          <w:rFonts w:hint="eastAsia" w:ascii="楷体" w:hAnsi="楷体" w:eastAsia="楷体" w:cs="楷体"/>
          <w:sz w:val="21"/>
          <w:szCs w:val="21"/>
        </w:rPr>
      </w:pPr>
    </w:p>
    <w:p>
      <w:pPr>
        <w:rPr>
          <w:rFonts w:hint="eastAsia" w:ascii="楷体" w:hAnsi="楷体" w:eastAsia="楷体" w:cs="楷体"/>
          <w:sz w:val="21"/>
          <w:szCs w:val="21"/>
        </w:rPr>
      </w:pPr>
      <w:r>
        <w:rPr>
          <w:rFonts w:hint="eastAsia" w:ascii="楷体" w:hAnsi="楷体" w:eastAsia="楷体" w:cs="楷体"/>
          <w:sz w:val="21"/>
          <w:szCs w:val="21"/>
        </w:rPr>
        <w:t>备注：本次披露内容解释权归苏银理财所有，不构成任何形式的法律要约或承诺。</w:t>
      </w:r>
    </w:p>
    <w:p>
      <w:pPr>
        <w:rPr>
          <w:rFonts w:ascii="楷体" w:hAnsi="楷体" w:eastAsia="楷体" w:cs="楷体"/>
          <w:sz w:val="21"/>
          <w:szCs w:val="21"/>
        </w:rPr>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insoku w:val="0"/>
      <w:overflowPunct w:val="0"/>
      <w:spacing w:before="0" w:line="320" w:lineRule="exact"/>
      <w:ind w:left="20"/>
      <w:jc w:val="both"/>
      <w:rPr>
        <w:rFonts w:ascii="楷体" w:hAnsi="楷体" w:eastAsia="楷体" w:cs="黑体"/>
        <w:b/>
        <w:spacing w:val="-2"/>
        <w:sz w:val="24"/>
        <w:szCs w:val="24"/>
      </w:rPr>
    </w:pPr>
    <w:r>
      <w:pict>
        <v:shape id="WordPictureWatermark1026" o:spid="_x0000_s4098"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4099" o:spt="75"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5" o:spid="_x0000_s4100"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027"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decimal"/>
      <w:suff w:val="nothing"/>
      <w:lvlText w:val="%1）"/>
      <w:lvlJc w:val="left"/>
    </w:lvl>
  </w:abstractNum>
  <w:abstractNum w:abstractNumId="1">
    <w:nsid w:val="0053208E"/>
    <w:multiLevelType w:val="singleLevel"/>
    <w:tmpl w:val="0053208E"/>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w:rsids>
    <w:rsidRoot w:val="00000000"/>
    <w:rsid w:val="3C1E2FE5"/>
    <w:rsid w:val="49E07A24"/>
    <w:rsid w:val="5D0F2EF3"/>
    <w:rsid w:val="5EDB6DE0"/>
    <w:rsid w:val="629D0CC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99"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8"/>
      <w:szCs w:val="22"/>
      <w:lang w:val="en-US" w:eastAsia="zh-CN" w:bidi="ar-SA"/>
    </w:rPr>
  </w:style>
  <w:style w:type="paragraph" w:styleId="2">
    <w:name w:val="heading 3"/>
    <w:basedOn w:val="1"/>
    <w:next w:val="1"/>
    <w:link w:val="23"/>
    <w:qFormat/>
    <w:uiPriority w:val="1"/>
    <w:pPr>
      <w:autoSpaceDE w:val="0"/>
      <w:autoSpaceDN w:val="0"/>
      <w:adjustRightInd w:val="0"/>
      <w:spacing w:before="34"/>
      <w:ind w:left="120"/>
      <w:jc w:val="left"/>
      <w:outlineLvl w:val="2"/>
    </w:pPr>
    <w:rPr>
      <w:rFonts w:ascii="宋体" w:hAnsi="Times New Roman" w:eastAsia="楷体"/>
      <w:b/>
      <w:bCs/>
      <w:kern w:val="0"/>
      <w:sz w:val="2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qFormat/>
    <w:uiPriority w:val="1"/>
    <w:pPr>
      <w:autoSpaceDE w:val="0"/>
      <w:autoSpaceDN w:val="0"/>
      <w:adjustRightInd w:val="0"/>
      <w:spacing w:before="162"/>
      <w:ind w:left="120"/>
      <w:jc w:val="left"/>
    </w:pPr>
    <w:rPr>
      <w:rFonts w:ascii="宋体" w:hAnsi="Times New Roman" w:eastAsia="宋体" w:cs="宋体"/>
      <w:kern w:val="0"/>
      <w:sz w:val="20"/>
      <w:szCs w:val="21"/>
    </w:rPr>
  </w:style>
  <w:style w:type="paragraph" w:styleId="5">
    <w:name w:val="Balloon Text"/>
    <w:basedOn w:val="1"/>
    <w:unhideWhenUsed/>
    <w:qFormat/>
    <w:uiPriority w:val="99"/>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unhideWhenUsed/>
    <w:qFormat/>
    <w:uiPriority w:val="99"/>
    <w:rPr>
      <w:sz w:val="21"/>
      <w:szCs w:val="21"/>
    </w:rPr>
  </w:style>
  <w:style w:type="paragraph" w:customStyle="1" w:styleId="13">
    <w:name w:val="无间隔1"/>
    <w:qFormat/>
    <w:uiPriority w:val="1"/>
    <w:pPr>
      <w:widowControl w:val="0"/>
      <w:jc w:val="both"/>
    </w:pPr>
    <w:rPr>
      <w:rFonts w:ascii="等线" w:hAnsi="等线" w:eastAsia="等线" w:cs="Times New Roman"/>
      <w:kern w:val="2"/>
      <w:sz w:val="21"/>
      <w:szCs w:val="22"/>
      <w:lang w:val="en-US" w:eastAsia="zh-CN" w:bidi="ar-SA"/>
    </w:rPr>
  </w:style>
  <w:style w:type="paragraph" w:customStyle="1" w:styleId="14">
    <w:name w:val="标题4"/>
    <w:basedOn w:val="1"/>
    <w:qFormat/>
    <w:uiPriority w:val="0"/>
    <w:rPr>
      <w:rFonts w:eastAsia="楷体"/>
    </w:rPr>
  </w:style>
  <w:style w:type="character" w:customStyle="1" w:styleId="15">
    <w:name w:val="页眉 字符"/>
    <w:qFormat/>
    <w:uiPriority w:val="99"/>
    <w:rPr>
      <w:sz w:val="18"/>
      <w:szCs w:val="18"/>
    </w:rPr>
  </w:style>
  <w:style w:type="character" w:customStyle="1" w:styleId="16">
    <w:name w:val="页脚 字符"/>
    <w:qFormat/>
    <w:uiPriority w:val="99"/>
    <w:rPr>
      <w:sz w:val="18"/>
      <w:szCs w:val="18"/>
    </w:rPr>
  </w:style>
  <w:style w:type="character" w:customStyle="1" w:styleId="17">
    <w:name w:val="正文文本 字符1"/>
    <w:qFormat/>
    <w:uiPriority w:val="1"/>
    <w:rPr>
      <w:rFonts w:ascii="宋体" w:hAnsi="Times New Roman" w:eastAsia="宋体" w:cs="宋体"/>
      <w:szCs w:val="21"/>
    </w:rPr>
  </w:style>
  <w:style w:type="character" w:customStyle="1" w:styleId="18">
    <w:name w:val="正文文本 字符"/>
    <w:semiHidden/>
    <w:qFormat/>
    <w:uiPriority w:val="99"/>
    <w:rPr>
      <w:kern w:val="2"/>
      <w:sz w:val="21"/>
      <w:szCs w:val="22"/>
    </w:rPr>
  </w:style>
  <w:style w:type="character" w:customStyle="1" w:styleId="19">
    <w:name w:val="批注文字 字符1"/>
    <w:qFormat/>
    <w:uiPriority w:val="99"/>
    <w:rPr>
      <w:kern w:val="2"/>
      <w:sz w:val="21"/>
      <w:szCs w:val="22"/>
    </w:rPr>
  </w:style>
  <w:style w:type="character" w:customStyle="1" w:styleId="20">
    <w:name w:val="批注文字 字符"/>
    <w:semiHidden/>
    <w:qFormat/>
    <w:uiPriority w:val="99"/>
    <w:rPr>
      <w:kern w:val="2"/>
      <w:sz w:val="21"/>
      <w:szCs w:val="22"/>
    </w:rPr>
  </w:style>
  <w:style w:type="character" w:customStyle="1" w:styleId="21">
    <w:name w:val="批注框文本 字符"/>
    <w:semiHidden/>
    <w:qFormat/>
    <w:uiPriority w:val="99"/>
    <w:rPr>
      <w:kern w:val="2"/>
      <w:sz w:val="18"/>
      <w:szCs w:val="18"/>
    </w:rPr>
  </w:style>
  <w:style w:type="character" w:customStyle="1" w:styleId="22">
    <w:name w:val="标题 3 字符"/>
    <w:semiHidden/>
    <w:qFormat/>
    <w:uiPriority w:val="9"/>
    <w:rPr>
      <w:b/>
      <w:bCs/>
      <w:kern w:val="2"/>
      <w:sz w:val="32"/>
      <w:szCs w:val="32"/>
    </w:rPr>
  </w:style>
  <w:style w:type="character" w:customStyle="1" w:styleId="23">
    <w:name w:val="标题 3 字符1"/>
    <w:link w:val="2"/>
    <w:qFormat/>
    <w:uiPriority w:val="1"/>
    <w:rPr>
      <w:rFonts w:ascii="宋体" w:hAnsi="Times New Roman" w:eastAsia="楷体"/>
      <w:b/>
      <w:bCs/>
      <w:sz w:val="24"/>
      <w:szCs w:val="21"/>
    </w:rPr>
  </w:style>
  <w:style w:type="character" w:customStyle="1" w:styleId="24">
    <w:name w:val="标题4 字符"/>
    <w:qFormat/>
    <w:uiPriority w:val="0"/>
    <w:rPr>
      <w:rFonts w:eastAsia="楷体"/>
      <w:kern w:val="2"/>
      <w:sz w:val="21"/>
      <w:szCs w:val="22"/>
    </w:rPr>
  </w:style>
  <w:style w:type="paragraph" w:customStyle="1" w:styleId="25">
    <w:name w:val="Table Text"/>
    <w:basedOn w:val="1"/>
    <w:semiHidden/>
    <w:qFormat/>
    <w:uiPriority w:val="0"/>
    <w:rPr>
      <w:rFonts w:ascii="楷体" w:hAnsi="楷体" w:eastAsia="楷体" w:cs="楷体"/>
      <w:sz w:val="22"/>
    </w:rPr>
  </w:style>
  <w:style w:type="table" w:customStyle="1" w:styleId="2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100"/>
    <customShpInfo spid="_x0000_s4097"/>
  </customShpExts>
</s:customData>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User</cp:lastModifiedBy>
  <dcterms:modified xsi:type="dcterms:W3CDTF">2025-06-03T02:44:25Z</dcterms:modified>
  <cp:revision>29</cp:revision>
  <dc:title>“${prdInfo.PRD_NAME}”理财产品</dc:title>
</cp:coreProperties>
</file>

<file path=customXml/item3.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86</TotalTime>
  <ScaleCrop>false</ScaleCrop>
  <LinksUpToDate>false</LinksUpToDate>
  <CharactersWithSpaces>2985</CharactersWithSpaces>
  <Application>WPS Office_12.1.0.17147_F1E327BC-269C-435d-A152-05C5408002CA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31802637FF8E4298AD1DCE61A946E12D</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64f84c-17d7-4b70-9f0f-a0bc283fb97a}">
  <ds:schemaRefs/>
</ds:datastoreItem>
</file>

<file path=customXml/itemProps3.xml><?xml version="1.0" encoding="utf-8"?>
<ds:datastoreItem xmlns:ds="http://schemas.openxmlformats.org/officeDocument/2006/customXml" ds:itemID="{3233dcaf-579b-4b99-bfd4-af29b4a61a9a}">
  <ds:schemaRefs/>
</ds:datastoreItem>
</file>

<file path=customXml/itemProps4.xml><?xml version="1.0" encoding="utf-8"?>
<ds:datastoreItem xmlns:ds="http://schemas.openxmlformats.org/officeDocument/2006/customXml" ds:itemID="{d5ec999d-6341-4ae0-b2eb-7bfb05a62272}">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4</Pages>
  <Words>446</Words>
  <Characters>2544</Characters>
  <Lines>21</Lines>
  <Paragraphs>5</Paragraphs>
  <TotalTime>0</TotalTime>
  <ScaleCrop>false</ScaleCrop>
  <LinksUpToDate>false</LinksUpToDate>
  <CharactersWithSpaces>2985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2021-11-18T10:04:00Z</dcterms:created>
  <dc:creator>User</dc:creator>
  <cp:lastModifiedBy>jsyh</cp:lastModifiedBy>
  <dcterms:modified xsi:type="dcterms:W3CDTF">2025-07-16T08:56:45Z</dcterms:modified>
  <dc:title>_x201C__x0024__x007B_prdInfo.PRD_NAME_x007D__x201D_理财产品</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17C896B74EB740B0BD62F3E531330C0A</vt:lpwstr>
  </property>
</Properties>
</file>