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8E8ED">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6A7B128E">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6936CD87">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102A3EA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1F3A52C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69560C9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南银理财珠联璧合理财管理计划5号开放式公募人民币理财产品</w:t>
            </w:r>
          </w:p>
        </w:tc>
      </w:tr>
      <w:tr w14:paraId="43133E5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421CB24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3D9433D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开放式、固定收益类、公募、净值型</w:t>
            </w:r>
          </w:p>
        </w:tc>
      </w:tr>
      <w:tr w14:paraId="3D80D19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0E0735A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2622B2A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433E568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111150F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33F43FA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ZC108692044793</w:t>
            </w:r>
          </w:p>
        </w:tc>
      </w:tr>
      <w:tr w14:paraId="4442118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28B36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6F29974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Z7003220000018(投资者可依据该编码在中国理财网www.chinawealth.com.cn查询理财产品相关信息）</w:t>
            </w:r>
          </w:p>
        </w:tc>
      </w:tr>
      <w:tr w14:paraId="2F3F4D1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40E9B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61E635B6">
            <w:pPr>
              <w:spacing w:line="200" w:lineRule="exact"/>
            </w:pPr>
            <w:r>
              <w:rPr>
                <w:rFonts w:ascii="方正黑体_GBK" w:hAnsi="方正黑体_GBK" w:eastAsia="方正黑体_GBK" w:cs="宋体"/>
                <w:sz w:val="18"/>
                <w:szCs w:val="18"/>
              </w:rPr>
              <w:t>A份额：Z11009</w:t>
            </w:r>
          </w:p>
          <w:p w14:paraId="75FF2A59">
            <w:pPr>
              <w:spacing w:line="200" w:lineRule="exact"/>
            </w:pPr>
            <w:r>
              <w:rPr>
                <w:rFonts w:ascii="方正黑体_GBK" w:hAnsi="方正黑体_GBK" w:eastAsia="方正黑体_GBK" w:cs="宋体"/>
                <w:sz w:val="18"/>
                <w:szCs w:val="18"/>
              </w:rPr>
              <w:t>B份额：Z11010</w:t>
            </w:r>
          </w:p>
          <w:p w14:paraId="62BEEE6B"/>
        </w:tc>
      </w:tr>
      <w:tr w14:paraId="78DE882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327F29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理财期限</w:t>
            </w:r>
          </w:p>
        </w:tc>
        <w:tc>
          <w:tcPr>
            <w:tcW w:w="5543" w:type="dxa"/>
            <w:tcBorders>
              <w:top w:val="single" w:color="auto" w:sz="4" w:space="0"/>
              <w:left w:val="nil"/>
              <w:bottom w:val="single" w:color="auto" w:sz="4" w:space="0"/>
              <w:right w:val="single" w:color="auto" w:sz="4" w:space="0"/>
              <w:tl2br w:val="nil"/>
              <w:tr2bl w:val="nil"/>
            </w:tcBorders>
            <w:vAlign w:val="center"/>
          </w:tcPr>
          <w:p w14:paraId="6ED4328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sz w:val="18"/>
                <w:szCs w:val="18"/>
              </w:rPr>
              <w:t>10年</w:t>
            </w:r>
            <w:r>
              <w:rPr>
                <w:rFonts w:hint="eastAsia" w:ascii="方正黑体_GBK" w:hAnsi="方正黑体_GBK" w:eastAsia="方正黑体_GBK" w:cs="宋体"/>
                <w:kern w:val="0"/>
                <w:sz w:val="18"/>
                <w:szCs w:val="18"/>
                <w:lang w:val="en-US" w:eastAsia="zh-CN"/>
              </w:rPr>
              <w:t>（管理人有权提前终止或延期终止）</w:t>
            </w:r>
          </w:p>
        </w:tc>
      </w:tr>
      <w:tr w14:paraId="2BA73F0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4AFAE6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2D17D6DF">
            <w:pPr>
              <w:spacing w:line="200" w:lineRule="exact"/>
            </w:pPr>
            <w:r>
              <w:rPr>
                <w:rFonts w:ascii="方正黑体_GBK" w:hAnsi="方正黑体_GBK" w:eastAsia="方正黑体_GBK" w:cs="宋体"/>
                <w:sz w:val="18"/>
                <w:szCs w:val="18"/>
              </w:rPr>
              <w:t>全国</w:t>
            </w:r>
          </w:p>
        </w:tc>
      </w:tr>
      <w:tr w14:paraId="5CF5265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271FCD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2F7E38A6">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1A6BCD2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52C8E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69348AC7">
            <w:pPr>
              <w:spacing w:line="200" w:lineRule="exact"/>
            </w:pPr>
            <w:r>
              <w:rPr>
                <w:rFonts w:ascii="方正黑体_GBK" w:hAnsi="方正黑体_GBK" w:eastAsia="方正黑体_GBK" w:cs="宋体"/>
                <w:sz w:val="18"/>
                <w:szCs w:val="18"/>
              </w:rPr>
              <w:t>本理财产品规模上限为500亿元。理财产品管理人有权对上述规模上限根据实际业务需求进行调整。</w:t>
            </w:r>
          </w:p>
        </w:tc>
      </w:tr>
      <w:tr w14:paraId="4C78F66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D833A9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4EE81FBD">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5D501224">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1082C59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57735D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78BF3C46">
            <w:pPr>
              <w:spacing w:line="200" w:lineRule="exact"/>
            </w:pPr>
            <w:r>
              <w:rPr>
                <w:rFonts w:ascii="方正黑体_GBK" w:hAnsi="方正黑体_GBK" w:eastAsia="方正黑体_GBK" w:cs="宋体"/>
                <w:color w:val="000000"/>
                <w:sz w:val="18"/>
                <w:szCs w:val="18"/>
              </w:rPr>
              <w:t>符合相关法律法规、监管规定要求的，经销售机构的风险承受能力评估体系评定为适合的个人和机构投资者。</w:t>
            </w:r>
          </w:p>
          <w:p w14:paraId="687BED6F">
            <w:pPr>
              <w:spacing w:line="200" w:lineRule="exact"/>
            </w:pPr>
            <w:r>
              <w:rPr>
                <w:rFonts w:ascii="方正黑体_GBK" w:hAnsi="方正黑体_GBK" w:eastAsia="方正黑体_GBK" w:cs="宋体"/>
                <w:sz w:val="18"/>
                <w:szCs w:val="18"/>
              </w:rPr>
              <w:t>A份额：面向所有销售机构的所有客户销售</w:t>
            </w:r>
          </w:p>
          <w:p w14:paraId="0B28E01C">
            <w:pPr>
              <w:spacing w:line="200" w:lineRule="exact"/>
            </w:pPr>
            <w:r>
              <w:rPr>
                <w:rFonts w:ascii="方正黑体_GBK" w:hAnsi="方正黑体_GBK" w:eastAsia="方正黑体_GBK" w:cs="宋体"/>
                <w:sz w:val="18"/>
                <w:szCs w:val="18"/>
              </w:rPr>
              <w:t>B份额：面向南京银行股份有限公司私钻客户、齐鲁银行股份有限公司白金客户或私行客户销售</w:t>
            </w:r>
          </w:p>
          <w:p w14:paraId="4925EA39"/>
        </w:tc>
      </w:tr>
      <w:tr w14:paraId="6A587A3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20C8DC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44A33F94">
            <w:pPr>
              <w:spacing w:line="200" w:lineRule="exact"/>
            </w:pPr>
            <w:r>
              <w:rPr>
                <w:rFonts w:ascii="方正黑体_GBK" w:hAnsi="方正黑体_GBK" w:eastAsia="方正黑体_GBK" w:cs="宋体"/>
                <w:sz w:val="18"/>
                <w:szCs w:val="18"/>
              </w:rPr>
              <w:t>A份额：</w:t>
            </w:r>
          </w:p>
          <w:p w14:paraId="059952FC">
            <w:pPr>
              <w:spacing w:line="200" w:lineRule="exact"/>
            </w:pPr>
            <w:r>
              <w:rPr>
                <w:rFonts w:ascii="方正黑体_GBK" w:hAnsi="方正黑体_GBK" w:eastAsia="方正黑体_GBK" w:cs="宋体"/>
                <w:sz w:val="18"/>
                <w:szCs w:val="18"/>
              </w:rPr>
              <w:t>个人投资者投资起点金额1元人民币，以1元的整数倍递增；</w:t>
            </w:r>
          </w:p>
          <w:p w14:paraId="2292A42D">
            <w:pPr>
              <w:spacing w:line="200" w:lineRule="exact"/>
            </w:pPr>
            <w:r>
              <w:rPr>
                <w:rFonts w:ascii="方正黑体_GBK" w:hAnsi="方正黑体_GBK" w:eastAsia="方正黑体_GBK" w:cs="宋体"/>
                <w:sz w:val="18"/>
                <w:szCs w:val="18"/>
              </w:rPr>
              <w:t>机构投资者投资起点金额1元人民币，以1元的整数倍递增；</w:t>
            </w:r>
          </w:p>
          <w:p w14:paraId="43DF6A60">
            <w:pPr>
              <w:spacing w:line="200" w:lineRule="exact"/>
            </w:pPr>
            <w:r>
              <w:rPr>
                <w:rFonts w:ascii="方正黑体_GBK" w:hAnsi="方正黑体_GBK" w:eastAsia="方正黑体_GBK" w:cs="宋体"/>
                <w:sz w:val="18"/>
                <w:szCs w:val="18"/>
              </w:rPr>
              <w:t>B份额：</w:t>
            </w:r>
          </w:p>
          <w:p w14:paraId="4FB73C5A">
            <w:pPr>
              <w:spacing w:line="200" w:lineRule="exact"/>
            </w:pPr>
            <w:r>
              <w:rPr>
                <w:rFonts w:ascii="方正黑体_GBK" w:hAnsi="方正黑体_GBK" w:eastAsia="方正黑体_GBK" w:cs="宋体"/>
                <w:sz w:val="18"/>
                <w:szCs w:val="18"/>
              </w:rPr>
              <w:t>个人投资者投资起点金额1元人民币，以1元的整数倍递增；</w:t>
            </w:r>
          </w:p>
          <w:p w14:paraId="3FB18813">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后续在符合监管政策规定的条件下，理财产品管理人有权对上述投资起点金额和递增金额进行调整，并进行信息披露。</w:t>
            </w:r>
          </w:p>
          <w:p w14:paraId="774A160E">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3BEDFDB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C1F07E6">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6BEEBB9A">
            <w:pPr>
              <w:spacing w:line="200" w:lineRule="exact"/>
            </w:pPr>
            <w:r>
              <w:rPr>
                <w:rFonts w:ascii="方正黑体_GBK" w:hAnsi="方正黑体_GBK" w:eastAsia="方正黑体_GBK" w:cs="宋体"/>
                <w:sz w:val="18"/>
                <w:szCs w:val="18"/>
              </w:rPr>
              <w:t>本理财产品暂不设置单个投资者持有金额上限。</w:t>
            </w:r>
          </w:p>
          <w:p w14:paraId="2463F375">
            <w:pPr>
              <w:spacing w:line="200" w:lineRule="exact"/>
            </w:pPr>
            <w:r>
              <w:rPr>
                <w:rFonts w:ascii="方正黑体_GBK" w:hAnsi="方正黑体_GBK" w:eastAsia="方正黑体_GBK" w:cs="宋体"/>
                <w:sz w:val="18"/>
                <w:szCs w:val="18"/>
              </w:rPr>
              <w:t>理财产品管理人有权根据实际业务需求设置单个投资者持有金额上限，并在设置前至少3个工作日进行信息披露。</w:t>
            </w:r>
          </w:p>
        </w:tc>
      </w:tr>
      <w:tr w14:paraId="15776B7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CA98D5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04830755">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31DADCEB">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4A07626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BB178C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7F49E136">
            <w:pPr>
              <w:spacing w:line="200" w:lineRule="exact"/>
            </w:pPr>
            <w:r>
              <w:rPr>
                <w:rFonts w:ascii="方正黑体_GBK" w:hAnsi="方正黑体_GBK" w:eastAsia="方正黑体_GBK" w:cs="宋体"/>
                <w:color w:val="000000"/>
                <w:sz w:val="18"/>
                <w:szCs w:val="18"/>
              </w:rPr>
              <w:t>2020年10月20日 09:00—2020年10月22日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6D7CA8D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35E3DCE">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3F07DA2D">
            <w:pPr>
              <w:spacing w:line="200" w:lineRule="exact"/>
            </w:pPr>
            <w:r>
              <w:rPr>
                <w:rFonts w:ascii="方正黑体_GBK" w:hAnsi="方正黑体_GBK" w:eastAsia="方正黑体_GBK" w:cs="宋体"/>
                <w:sz w:val="18"/>
                <w:szCs w:val="18"/>
              </w:rPr>
              <w:t>认购份额=确认认购金额/1。（认购份额以去尾法保留两位小数）</w:t>
            </w:r>
          </w:p>
        </w:tc>
      </w:tr>
      <w:tr w14:paraId="3E80F3A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A09162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1DC86B4F">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6E53D70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D38579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6AD8CD7B">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2020年10月23日</w:t>
            </w:r>
          </w:p>
        </w:tc>
      </w:tr>
      <w:tr w14:paraId="702AF13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62DA1B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244D7EBC">
            <w:pPr>
              <w:spacing w:line="200" w:lineRule="exact"/>
            </w:pPr>
            <w:r>
              <w:rPr>
                <w:rFonts w:ascii="方正黑体_GBK" w:hAnsi="方正黑体_GBK" w:eastAsia="方正黑体_GBK" w:cs="宋体"/>
                <w:sz w:val="18"/>
                <w:szCs w:val="18"/>
              </w:rPr>
              <w:t>2020年10月23日—实际到期日（若本理财产品未被提前终止或延期终止，则实际到期日即为名义到期日，存续期限10年；若本理财产品被提前终止或延期终止，则实际到期日为提前终止日或延期终止日。</w:t>
            </w:r>
            <w:r>
              <w:rPr>
                <w:rFonts w:ascii="方正黑体_GBK" w:hAnsi="方正黑体_GBK" w:eastAsia="方正黑体_GBK" w:cs="宋体"/>
                <w:b/>
                <w:sz w:val="18"/>
                <w:szCs w:val="18"/>
              </w:rPr>
              <w:t>理财产品管理人有权根据市场变化情况调整产品存续期，届时管理人将调整相关日期并进行信息披露。）</w:t>
            </w:r>
          </w:p>
        </w:tc>
      </w:tr>
      <w:tr w14:paraId="2A7C130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AF340A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658BA1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2030年12月31日</w:t>
            </w:r>
            <w:r>
              <w:rPr>
                <w:rFonts w:hint="eastAsia" w:ascii="方正黑体_GBK" w:hAnsi="方正黑体_GBK" w:eastAsia="方正黑体_GBK" w:cs="Times New Roman"/>
                <w:b/>
                <w:bCs/>
                <w:caps w:val="0"/>
                <w:smallCaps w:val="0"/>
                <w:snapToGrid/>
                <w:vanish w:val="0"/>
                <w:color w:val="auto"/>
                <w:kern w:val="0"/>
                <w:sz w:val="18"/>
                <w:szCs w:val="18"/>
                <w:vertAlign w:val="baseline"/>
              </w:rPr>
              <w:t>（如遇国家法定节假日，管理人可结合国家法定节假日安排进行调整，并进行</w:t>
            </w:r>
            <w:r>
              <w:rPr>
                <w:rFonts w:hint="eastAsia" w:ascii="方正黑体_GBK" w:hAnsi="方正黑体_GBK" w:eastAsia="方正黑体_GBK"/>
                <w:b/>
                <w:bCs/>
                <w:caps w:val="0"/>
                <w:smallCaps w:val="0"/>
                <w:snapToGrid/>
                <w:vanish w:val="0"/>
                <w:color w:val="auto"/>
                <w:kern w:val="0"/>
                <w:sz w:val="18"/>
                <w:szCs w:val="18"/>
                <w:vertAlign w:val="baseline"/>
              </w:rPr>
              <w:t>信息披露</w:t>
            </w:r>
            <w:r>
              <w:rPr>
                <w:rFonts w:hint="eastAsia" w:ascii="方正黑体_GBK" w:hAnsi="方正黑体_GBK" w:eastAsia="方正黑体_GBK" w:cs="Times New Roman"/>
                <w:b/>
                <w:bCs/>
                <w:caps w:val="0"/>
                <w:smallCaps w:val="0"/>
                <w:snapToGrid/>
                <w:vanish w:val="0"/>
                <w:color w:val="auto"/>
                <w:kern w:val="0"/>
                <w:sz w:val="18"/>
                <w:szCs w:val="18"/>
                <w:vertAlign w:val="baseline"/>
              </w:rPr>
              <w:t>）</w:t>
            </w:r>
          </w:p>
        </w:tc>
      </w:tr>
      <w:tr w14:paraId="59F6FD1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46BFD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申购规则</w:t>
            </w:r>
          </w:p>
        </w:tc>
        <w:tc>
          <w:tcPr>
            <w:tcW w:w="5543" w:type="dxa"/>
            <w:tcBorders>
              <w:top w:val="single" w:color="auto" w:sz="4" w:space="0"/>
              <w:left w:val="nil"/>
              <w:bottom w:val="single" w:color="auto" w:sz="4" w:space="0"/>
              <w:right w:val="single" w:color="auto" w:sz="4" w:space="0"/>
              <w:tl2br w:val="nil"/>
              <w:tr2bl w:val="nil"/>
            </w:tcBorders>
            <w:vAlign w:val="center"/>
          </w:tcPr>
          <w:p w14:paraId="33B2F028">
            <w:pPr>
              <w:spacing w:line="200" w:lineRule="exact"/>
            </w:pPr>
            <w:r>
              <w:rPr>
                <w:rFonts w:ascii="方正黑体_GBK" w:hAnsi="方正黑体_GBK" w:eastAsia="方正黑体_GBK" w:cs="宋体"/>
                <w:b/>
                <w:sz w:val="18"/>
                <w:szCs w:val="18"/>
              </w:rPr>
              <w:t>本理财产品存续期内按周开放申购，申购开放期内的申购申请于每周五确认并开始运作，如遇节假日具体申购开放期和运作起始日以公告为准。（申购申请被确认并开始运作的日期称为该申购申请确认份额的“运作起始日”。）</w:t>
            </w:r>
          </w:p>
          <w:p w14:paraId="7332A0B6">
            <w:pPr>
              <w:spacing w:line="200" w:lineRule="exact"/>
            </w:pPr>
            <w:r>
              <w:rPr>
                <w:rFonts w:ascii="方正黑体_GBK" w:hAnsi="方正黑体_GBK" w:eastAsia="方正黑体_GBK" w:cs="宋体"/>
                <w:b/>
                <w:sz w:val="18"/>
                <w:szCs w:val="18"/>
              </w:rPr>
              <w:t>申购时间：申购开放期起始日9:00-申购开放期结束日17:00，申购开放期结束日17:00前可以撤销申购申请。</w:t>
            </w:r>
          </w:p>
          <w:p w14:paraId="6EFB0B82">
            <w:pPr>
              <w:spacing w:line="200" w:lineRule="exact"/>
            </w:pPr>
            <w:r>
              <w:rPr>
                <w:rFonts w:ascii="方正黑体_GBK" w:hAnsi="方正黑体_GBK" w:eastAsia="方正黑体_GBK" w:cs="宋体"/>
                <w:b/>
                <w:sz w:val="18"/>
                <w:szCs w:val="18"/>
              </w:rPr>
              <w:t>代销机构可根据其销售需要重新设定申购时间，投资者通过代销机构购买本理财产品的，以该代销机构最终披露的申购时间和规则为准。</w:t>
            </w:r>
          </w:p>
        </w:tc>
      </w:tr>
      <w:tr w14:paraId="0A3F95A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8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CD8308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w:t>
            </w:r>
            <w:r>
              <w:rPr>
                <w:rFonts w:hint="eastAsia" w:ascii="方正黑体_GBK" w:hAnsi="方正黑体_GBK" w:eastAsia="方正黑体_GBK"/>
                <w:caps w:val="0"/>
                <w:smallCaps w:val="0"/>
                <w:snapToGrid/>
                <w:vanish w:val="0"/>
                <w:color w:val="auto"/>
                <w:kern w:val="0"/>
                <w:sz w:val="18"/>
                <w:szCs w:val="18"/>
                <w:vertAlign w:val="baseline"/>
              </w:rPr>
              <w:t>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5F67A4F">
            <w:pPr>
              <w:spacing w:line="200" w:lineRule="exact"/>
              <w:jc w:val="left"/>
            </w:pPr>
            <w:r>
              <w:rPr>
                <w:rFonts w:ascii="方正黑体_GBK" w:hAnsi="方正黑体_GBK" w:eastAsia="方正黑体_GBK" w:cs="宋体"/>
                <w:b/>
                <w:sz w:val="18"/>
                <w:szCs w:val="18"/>
              </w:rPr>
              <w:t>申购份额=申购金额/运作起始日前一工作日的产品单位净值</w:t>
            </w:r>
          </w:p>
          <w:p w14:paraId="05EFBAB4">
            <w:pPr>
              <w:spacing w:line="200" w:lineRule="exact"/>
              <w:jc w:val="left"/>
            </w:pPr>
            <w:r>
              <w:rPr>
                <w:rFonts w:ascii="方正黑体_GBK" w:hAnsi="方正黑体_GBK" w:eastAsia="方正黑体_GBK" w:cs="宋体"/>
                <w:sz w:val="18"/>
                <w:szCs w:val="18"/>
              </w:rPr>
              <w:t>（申购份额按去尾法保留两位小数）。</w:t>
            </w:r>
          </w:p>
        </w:tc>
      </w:tr>
      <w:tr w14:paraId="392E680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A4CA3B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赎回规则</w:t>
            </w:r>
          </w:p>
        </w:tc>
        <w:tc>
          <w:tcPr>
            <w:tcW w:w="5543" w:type="dxa"/>
            <w:tcBorders>
              <w:top w:val="single" w:color="auto" w:sz="4" w:space="0"/>
              <w:left w:val="nil"/>
              <w:bottom w:val="single" w:color="auto" w:sz="4" w:space="0"/>
              <w:right w:val="single" w:color="auto" w:sz="4" w:space="0"/>
              <w:tl2br w:val="nil"/>
              <w:tr2bl w:val="nil"/>
            </w:tcBorders>
            <w:vAlign w:val="center"/>
          </w:tcPr>
          <w:p w14:paraId="30759CE6">
            <w:pPr>
              <w:spacing w:line="200" w:lineRule="exact"/>
            </w:pPr>
            <w:r>
              <w:rPr>
                <w:rFonts w:ascii="方正黑体_GBK" w:hAnsi="方正黑体_GBK" w:eastAsia="方正黑体_GBK" w:cs="宋体"/>
                <w:b/>
                <w:sz w:val="18"/>
                <w:szCs w:val="18"/>
              </w:rPr>
              <w:t>客户每笔持有份额运作满364天将由系统发起全额自动赎回，如遇节假日顺延，投资者无需提交赎回申请。（系统自动发起赎回的日期称为该份额的“自动赎回日”。）</w:t>
            </w:r>
          </w:p>
          <w:p w14:paraId="15F9CC62">
            <w:pPr>
              <w:spacing w:line="200" w:lineRule="exact"/>
            </w:pPr>
            <w:r>
              <w:rPr>
                <w:rFonts w:ascii="方正黑体_GBK" w:hAnsi="方正黑体_GBK" w:eastAsia="方正黑体_GBK" w:cs="宋体"/>
                <w:b/>
                <w:sz w:val="18"/>
                <w:szCs w:val="18"/>
              </w:rPr>
              <w:t>本产品不设大额赎回条款，无赎回费用。</w:t>
            </w:r>
          </w:p>
          <w:p w14:paraId="7131E55C">
            <w:pPr>
              <w:spacing w:line="200" w:lineRule="exact"/>
            </w:pPr>
            <w:r>
              <w:rPr>
                <w:rFonts w:ascii="方正黑体_GBK" w:hAnsi="方正黑体_GBK" w:eastAsia="方正黑体_GBK" w:cs="宋体"/>
                <w:b/>
                <w:sz w:val="18"/>
                <w:szCs w:val="18"/>
              </w:rPr>
              <w:t>注：客户每笔持有份额在进入该份额的运作周期后不能提前赎回（本理财产品每笔份额的运作周期为364天，如遇节假日延长），投资者应考虑产品期限并合理安排自身投资计划。</w:t>
            </w:r>
          </w:p>
        </w:tc>
      </w:tr>
      <w:tr w14:paraId="48834DD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1CD2F9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赎回金额计算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0C576387">
            <w:pPr>
              <w:spacing w:line="200" w:lineRule="exact"/>
            </w:pPr>
            <w:r>
              <w:rPr>
                <w:rFonts w:ascii="方正黑体_GBK" w:hAnsi="方正黑体_GBK" w:eastAsia="方正黑体_GBK" w:cs="宋体"/>
                <w:b/>
                <w:sz w:val="18"/>
                <w:szCs w:val="18"/>
              </w:rPr>
              <w:t>赎回金额=赎回份额×自动赎回日前一工作日的产品单位净值（已扣除相关费用）</w:t>
            </w:r>
          </w:p>
          <w:p w14:paraId="2CB795FB">
            <w:pPr>
              <w:spacing w:line="200" w:lineRule="exact"/>
            </w:pPr>
            <w:r>
              <w:rPr>
                <w:rFonts w:ascii="方正黑体_GBK" w:hAnsi="方正黑体_GBK" w:eastAsia="方正黑体_GBK" w:cs="宋体"/>
                <w:sz w:val="18"/>
                <w:szCs w:val="18"/>
              </w:rPr>
              <w:t>（赎回金额按去尾法保留两位小数）</w:t>
            </w:r>
          </w:p>
          <w:p w14:paraId="55FC789B">
            <w:pPr>
              <w:spacing w:line="200" w:lineRule="exact"/>
            </w:pPr>
            <w:r>
              <w:rPr>
                <w:rFonts w:ascii="方正黑体_GBK" w:hAnsi="方正黑体_GBK" w:eastAsia="方正黑体_GBK" w:cs="宋体"/>
                <w:b/>
                <w:sz w:val="18"/>
                <w:szCs w:val="18"/>
              </w:rPr>
              <w:t>产品的赎回费、业绩报酬等费用（如有）将从赎回金额中扣除。</w:t>
            </w:r>
          </w:p>
        </w:tc>
      </w:tr>
      <w:tr w14:paraId="5B5CDFA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D36169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4039D81B">
            <w:pPr>
              <w:spacing w:line="200" w:lineRule="exact"/>
            </w:pPr>
            <w:r>
              <w:rPr>
                <w:rFonts w:ascii="方正黑体_GBK" w:hAnsi="方正黑体_GBK" w:eastAsia="方正黑体_GBK" w:cs="宋体"/>
                <w:color w:val="000000"/>
                <w:sz w:val="18"/>
                <w:szCs w:val="18"/>
              </w:rPr>
              <w:t>到期兑付金额=到期时持有份额×P。 P为期末理财产品单位净值。（已扣除相关费用，到期兑付金额以去尾法保留两位小数）</w:t>
            </w:r>
          </w:p>
        </w:tc>
      </w:tr>
      <w:tr w14:paraId="2B66B32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B23705">
            <w:pPr>
              <w:keepNext w:val="0"/>
              <w:keepLines w:val="0"/>
              <w:pageBreakBefore w:val="0"/>
              <w:widowControl/>
              <w:suppressLineNumbers w:val="0"/>
              <w:suppressAutoHyphens w:val="0"/>
              <w:spacing w:line="200" w:lineRule="exact"/>
              <w:jc w:val="left"/>
              <w:rPr>
                <w:rFonts w:ascii="方正黑体_GBK" w:hAnsi="方正黑体_GBK" w:eastAsia="方正黑体_GBK"/>
                <w:kern w:val="0"/>
                <w:sz w:val="18"/>
                <w:szCs w:val="18"/>
              </w:rPr>
            </w:pPr>
            <w:r>
              <w:rPr>
                <w:rFonts w:ascii="方正黑体_GBK" w:hAnsi="方正黑体_GBK" w:eastAsia="方正黑体_GBK" w:cs="Times New Roman"/>
                <w:color w:val="000000"/>
                <w:kern w:val="0"/>
                <w:sz w:val="18"/>
                <w:szCs w:val="18"/>
              </w:rPr>
              <w:t>份额运作周期</w:t>
            </w:r>
          </w:p>
        </w:tc>
        <w:tc>
          <w:tcPr>
            <w:tcW w:w="5543" w:type="dxa"/>
            <w:tcBorders>
              <w:top w:val="single" w:color="auto" w:sz="4" w:space="0"/>
              <w:left w:val="nil"/>
              <w:bottom w:val="single" w:color="auto" w:sz="4" w:space="0"/>
              <w:right w:val="single" w:color="auto" w:sz="4" w:space="0"/>
              <w:tl2br w:val="nil"/>
              <w:tr2bl w:val="nil"/>
            </w:tcBorders>
            <w:vAlign w:val="center"/>
          </w:tcPr>
          <w:p w14:paraId="3729FE3D">
            <w:pPr>
              <w:spacing w:line="200" w:lineRule="exact"/>
            </w:pPr>
            <w:r>
              <w:rPr>
                <w:rFonts w:ascii="方正黑体_GBK" w:hAnsi="方正黑体_GBK" w:eastAsia="方正黑体_GBK" w:cs="宋体"/>
                <w:b/>
                <w:sz w:val="18"/>
                <w:szCs w:val="18"/>
              </w:rPr>
              <w:t>每笔份额的运作周期为该份额的运作起始日（含）至自动赎回日（不含）。</w:t>
            </w:r>
          </w:p>
          <w:p w14:paraId="30624ED2">
            <w:pPr>
              <w:spacing w:line="200" w:lineRule="exact"/>
            </w:pPr>
            <w:r>
              <w:rPr>
                <w:rFonts w:ascii="方正黑体_GBK" w:hAnsi="方正黑体_GBK" w:eastAsia="方正黑体_GBK" w:cs="宋体"/>
                <w:b/>
                <w:sz w:val="18"/>
                <w:szCs w:val="18"/>
              </w:rPr>
              <w:t>客户每笔份额的实际持有天数为该份额的运作起始日（含）至自动赎回日（不含）之间的天数</w:t>
            </w:r>
            <w:r>
              <w:rPr>
                <w:rFonts w:ascii="方正黑体_GBK" w:hAnsi="方正黑体_GBK" w:eastAsia="方正黑体_GBK" w:cs="宋体"/>
                <w:sz w:val="18"/>
                <w:szCs w:val="18"/>
              </w:rPr>
              <w:t>。</w:t>
            </w:r>
          </w:p>
          <w:p w14:paraId="0B8DE0FF">
            <w:pPr>
              <w:spacing w:line="200" w:lineRule="exact"/>
            </w:pPr>
            <w:r>
              <w:rPr>
                <w:rFonts w:ascii="方正黑体_GBK" w:hAnsi="方正黑体_GBK" w:eastAsia="方正黑体_GBK" w:cs="宋体"/>
                <w:b/>
                <w:sz w:val="18"/>
                <w:szCs w:val="18"/>
              </w:rPr>
              <w:t>本理财产品的份额运作周期/客户份额实际持有天数为364天（如遇节假日，客户份额实际持有天数可能将延长，具体以公告为准）。</w:t>
            </w:r>
          </w:p>
        </w:tc>
      </w:tr>
      <w:tr w14:paraId="0E07B91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A78F4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43EE78EE">
            <w:pPr>
              <w:spacing w:line="200" w:lineRule="exact"/>
            </w:pPr>
            <w:r>
              <w:rPr>
                <w:rFonts w:ascii="方正黑体_GBK" w:hAnsi="方正黑体_GBK" w:eastAsia="方正黑体_GBK" w:cs="宋体"/>
                <w:sz w:val="18"/>
                <w:szCs w:val="18"/>
              </w:rPr>
              <w:t>当理财产品单位净值不低于1时，管理人可以根据实际情况进行收益分配，分配方式为现金分红，具体分配方案以信息披露为准（分配后理财产品净值不低于1）。</w:t>
            </w:r>
          </w:p>
          <w:p w14:paraId="759A68E3">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0522F1C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1EF40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1320A558">
            <w:pPr>
              <w:spacing w:line="200" w:lineRule="exact"/>
              <w:jc w:val="left"/>
            </w:pPr>
            <w:r>
              <w:rPr>
                <w:rFonts w:ascii="方正黑体_GBK" w:hAnsi="方正黑体_GBK" w:eastAsia="方正黑体_GBK" w:cs="宋体"/>
                <w:sz w:val="18"/>
                <w:szCs w:val="18"/>
              </w:rPr>
              <w:t>理财份额赎回退出时，赎回金额将于自动赎回日后5个工作日内划入销售文件约定的投资者授权指定账户，自动赎回日至资金到账日之间，投资者资金不计息。</w:t>
            </w:r>
          </w:p>
          <w:p w14:paraId="1A262505">
            <w:pPr>
              <w:spacing w:line="200" w:lineRule="exact"/>
            </w:pPr>
            <w:r>
              <w:rPr>
                <w:rFonts w:ascii="方正黑体_GBK" w:hAnsi="方正黑体_GBK" w:eastAsia="方正黑体_GBK" w:cs="宋体"/>
                <w:sz w:val="18"/>
                <w:szCs w:val="18"/>
              </w:rPr>
              <w:t>如遇产品终止，终止日后5个工作日内管理人将投资者持有份额对应的理财资金金额一次性划转至投资者授权指定账户，终止日至资金到账日之间，投资者资金不计息。</w:t>
            </w:r>
          </w:p>
        </w:tc>
      </w:tr>
      <w:tr w14:paraId="145E0E1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4E414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7F5A302E">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79D83FA1">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60E14C09">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3800086F">
            <w:pPr>
              <w:spacing w:line="200" w:lineRule="exact"/>
              <w:jc w:val="left"/>
            </w:pPr>
            <w:r>
              <w:rPr>
                <w:rFonts w:ascii="方正黑体_GBK" w:hAnsi="方正黑体_GBK" w:eastAsia="方正黑体_GBK" w:cs="宋体"/>
                <w:sz w:val="18"/>
                <w:szCs w:val="18"/>
              </w:rPr>
              <w:t>3.投资范围为上述资产的信托计划、资产管理计划等资产管理产品；</w:t>
            </w:r>
          </w:p>
          <w:p w14:paraId="719EBF6F">
            <w:pPr>
              <w:spacing w:line="200" w:lineRule="exact"/>
              <w:jc w:val="left"/>
            </w:pPr>
            <w:r>
              <w:rPr>
                <w:rFonts w:ascii="方正黑体_GBK" w:hAnsi="方正黑体_GBK" w:eastAsia="方正黑体_GBK" w:cs="宋体"/>
                <w:sz w:val="18"/>
                <w:szCs w:val="18"/>
              </w:rPr>
              <w:t>4.法律法规或监管机构允许投资的符合本理财产品投资性质的其他金融工具；</w:t>
            </w:r>
          </w:p>
          <w:p w14:paraId="45C72241">
            <w:pPr>
              <w:spacing w:line="200" w:lineRule="exact"/>
            </w:pPr>
            <w:r>
              <w:rPr>
                <w:rFonts w:ascii="方正黑体_GBK" w:hAnsi="方正黑体_GBK" w:eastAsia="方正黑体_GBK" w:cs="宋体"/>
                <w:sz w:val="18"/>
                <w:szCs w:val="18"/>
              </w:rPr>
              <w:t>5.如存在法律法规或监管机构以后允许投资的其他品种或法律法规或监管政策出现调整，管理人在履行本理财产品销售文件规定的适当程序后，有权调整以上品种。</w:t>
            </w:r>
          </w:p>
        </w:tc>
      </w:tr>
      <w:tr w14:paraId="071B56A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1554AE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148D7DA5">
            <w:pPr>
              <w:spacing w:line="200" w:lineRule="exact"/>
            </w:pPr>
            <w:r>
              <w:rPr>
                <w:rFonts w:ascii="方正黑体_GBK" w:hAnsi="方正黑体_GBK" w:eastAsia="方正黑体_GBK" w:cs="宋体"/>
                <w:sz w:val="18"/>
                <w:szCs w:val="18"/>
              </w:rPr>
              <w:t>本理财产品投资于固定收益类资产的比例不低于80%。</w:t>
            </w:r>
          </w:p>
          <w:p w14:paraId="16762D97">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50766AA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9908E2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50573F41">
            <w:pPr>
              <w:spacing w:line="200" w:lineRule="exact"/>
            </w:pPr>
            <w:r>
              <w:rPr>
                <w:rFonts w:ascii="方正黑体_GBK" w:hAnsi="方正黑体_GBK" w:eastAsia="方正黑体_GBK" w:cs="宋体"/>
                <w:sz w:val="18"/>
                <w:szCs w:val="18"/>
              </w:rPr>
              <w:t>本理财产品通过对宏观经济、政策环境、市场状况和资金供求的深入分析，对所投资产的行业和品种的深入分析，自上而下进行积极主动的资产配置，构建合理的投资组合方案。力争控制回撤幅度，追求稳健的投资回报。</w:t>
            </w:r>
          </w:p>
        </w:tc>
      </w:tr>
      <w:tr w14:paraId="7BB6754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EEADC1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5A68954B">
            <w:pPr>
              <w:spacing w:line="200" w:lineRule="exact"/>
            </w:pPr>
            <w:r>
              <w:rPr>
                <w:rFonts w:ascii="方正黑体_GBK" w:hAnsi="方正黑体_GBK" w:eastAsia="方正黑体_GBK" w:cs="宋体"/>
                <w:sz w:val="18"/>
                <w:szCs w:val="18"/>
              </w:rPr>
              <w:t>A份额：业绩比较基准为中债新综合全价(1-3年)指数收益率。</w:t>
            </w:r>
          </w:p>
          <w:p w14:paraId="1D235D6A">
            <w:pPr>
              <w:spacing w:line="200" w:lineRule="exact"/>
            </w:pPr>
            <w:r>
              <w:rPr>
                <w:rFonts w:ascii="方正黑体_GBK" w:hAnsi="方正黑体_GBK" w:eastAsia="方正黑体_GBK" w:cs="宋体"/>
                <w:sz w:val="18"/>
                <w:szCs w:val="18"/>
              </w:rPr>
              <w:t>B份额：业绩比较基准为中债新综合全价(1-3年)指数收益率。</w:t>
            </w:r>
          </w:p>
          <w:p w14:paraId="338A3BF8">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结合债券市场的收益和波动水平预判，在本理财产品约定的投资策略基础上，管理人设定了本理财产品投资周期内的业绩比较基准。</w:t>
            </w:r>
            <w:r>
              <w:rPr>
                <w:rFonts w:ascii="方正黑体_GBK" w:hAnsi="方正黑体_GBK" w:eastAsia="方正黑体_GBK"/>
              </w:rPr>
              <w:br w:type="textWrapping"/>
            </w:r>
            <w:r>
              <w:rPr>
                <w:rFonts w:ascii="方正黑体_GBK" w:hAnsi="方正黑体_GBK" w:eastAsia="方正黑体_GBK" w:cs="宋体"/>
                <w:sz w:val="18"/>
                <w:szCs w:val="18"/>
              </w:rPr>
              <w:t>注：1.该指数为中央国债登记结算有限责任公司发布的债券指数，投资者可登陆中国债券信息网查询。</w:t>
            </w:r>
            <w:r>
              <w:rPr>
                <w:rFonts w:ascii="方正黑体_GBK" w:hAnsi="方正黑体_GBK" w:eastAsia="方正黑体_GBK"/>
              </w:rPr>
              <w:br w:type="textWrapping"/>
            </w:r>
            <w:r>
              <w:rPr>
                <w:rFonts w:ascii="方正黑体_GBK" w:hAnsi="方正黑体_GBK" w:eastAsia="方正黑体_GBK" w:cs="宋体"/>
                <w:sz w:val="18"/>
                <w:szCs w:val="18"/>
              </w:rPr>
              <w:t xml:space="preserve">  2.以上指数年化收益率计算方式为：（自动赎回日前一工作日的指数收盘价÷运作起始日前一工作日的指数收盘价-1）÷客户份额实际持有天数×365天。</w:t>
            </w:r>
            <w:r>
              <w:rPr>
                <w:rFonts w:ascii="方正黑体_GBK" w:hAnsi="方正黑体_GBK" w:eastAsia="方正黑体_GBK"/>
              </w:rPr>
              <w:br w:type="textWrapping"/>
            </w:r>
            <w:r>
              <w:rPr>
                <w:rFonts w:ascii="方正黑体_GBK" w:hAnsi="方正黑体_GBK" w:eastAsia="方正黑体_GBK" w:cs="宋体"/>
                <w:sz w:val="18"/>
                <w:szCs w:val="18"/>
              </w:rPr>
              <w:t xml:space="preserve">  3.管理人将在本理财产品定期报告中对以上业绩比较基准进行跟踪和披露。</w:t>
            </w:r>
            <w:r>
              <w:rPr>
                <w:rFonts w:ascii="方正黑体_GBK" w:hAnsi="方正黑体_GBK" w:eastAsia="方正黑体_GBK"/>
              </w:rPr>
              <w:br w:type="textWrapping"/>
            </w:r>
            <w:r>
              <w:rPr>
                <w:rFonts w:ascii="方正黑体_GBK" w:hAnsi="方正黑体_GBK" w:eastAsia="方正黑体_GBK" w:cs="宋体"/>
                <w:sz w:val="18"/>
                <w:szCs w:val="18"/>
              </w:rPr>
              <w:t xml:space="preserve">  4.管理人可根据市场情况对业绩比较基准进行适当调整，如有调整，将至少于调整前3个工作日公布调整方案。</w:t>
            </w:r>
          </w:p>
          <w:p w14:paraId="56633975">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74C0C7E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264F17B">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050BC569">
            <w:pPr>
              <w:spacing w:line="200" w:lineRule="exact"/>
            </w:pPr>
            <w:r>
              <w:rPr>
                <w:rFonts w:ascii="方正黑体_GBK" w:hAnsi="方正黑体_GBK" w:eastAsia="方正黑体_GBK" w:cs="宋体"/>
                <w:b/>
                <w:sz w:val="18"/>
                <w:szCs w:val="18"/>
              </w:rPr>
              <w:t>认/申购费：本理财产品暂不收取认/申购费。</w:t>
            </w:r>
          </w:p>
          <w:p w14:paraId="113C6E60">
            <w:pPr>
              <w:spacing w:line="200" w:lineRule="exact"/>
            </w:pPr>
            <w:r>
              <w:rPr>
                <w:rFonts w:ascii="方正黑体_GBK" w:hAnsi="方正黑体_GBK" w:eastAsia="方正黑体_GBK" w:cs="宋体"/>
                <w:b/>
                <w:sz w:val="18"/>
                <w:szCs w:val="18"/>
              </w:rPr>
              <w:t>赎回费：本理财产品暂不收取赎回费。</w:t>
            </w:r>
          </w:p>
          <w:p w14:paraId="0A5E755A">
            <w:pPr>
              <w:spacing w:line="200" w:lineRule="exact"/>
            </w:pPr>
            <w:r>
              <w:rPr>
                <w:rFonts w:ascii="方正黑体_GBK" w:hAnsi="方正黑体_GBK" w:eastAsia="方正黑体_GBK" w:cs="宋体"/>
                <w:b/>
                <w:sz w:val="18"/>
                <w:szCs w:val="18"/>
              </w:rPr>
              <w:t>销售费：</w:t>
            </w:r>
          </w:p>
          <w:p w14:paraId="47C3BB19">
            <w:pPr>
              <w:spacing w:line="200" w:lineRule="exact"/>
            </w:pPr>
            <w:r>
              <w:rPr>
                <w:rFonts w:ascii="方正黑体_GBK" w:hAnsi="方正黑体_GBK" w:eastAsia="方正黑体_GBK" w:cs="宋体"/>
                <w:b/>
                <w:sz w:val="18"/>
                <w:szCs w:val="18"/>
              </w:rPr>
              <w:t>本理财产品按前一日理财产品资产净值收取年化0.2%的销售费，按日计提。</w:t>
            </w:r>
          </w:p>
          <w:p w14:paraId="4CB7FF0C">
            <w:pPr>
              <w:spacing w:line="200" w:lineRule="exact"/>
            </w:pPr>
            <w:r>
              <w:rPr>
                <w:rFonts w:ascii="方正黑体_GBK" w:hAnsi="方正黑体_GBK" w:eastAsia="方正黑体_GBK" w:cs="宋体"/>
                <w:b/>
                <w:sz w:val="18"/>
                <w:szCs w:val="18"/>
              </w:rPr>
              <w:t>每日计提的销售费=前一日理财产品资产净值×年化销售费率÷365</w:t>
            </w:r>
          </w:p>
          <w:p w14:paraId="7AE5CA93">
            <w:pPr>
              <w:spacing w:line="200" w:lineRule="exact"/>
            </w:pPr>
            <w:r>
              <w:rPr>
                <w:rFonts w:ascii="方正黑体_GBK" w:hAnsi="方正黑体_GBK" w:eastAsia="方正黑体_GBK" w:cs="宋体"/>
                <w:b/>
                <w:sz w:val="18"/>
                <w:szCs w:val="18"/>
              </w:rPr>
              <w:t>固定管理费：</w:t>
            </w:r>
          </w:p>
          <w:p w14:paraId="1E13BEB5">
            <w:pPr>
              <w:spacing w:line="200" w:lineRule="exact"/>
            </w:pPr>
            <w:r>
              <w:rPr>
                <w:rFonts w:ascii="方正黑体_GBK" w:hAnsi="方正黑体_GBK" w:eastAsia="方正黑体_GBK" w:cs="宋体"/>
                <w:b/>
                <w:sz w:val="18"/>
                <w:szCs w:val="18"/>
              </w:rPr>
              <w:t>本理财产品按前一日理财产品资产净值收取年化0.8%的固定管理费，按日计提。</w:t>
            </w:r>
          </w:p>
          <w:p w14:paraId="3E2F0276">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2A8B6B0B">
            <w:pPr>
              <w:spacing w:line="200" w:lineRule="exact"/>
            </w:pPr>
            <w:r>
              <w:rPr>
                <w:rFonts w:ascii="方正黑体_GBK" w:hAnsi="方正黑体_GBK" w:eastAsia="方正黑体_GBK" w:cs="宋体"/>
                <w:b/>
                <w:sz w:val="18"/>
                <w:szCs w:val="18"/>
              </w:rPr>
              <w:t>托管费：</w:t>
            </w:r>
          </w:p>
          <w:p w14:paraId="38EEF353">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666551EA">
            <w:pPr>
              <w:spacing w:line="200" w:lineRule="exact"/>
            </w:pPr>
            <w:r>
              <w:rPr>
                <w:rFonts w:ascii="方正黑体_GBK" w:hAnsi="方正黑体_GBK" w:eastAsia="方正黑体_GBK" w:cs="宋体"/>
                <w:b/>
                <w:sz w:val="18"/>
                <w:szCs w:val="18"/>
              </w:rPr>
              <w:t>每日计提的托管费=前一日理财产品资产净值×年化托管费率÷365</w:t>
            </w:r>
          </w:p>
          <w:p w14:paraId="03A510DD">
            <w:pPr>
              <w:spacing w:line="200" w:lineRule="exact"/>
            </w:pPr>
            <w:r>
              <w:rPr>
                <w:rFonts w:ascii="方正黑体_GBK" w:hAnsi="方正黑体_GBK" w:eastAsia="方正黑体_GBK" w:cs="宋体"/>
                <w:b/>
                <w:sz w:val="18"/>
                <w:szCs w:val="18"/>
              </w:rPr>
              <w:t>业绩报酬：</w:t>
            </w:r>
          </w:p>
          <w:p w14:paraId="5E5D698F">
            <w:pPr>
              <w:spacing w:line="200" w:lineRule="exact"/>
            </w:pPr>
            <w:r>
              <w:rPr>
                <w:rFonts w:ascii="方正黑体_GBK" w:hAnsi="方正黑体_GBK" w:eastAsia="方正黑体_GBK" w:cs="宋体"/>
                <w:b/>
                <w:sz w:val="18"/>
                <w:szCs w:val="18"/>
              </w:rPr>
              <w:t>A份额：申购/赎回确认日和产品实际到期时，当期产品投资的实际资产组合收益（扣除销售费、固定管理费、托管费等相关费用）超过3.3%（年化，即产品该份额对应的业绩报酬计提基准）时，超过部分管理人将按30%收取业绩报酬。</w:t>
            </w:r>
          </w:p>
          <w:p w14:paraId="53AEB080">
            <w:pPr>
              <w:spacing w:line="200" w:lineRule="exact"/>
            </w:pPr>
            <w:r>
              <w:rPr>
                <w:rFonts w:ascii="方正黑体_GBK" w:hAnsi="方正黑体_GBK" w:eastAsia="方正黑体_GBK" w:cs="宋体"/>
                <w:b/>
                <w:sz w:val="18"/>
                <w:szCs w:val="18"/>
              </w:rPr>
              <w:t>B份额：申购/赎回确认日和产品实际到期时，当期产品投资的实际资产组合收益（扣除销售费、固定管理费、托管费等相关费用）超过3.3%（年化，即产品该份额对应的业绩报酬计提基准）时，超过部分管理人将按30%收取业绩报酬。</w:t>
            </w:r>
          </w:p>
          <w:p w14:paraId="45A5A622">
            <w:pPr>
              <w:spacing w:line="200" w:lineRule="exact"/>
            </w:pPr>
            <w:r>
              <w:rPr>
                <w:rFonts w:ascii="方正黑体_GBK" w:hAnsi="方正黑体_GBK" w:eastAsia="方正黑体_GBK" w:cs="宋体"/>
                <w:b/>
                <w:color w:val="000000"/>
                <w:sz w:val="18"/>
                <w:szCs w:val="18"/>
              </w:rPr>
              <w:t>注：客户份额持有期间净值增长率（r)依据运作起始日前一工作日的产品单位净值、自动赎回日前一工作日的产品单位净值、客户份额实际持有天数折算为年化收益率（1年按365天计算）。计算公式如下：客户份额持有期间净值增长率（r）=（自动赎回日前一工作日的产品单位净值÷运作起始日前一工作日的产品单位净值-1）÷客户份额实际持有天数×365天。</w:t>
            </w:r>
          </w:p>
          <w:p w14:paraId="22CB650A">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tc>
      </w:tr>
      <w:tr w14:paraId="14B4CB6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6BC6DE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73B9665D">
            <w:pPr>
              <w:spacing w:line="200" w:lineRule="exact"/>
              <w:jc w:val="left"/>
            </w:pPr>
            <w:r>
              <w:rPr>
                <w:rFonts w:ascii="方正黑体_GBK" w:hAnsi="方正黑体_GBK" w:eastAsia="方正黑体_GBK" w:cs="宋体"/>
                <w:color w:val="000000"/>
                <w:sz w:val="18"/>
                <w:szCs w:val="18"/>
              </w:rPr>
              <w:t>具体参见本理财产品风险揭示书。</w:t>
            </w:r>
          </w:p>
          <w:p w14:paraId="48A2B49A">
            <w:pPr>
              <w:spacing w:line="200" w:lineRule="exact"/>
              <w:jc w:val="left"/>
            </w:pPr>
            <w:r>
              <w:rPr>
                <w:rFonts w:ascii="方正黑体_GBK" w:hAnsi="方正黑体_GBK" w:eastAsia="方正黑体_GBK"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14:paraId="772448B4">
            <w:pPr>
              <w:spacing w:line="200" w:lineRule="exact"/>
              <w:jc w:val="left"/>
            </w:pPr>
            <w:r>
              <w:rPr>
                <w:rFonts w:ascii="方正黑体_GBK" w:hAnsi="方正黑体_GBK" w:eastAsia="方正黑体_GBK" w:cs="宋体"/>
                <w:color w:val="000000"/>
                <w:sz w:val="18"/>
                <w:szCs w:val="18"/>
              </w:rPr>
              <w:t>一是建仓或进行组合调整时，若投资资产包括债券或基金，可能由于特定债券或基金的流动性相对不足而无法按预期的价格买进（申购）或卖出（赎回）；</w:t>
            </w:r>
          </w:p>
          <w:p w14:paraId="2D2AD0D4">
            <w:pPr>
              <w:spacing w:line="200" w:lineRule="exact"/>
              <w:jc w:val="left"/>
            </w:pPr>
            <w:r>
              <w:rPr>
                <w:rFonts w:ascii="方正黑体_GBK" w:hAnsi="方正黑体_GBK" w:eastAsia="方正黑体_GBK" w:cs="宋体"/>
                <w:color w:val="000000"/>
                <w:sz w:val="18"/>
                <w:szCs w:val="18"/>
              </w:rPr>
              <w:t>二是为应对投资者的赎回，被迫以不适当的价格卖出债券或赎回基金；</w:t>
            </w:r>
          </w:p>
          <w:p w14:paraId="3645825B">
            <w:pPr>
              <w:spacing w:line="200" w:lineRule="exact"/>
              <w:jc w:val="left"/>
            </w:pPr>
            <w:r>
              <w:rPr>
                <w:rFonts w:ascii="方正黑体_GBK" w:hAnsi="方正黑体_GBK" w:eastAsia="方正黑体_GBK" w:cs="宋体"/>
                <w:color w:val="000000"/>
                <w:sz w:val="18"/>
                <w:szCs w:val="18"/>
              </w:rPr>
              <w:t>三是若投资资产包括非标准化债权类资产，可能由于资产缺少流动性而难以变现。</w:t>
            </w:r>
          </w:p>
          <w:p w14:paraId="27ECEDE7">
            <w:pPr>
              <w:spacing w:line="200" w:lineRule="exact"/>
              <w:jc w:val="left"/>
            </w:pPr>
            <w:r>
              <w:rPr>
                <w:rFonts w:ascii="方正黑体_GBK" w:hAnsi="方正黑体_GBK" w:eastAsia="方正黑体_GBK" w:cs="宋体"/>
                <w:color w:val="000000"/>
                <w:sz w:val="18"/>
                <w:szCs w:val="18"/>
              </w:rPr>
              <w:t>以上情形均可能使产品净值受到不利影响。</w:t>
            </w:r>
          </w:p>
        </w:tc>
      </w:tr>
      <w:tr w14:paraId="7767852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F47369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79E924CE">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3FBD83C4">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32AE392A">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63260397">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00E942CF">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13D44965">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5821193F">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5553ECFB">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197F1B6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102DA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7CADBC75">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常熟农村商业银行股份有限公司、厦门银行股份有限公司、齐鲁银行股份有限公司、青海银行股份有限公司、九江银行股份有限公司、湖南银行股份有限公司。管理人有权调整本理财产品的销售机构并进行信息披露。</w:t>
            </w:r>
          </w:p>
          <w:p w14:paraId="43F27F5E">
            <w:pPr>
              <w:spacing w:line="200" w:lineRule="exact"/>
              <w:jc w:val="left"/>
            </w:pPr>
            <w:r>
              <w:rPr>
                <w:rFonts w:ascii="方正黑体_GBK" w:hAnsi="方正黑体_GBK" w:eastAsia="方正黑体_GBK" w:cs="宋体"/>
                <w:sz w:val="18"/>
                <w:szCs w:val="18"/>
              </w:rPr>
              <w:t>销售机构主要职责如下：</w:t>
            </w:r>
          </w:p>
          <w:p w14:paraId="22D8DDF6">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42B0FEBD">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6EDC7E07">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2FB55D76">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78BF2398">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306B69AE">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6AA5F77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11FC7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2FEEDB5E">
            <w:pPr>
              <w:spacing w:line="200" w:lineRule="exact"/>
            </w:pPr>
            <w:r>
              <w:rPr>
                <w:rFonts w:ascii="方正黑体_GBK" w:hAnsi="方正黑体_GBK" w:eastAsia="方正黑体_GBK" w:cs="宋体"/>
                <w:sz w:val="18"/>
                <w:szCs w:val="18"/>
              </w:rPr>
              <w:t>本理财产品托管人为南京银行股份有限公司，主要职责如下：</w:t>
            </w:r>
          </w:p>
          <w:p w14:paraId="4A444B19">
            <w:pPr>
              <w:spacing w:line="200" w:lineRule="exact"/>
            </w:pPr>
            <w:r>
              <w:rPr>
                <w:rFonts w:ascii="方正黑体_GBK" w:hAnsi="方正黑体_GBK" w:eastAsia="方正黑体_GBK" w:cs="宋体"/>
                <w:sz w:val="18"/>
                <w:szCs w:val="18"/>
              </w:rPr>
              <w:t>1.安全保管理财产品财产；</w:t>
            </w:r>
          </w:p>
          <w:p w14:paraId="0D57FCDA">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635E2505">
            <w:pPr>
              <w:spacing w:line="200" w:lineRule="exact"/>
            </w:pPr>
            <w:r>
              <w:rPr>
                <w:rFonts w:ascii="方正黑体_GBK" w:hAnsi="方正黑体_GBK" w:eastAsia="方正黑体_GBK" w:cs="宋体"/>
                <w:sz w:val="18"/>
                <w:szCs w:val="18"/>
              </w:rPr>
              <w:t>3.按照托管协议约定和管理人的投资指令，及时办理清算、交割事宜；</w:t>
            </w:r>
          </w:p>
          <w:p w14:paraId="038D48A7">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65769676">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14FE4311">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1DFF6B29">
            <w:pPr>
              <w:spacing w:line="200" w:lineRule="exact"/>
            </w:pPr>
            <w:r>
              <w:rPr>
                <w:rFonts w:ascii="方正黑体_GBK" w:hAnsi="方正黑体_GBK" w:eastAsia="方正黑体_GBK" w:cs="宋体"/>
                <w:sz w:val="18"/>
                <w:szCs w:val="18"/>
              </w:rPr>
              <w:t>7.理财托管业务活动的记录、账册、报表和其他相关资料保存20年以上；</w:t>
            </w:r>
          </w:p>
          <w:p w14:paraId="2024BFA8">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77754D78">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65E110F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F30D67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5FBA7C12">
            <w:pPr>
              <w:spacing w:line="200" w:lineRule="exact"/>
            </w:pPr>
            <w:r>
              <w:rPr>
                <w:rFonts w:ascii="方正黑体_GBK" w:hAnsi="方正黑体_GBK" w:eastAsia="方正黑体_GBK" w:cs="宋体"/>
                <w:sz w:val="18"/>
                <w:szCs w:val="18"/>
              </w:rPr>
              <w:t>本理财产品合作机构为招商基金管理有限公司、鑫沅资产管理有限公司，上述投资合作机构主要职责对应如下，具体职责以管理人与投资合作机构签署的合同为准。</w:t>
            </w:r>
          </w:p>
          <w:p w14:paraId="6FBA0E9E">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合作机构为从事理财产品受托投资的机构，主要承担根据合同约定进行受托资金的投资管理的职责：招商基金管理有限公司、鑫沅资产管理有限公司。</w:t>
            </w:r>
          </w:p>
          <w:p w14:paraId="07EF9F24">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4B2CF8A5">
            <w:pPr>
              <w:spacing w:line="200" w:lineRule="exact"/>
            </w:pPr>
            <w:r>
              <w:rPr>
                <w:rFonts w:ascii="方正黑体_GBK" w:hAnsi="方正黑体_GBK" w:eastAsia="方正黑体_GBK" w:cs="宋体"/>
                <w:sz w:val="18"/>
                <w:szCs w:val="18"/>
              </w:rPr>
              <w:t>上述投资合作机构简介：</w:t>
            </w:r>
          </w:p>
          <w:p w14:paraId="6A92E1CC">
            <w:pPr>
              <w:spacing w:line="200" w:lineRule="exact"/>
            </w:pPr>
            <w:r>
              <w:rPr>
                <w:rFonts w:ascii="方正黑体_GBK" w:hAnsi="方正黑体_GBK" w:eastAsia="方正黑体_GBK" w:cs="宋体"/>
                <w:sz w:val="18"/>
                <w:szCs w:val="18"/>
              </w:rPr>
              <w:t>招商基金管理有限公司成立于2002年12月27日，注册资本金13.1亿元。</w:t>
            </w:r>
          </w:p>
          <w:p w14:paraId="3147F08E">
            <w:pPr>
              <w:spacing w:line="200" w:lineRule="exact"/>
            </w:pPr>
            <w:r>
              <w:rPr>
                <w:rFonts w:ascii="方正黑体_GBK" w:hAnsi="方正黑体_GBK" w:eastAsia="方正黑体_GBK" w:cs="宋体"/>
                <w:sz w:val="18"/>
                <w:szCs w:val="18"/>
              </w:rPr>
              <w:t>鑫沅资产管理有限公司成立于2014年02月19日，注册资本金15.5亿元。</w:t>
            </w:r>
          </w:p>
        </w:tc>
      </w:tr>
      <w:tr w14:paraId="091AE44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3B2E9B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暂停接受认申购</w:t>
            </w:r>
          </w:p>
        </w:tc>
        <w:tc>
          <w:tcPr>
            <w:tcW w:w="5543" w:type="dxa"/>
            <w:tcBorders>
              <w:top w:val="single" w:color="auto" w:sz="4" w:space="0"/>
              <w:left w:val="nil"/>
              <w:bottom w:val="single" w:color="auto" w:sz="4" w:space="0"/>
              <w:right w:val="single" w:color="auto" w:sz="4" w:space="0"/>
              <w:tl2br w:val="nil"/>
              <w:tr2bl w:val="nil"/>
            </w:tcBorders>
            <w:vAlign w:val="center"/>
          </w:tcPr>
          <w:p w14:paraId="0C7D470C">
            <w:pPr>
              <w:spacing w:line="200" w:lineRule="exact"/>
            </w:pPr>
            <w:r>
              <w:rPr>
                <w:rFonts w:ascii="方正黑体_GBK" w:hAnsi="方正黑体_GBK" w:eastAsia="方正黑体_GBK" w:cs="宋体"/>
                <w:sz w:val="18"/>
                <w:szCs w:val="18"/>
              </w:rPr>
              <w:t>发生下列情形时，管理人可暂停接受投资者认申购申请：</w:t>
            </w:r>
          </w:p>
          <w:p w14:paraId="2825A1C4">
            <w:pPr>
              <w:spacing w:line="200" w:lineRule="exact"/>
            </w:pPr>
            <w:r>
              <w:rPr>
                <w:rFonts w:ascii="方正黑体_GBK" w:hAnsi="方正黑体_GBK" w:eastAsia="方正黑体_GBK" w:cs="宋体"/>
                <w:sz w:val="18"/>
                <w:szCs w:val="18"/>
              </w:rPr>
              <w:t>1.因不可抗力导致理财产品无法正常运作；</w:t>
            </w:r>
          </w:p>
          <w:p w14:paraId="48CBB072">
            <w:pPr>
              <w:spacing w:line="200" w:lineRule="exact"/>
            </w:pPr>
            <w:r>
              <w:rPr>
                <w:rFonts w:ascii="方正黑体_GBK" w:hAnsi="方正黑体_GBK" w:eastAsia="方正黑体_GBK" w:cs="宋体"/>
                <w:sz w:val="18"/>
                <w:szCs w:val="18"/>
              </w:rPr>
              <w:t>2.因监管政策、市场发生重大变化，导致理财产品无法正常运作；</w:t>
            </w:r>
          </w:p>
          <w:p w14:paraId="27CABEB1">
            <w:pPr>
              <w:spacing w:line="200" w:lineRule="exact"/>
            </w:pPr>
            <w:r>
              <w:rPr>
                <w:rFonts w:ascii="方正黑体_GBK" w:hAnsi="方正黑体_GBK" w:eastAsia="方正黑体_GBK" w:cs="宋体"/>
                <w:sz w:val="18"/>
                <w:szCs w:val="18"/>
              </w:rPr>
              <w:t>3.管理人认为需要暂停认申购的其他情形。</w:t>
            </w:r>
          </w:p>
          <w:p w14:paraId="74D71451">
            <w:pPr>
              <w:spacing w:line="200" w:lineRule="exact"/>
            </w:pPr>
            <w:r>
              <w:rPr>
                <w:rFonts w:ascii="方正黑体_GBK" w:hAnsi="方正黑体_GBK" w:eastAsia="方正黑体_GBK" w:cs="宋体"/>
                <w:b/>
                <w:sz w:val="18"/>
                <w:szCs w:val="18"/>
              </w:rPr>
              <w:t>若管理人暂停接受认申购申请，将在3个交易日内告知该理财产品的投资者，并说明运用相关措施的原因、拟采取的应对安排等。在暂停接受认申购申请期间，投资者需重新进行资金安排。</w:t>
            </w:r>
          </w:p>
        </w:tc>
      </w:tr>
      <w:tr w14:paraId="171303A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A7D36D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31F3FBCA">
            <w:pPr>
              <w:spacing w:line="200" w:lineRule="exact"/>
              <w:jc w:val="left"/>
            </w:pPr>
            <w:r>
              <w:rPr>
                <w:rFonts w:ascii="方正黑体_GBK" w:hAnsi="方正黑体_GBK" w:eastAsia="方正黑体_GBK" w:cs="宋体"/>
                <w:color w:val="000000"/>
                <w:sz w:val="18"/>
                <w:szCs w:val="18"/>
              </w:rPr>
              <w:t>1.管理人在本理财产品存续期间每个运作起始日后1个工作日内公布运作起始日前一工作日的产品单位净值；每个自动赎回日后1个工作日公布自动赎回日前一工作日的产品单位净值。</w:t>
            </w:r>
          </w:p>
          <w:p w14:paraId="6C3760FE">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2C00F8E4">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tc>
      </w:tr>
      <w:tr w14:paraId="38E48F8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FE47C0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68CAA067">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664BE540">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4ADA8DD0">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4BFAF365">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7314AD4A">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5BAEFE2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19D69A4D">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47BEACA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45D4169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764AB77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36EBD47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2FC41295">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7FB71CA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31E1225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43A3202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7ED0BD0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3D3626A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3901A7F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545F007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5E0BB53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1919706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4D7352F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3218264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3E79636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1CCB49B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5B7E967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52914E8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5AB6B1A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530D62B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3058305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2504E59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4B72BA3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02FC7B67">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63AF89C7">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南银理财珠联璧合理财管理计划5号开放式公募人民币理财产品</w:t>
      </w:r>
      <w:r>
        <w:rPr>
          <w:rFonts w:hint="eastAsia" w:ascii="方正黑体_GBK" w:hAnsi="方正黑体_GBK" w:eastAsia="方正黑体_GBK"/>
          <w:vanish w:val="0"/>
          <w:color w:val="3D3D3D"/>
          <w:kern w:val="0"/>
          <w:sz w:val="15"/>
          <w:szCs w:val="15"/>
        </w:rPr>
        <w:t>。</w:t>
      </w:r>
    </w:p>
    <w:p w14:paraId="5C01087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3BD4958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66B510E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76A56C5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6B8C0452">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10804A8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28F697A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572B8DE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2C5A0EA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500B65E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5A547D5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759219A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76D1DC4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30693B6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3828C20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7349311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746D9EE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421D4B77">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4F2E4612">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0698B32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7B61F66E">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2CF3472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51CDA43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5A51A0B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10342AA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76E5239D">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246FF179">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4AEB9B25">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1F82675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441DE6FE">
      <w:pPr>
        <w:spacing w:line="200" w:lineRule="exact"/>
        <w:ind w:firstLine="300"/>
        <w:jc w:val="left"/>
      </w:pPr>
      <w:r>
        <w:rPr>
          <w:rFonts w:ascii="方正黑体_GBK" w:hAnsi="方正黑体_GBK" w:eastAsia="方正黑体_GBK" w:cs="宋体"/>
          <w:sz w:val="15"/>
          <w:szCs w:val="20"/>
        </w:rPr>
        <w:t>假设本产品2020年7月3日（周五）至2020年7月9日（下周四，产品单位净值为1.1元每份）开放申购，客户申购1.1万元，则将于2020年7月10日（下周五，运作起始日）确认申购份额1万份（1.1万元/1.1元每份=1万份）。该份额运作满364天后（2020年7月10日+364天=2021年7月9日，且2021年7月9日为工作日），即2021年7月9日（自动赎回日）由系统发起全额自动赎回。假设2021年7月8日本产品单位净值为1.2元每份，则赎回金额为1.2万元（1万份*1.2元每份=1.2万元）。</w:t>
      </w:r>
    </w:p>
    <w:p w14:paraId="0B38ADA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46AE0AF2">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513F4AA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2E49F2E5">
      <w:pPr>
        <w:spacing w:line="200" w:lineRule="exact"/>
        <w:ind w:firstLine="300"/>
        <w:jc w:val="both"/>
      </w:pPr>
      <w:r>
        <w:rPr>
          <w:rFonts w:ascii="方正黑体_GBK" w:hAnsi="方正黑体_GBK" w:eastAsia="方正黑体_GBK" w:cs="宋体"/>
          <w:sz w:val="15"/>
          <w:szCs w:val="20"/>
        </w:rPr>
        <w:t>（一）估值日</w:t>
      </w:r>
    </w:p>
    <w:p w14:paraId="75ACC25F">
      <w:pPr>
        <w:spacing w:line="200" w:lineRule="exact"/>
        <w:ind w:firstLine="300"/>
        <w:jc w:val="both"/>
      </w:pPr>
      <w:r>
        <w:rPr>
          <w:rFonts w:ascii="方正黑体_GBK" w:hAnsi="方正黑体_GBK" w:eastAsia="方正黑体_GBK" w:cs="宋体"/>
          <w:sz w:val="15"/>
          <w:szCs w:val="20"/>
        </w:rPr>
        <w:t>本理财产品每个工作日进行估值。</w:t>
      </w:r>
    </w:p>
    <w:p w14:paraId="6471F467">
      <w:pPr>
        <w:spacing w:line="200" w:lineRule="exact"/>
        <w:ind w:firstLine="300"/>
        <w:jc w:val="both"/>
      </w:pPr>
      <w:r>
        <w:rPr>
          <w:rFonts w:ascii="方正黑体_GBK" w:hAnsi="方正黑体_GBK" w:eastAsia="方正黑体_GBK" w:cs="宋体"/>
          <w:sz w:val="15"/>
          <w:szCs w:val="20"/>
        </w:rPr>
        <w:t>（二）估值对象</w:t>
      </w:r>
    </w:p>
    <w:p w14:paraId="0F44FDEB">
      <w:pPr>
        <w:spacing w:line="200" w:lineRule="exact"/>
        <w:ind w:firstLine="300"/>
        <w:jc w:val="both"/>
      </w:pPr>
      <w:r>
        <w:rPr>
          <w:rFonts w:ascii="方正黑体_GBK" w:hAnsi="方正黑体_GBK" w:eastAsia="方正黑体_GBK" w:cs="宋体"/>
          <w:sz w:val="15"/>
          <w:szCs w:val="20"/>
        </w:rPr>
        <w:t>本理财产品所拥有的所有资产及负债。</w:t>
      </w:r>
    </w:p>
    <w:p w14:paraId="5D1014B6">
      <w:pPr>
        <w:spacing w:line="200" w:lineRule="exact"/>
        <w:ind w:firstLine="300"/>
        <w:jc w:val="both"/>
      </w:pPr>
      <w:r>
        <w:rPr>
          <w:rFonts w:ascii="方正黑体_GBK" w:hAnsi="方正黑体_GBK" w:eastAsia="方正黑体_GBK" w:cs="宋体"/>
          <w:sz w:val="15"/>
          <w:szCs w:val="20"/>
        </w:rPr>
        <w:t>（三）估值目的</w:t>
      </w:r>
    </w:p>
    <w:p w14:paraId="51F719DD">
      <w:pPr>
        <w:spacing w:line="200" w:lineRule="exact"/>
        <w:ind w:firstLine="300"/>
        <w:jc w:val="both"/>
      </w:pPr>
      <w:r>
        <w:rPr>
          <w:rFonts w:ascii="方正黑体_GBK" w:hAnsi="方正黑体_GBK" w:eastAsia="方正黑体_GBK" w:cs="宋体"/>
          <w:sz w:val="15"/>
          <w:szCs w:val="20"/>
        </w:rPr>
        <w:t>客观、准确反映理财产品的价值。</w:t>
      </w:r>
    </w:p>
    <w:p w14:paraId="6DC22AED">
      <w:pPr>
        <w:spacing w:line="200" w:lineRule="exact"/>
        <w:ind w:firstLine="300"/>
        <w:jc w:val="both"/>
      </w:pPr>
      <w:r>
        <w:rPr>
          <w:rFonts w:ascii="方正黑体_GBK" w:hAnsi="方正黑体_GBK" w:eastAsia="方正黑体_GBK" w:cs="宋体"/>
          <w:sz w:val="15"/>
          <w:szCs w:val="20"/>
        </w:rPr>
        <w:t>（四）估值原则</w:t>
      </w:r>
    </w:p>
    <w:p w14:paraId="7409D90F">
      <w:pPr>
        <w:spacing w:line="200" w:lineRule="exact"/>
        <w:ind w:firstLine="300"/>
        <w:jc w:val="both"/>
      </w:pPr>
      <w:r>
        <w:rPr>
          <w:rFonts w:ascii="方正黑体_GBK" w:hAnsi="方正黑体_GBK" w:eastAsia="方正黑体_GBK" w:cs="宋体"/>
          <w:sz w:val="15"/>
          <w:szCs w:val="20"/>
        </w:rPr>
        <w:t>理财产品应坚持公允价值计量原则，符合会计准则和监管规定的范围内的可选择摊余成本法计量。</w:t>
      </w:r>
    </w:p>
    <w:p w14:paraId="5955D488">
      <w:pPr>
        <w:spacing w:line="200" w:lineRule="exact"/>
        <w:ind w:firstLine="300"/>
        <w:jc w:val="both"/>
      </w:pPr>
      <w:r>
        <w:rPr>
          <w:rFonts w:ascii="方正黑体_GBK" w:hAnsi="方正黑体_GBK" w:eastAsia="方正黑体_GBK" w:cs="宋体"/>
          <w:sz w:val="15"/>
          <w:szCs w:val="20"/>
        </w:rPr>
        <w:t>（五）估值方法</w:t>
      </w:r>
    </w:p>
    <w:p w14:paraId="0D27741D">
      <w:pPr>
        <w:spacing w:line="200" w:lineRule="exact"/>
        <w:ind w:firstLine="280"/>
        <w:jc w:val="left"/>
      </w:pPr>
      <w:r>
        <w:rPr>
          <w:rFonts w:ascii="方正黑体_GBK" w:hAnsi="方正黑体_GBK" w:eastAsia="方正黑体_GBK" w:cs="宋体"/>
          <w:sz w:val="15"/>
          <w:szCs w:val="20"/>
        </w:rPr>
        <w:t>估值方法中列示的资产品种不代表管理人的实际投向，本理财产品拟投资范围以“投资范围”章节描述为准。</w:t>
      </w:r>
    </w:p>
    <w:p w14:paraId="343FB107">
      <w:pPr>
        <w:spacing w:line="200" w:lineRule="exact"/>
        <w:ind w:firstLine="280"/>
        <w:jc w:val="left"/>
      </w:pPr>
      <w:r>
        <w:rPr>
          <w:rFonts w:ascii="方正黑体_GBK" w:hAnsi="方正黑体_GBK" w:eastAsia="方正黑体_GBK" w:cs="宋体"/>
          <w:sz w:val="15"/>
          <w:szCs w:val="20"/>
        </w:rPr>
        <w:t>1.银行存款、回购等货币市场工具</w:t>
      </w:r>
    </w:p>
    <w:p w14:paraId="6291D4D3">
      <w:pPr>
        <w:spacing w:line="200" w:lineRule="exact"/>
        <w:ind w:firstLine="280"/>
        <w:jc w:val="left"/>
      </w:pPr>
      <w:r>
        <w:rPr>
          <w:rFonts w:ascii="方正黑体_GBK" w:hAnsi="方正黑体_GBK" w:eastAsia="方正黑体_GBK" w:cs="宋体"/>
          <w:sz w:val="15"/>
          <w:szCs w:val="20"/>
        </w:rPr>
        <w:t>以本金列示，按商定的利率在实际持有期间内逐日计提。</w:t>
      </w:r>
    </w:p>
    <w:p w14:paraId="67AC2BA0">
      <w:pPr>
        <w:spacing w:line="200" w:lineRule="exact"/>
        <w:ind w:firstLine="280"/>
        <w:jc w:val="left"/>
      </w:pPr>
      <w:r>
        <w:rPr>
          <w:rFonts w:ascii="方正黑体_GBK" w:hAnsi="方正黑体_GBK" w:eastAsia="方正黑体_GBK" w:cs="宋体"/>
          <w:color w:val="3D3D3D"/>
          <w:sz w:val="15"/>
          <w:szCs w:val="20"/>
        </w:rPr>
        <w:t>2.债券类资产</w:t>
      </w:r>
    </w:p>
    <w:p w14:paraId="2FDECABB">
      <w:pPr>
        <w:spacing w:line="200" w:lineRule="exact"/>
        <w:ind w:firstLine="280"/>
        <w:jc w:val="left"/>
      </w:pPr>
      <w:r>
        <w:rPr>
          <w:rFonts w:ascii="方正黑体_GBK" w:hAnsi="方正黑体_GBK" w:eastAsia="方正黑体_GBK" w:cs="宋体"/>
          <w:color w:val="3D3D3D"/>
          <w:sz w:val="15"/>
          <w:szCs w:val="20"/>
        </w:rPr>
        <w:t>本理财产品所投债券均在全国银行间债券市场或证券交易所市场交易，按照第三方估值机构提供的相应品种当日的估值净价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流难以确认等客观原因，导致第三方估值机构提供的估值数据无法反映其公允价值的，经管理人和托管人协商一致后，可采用其他合理的估值技术对其进行估值。对于符合企业会计准则及监管规定范围内的，分类为“以摊余成本计量的金融资产”的资产按摊余成本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14:paraId="74F68D41">
      <w:pPr>
        <w:spacing w:line="200" w:lineRule="exact"/>
        <w:ind w:firstLine="280"/>
        <w:jc w:val="left"/>
      </w:pPr>
      <w:r>
        <w:rPr>
          <w:rFonts w:ascii="方正黑体_GBK" w:hAnsi="方正黑体_GBK" w:eastAsia="方正黑体_GBK" w:cs="宋体"/>
          <w:color w:val="3D3D3D"/>
          <w:sz w:val="15"/>
          <w:szCs w:val="20"/>
        </w:rPr>
        <w:t>3.非标准化债权类资产</w:t>
      </w:r>
    </w:p>
    <w:p w14:paraId="5C778616">
      <w:pPr>
        <w:spacing w:line="200" w:lineRule="exact"/>
        <w:ind w:firstLine="280"/>
        <w:jc w:val="left"/>
      </w:pPr>
      <w:r>
        <w:rPr>
          <w:rFonts w:ascii="方正黑体_GBK" w:hAnsi="方正黑体_GBK" w:eastAsia="方正黑体_GBK" w:cs="宋体"/>
          <w:color w:val="3D3D3D"/>
          <w:sz w:val="15"/>
          <w:szCs w:val="20"/>
        </w:rPr>
        <w:t>非标准化债权类资产包括股票质押式回购、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计准则及监管规定范围内的，分类为“以摊余成本计量的金融资产”的资产按摊余成本法估值，并按照会计准则采用合理减值计量模型或第三方减值计量结果进行预期信用损失的减值计提。</w:t>
      </w:r>
    </w:p>
    <w:p w14:paraId="454CBC85">
      <w:pPr>
        <w:spacing w:line="200" w:lineRule="exact"/>
        <w:ind w:firstLine="280"/>
        <w:jc w:val="left"/>
      </w:pPr>
      <w:r>
        <w:rPr>
          <w:rFonts w:ascii="方正黑体_GBK" w:hAnsi="方正黑体_GBK" w:eastAsia="方正黑体_GBK" w:cs="宋体"/>
          <w:color w:val="3D3D3D"/>
          <w:sz w:val="15"/>
          <w:szCs w:val="20"/>
        </w:rPr>
        <w:t>4.证券投资基金</w:t>
      </w:r>
    </w:p>
    <w:p w14:paraId="7DBB3850">
      <w:pPr>
        <w:spacing w:line="200" w:lineRule="exact"/>
        <w:ind w:firstLine="280"/>
        <w:jc w:val="left"/>
      </w:pPr>
      <w:r>
        <w:rPr>
          <w:rFonts w:ascii="方正黑体_GBK" w:hAnsi="方正黑体_GBK" w:eastAsia="方正黑体_GBK" w:cs="宋体"/>
          <w:color w:val="3D3D3D"/>
          <w:sz w:val="15"/>
          <w:szCs w:val="20"/>
        </w:rPr>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14:paraId="03D173E0">
      <w:pPr>
        <w:spacing w:line="200" w:lineRule="exact"/>
        <w:ind w:firstLine="280"/>
        <w:jc w:val="left"/>
      </w:pPr>
      <w:r>
        <w:rPr>
          <w:rFonts w:ascii="方正黑体_GBK" w:hAnsi="方正黑体_GBK" w:eastAsia="方正黑体_GBK" w:cs="宋体"/>
          <w:color w:val="3D3D3D"/>
          <w:sz w:val="15"/>
          <w:szCs w:val="20"/>
        </w:rPr>
        <w:t>5.股权类资产</w:t>
      </w:r>
    </w:p>
    <w:p w14:paraId="302DC72F">
      <w:pPr>
        <w:spacing w:line="200" w:lineRule="exact"/>
        <w:ind w:firstLine="280"/>
        <w:jc w:val="left"/>
      </w:pPr>
      <w:r>
        <w:rPr>
          <w:rFonts w:ascii="方正黑体_GBK" w:hAnsi="方正黑体_GBK" w:eastAsia="方正黑体_GBK" w:cs="宋体"/>
          <w:color w:val="3D3D3D"/>
          <w:sz w:val="15"/>
          <w:szCs w:val="20"/>
        </w:rPr>
        <w:t>上市流通股票按估值日其所在证券交易所的收盘价估值；估值日无交易，且最近交易日后未发生影响公允价值计量的重大事件的，以最近交易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或采用估值技术确定估值，也可采用被委托机构提供的估值或计量报告。</w:t>
      </w:r>
    </w:p>
    <w:p w14:paraId="4F14BEF9">
      <w:pPr>
        <w:spacing w:line="200" w:lineRule="exact"/>
        <w:ind w:firstLine="280"/>
        <w:jc w:val="left"/>
      </w:pPr>
      <w:r>
        <w:rPr>
          <w:rFonts w:ascii="方正黑体_GBK" w:hAnsi="方正黑体_GBK" w:eastAsia="方正黑体_GBK" w:cs="宋体"/>
          <w:color w:val="3D3D3D"/>
          <w:sz w:val="15"/>
          <w:szCs w:val="20"/>
        </w:rPr>
        <w:t>6.资管计划、信托计划等资产</w:t>
      </w:r>
    </w:p>
    <w:p w14:paraId="45BB2D1E">
      <w:pPr>
        <w:spacing w:line="200" w:lineRule="exact"/>
        <w:ind w:firstLine="280"/>
        <w:jc w:val="left"/>
      </w:pPr>
      <w:r>
        <w:rPr>
          <w:rFonts w:ascii="方正黑体_GBK" w:hAnsi="方正黑体_GBK" w:eastAsia="方正黑体_GBK" w:cs="宋体"/>
          <w:color w:val="3D3D3D"/>
          <w:sz w:val="15"/>
          <w:szCs w:val="20"/>
        </w:rPr>
        <w:t>存在公允价值的，按照公允价值估值，或采用估值技术确定估值，也可采用被委托机构提供的估值或计量报告。</w:t>
      </w:r>
    </w:p>
    <w:p w14:paraId="18675AC9">
      <w:pPr>
        <w:spacing w:line="200" w:lineRule="exact"/>
        <w:ind w:firstLine="280"/>
        <w:jc w:val="left"/>
      </w:pPr>
      <w:r>
        <w:rPr>
          <w:rFonts w:ascii="方正黑体_GBK" w:hAnsi="方正黑体_GBK" w:eastAsia="方正黑体_GBK" w:cs="宋体"/>
          <w:color w:val="3D3D3D"/>
          <w:sz w:val="15"/>
          <w:szCs w:val="20"/>
        </w:rPr>
        <w:t>7.其他资产</w:t>
      </w:r>
    </w:p>
    <w:p w14:paraId="73AB4084">
      <w:pPr>
        <w:spacing w:line="200" w:lineRule="exact"/>
        <w:ind w:firstLine="280"/>
        <w:jc w:val="left"/>
      </w:pPr>
      <w:r>
        <w:rPr>
          <w:rFonts w:ascii="方正黑体_GBK" w:hAnsi="方正黑体_GBK" w:eastAsia="方正黑体_GBK" w:cs="宋体"/>
          <w:color w:val="3D3D3D"/>
          <w:sz w:val="15"/>
          <w:szCs w:val="20"/>
        </w:rPr>
        <w:t>存在公允价值的，按照公允价值估值，或采用估值技术确定估值，也可采用被委托机构提供的估值或计量报告。具体可参考《企业会计准则》以及相关监管政策的规定。</w:t>
      </w:r>
    </w:p>
    <w:p w14:paraId="0049FE9B">
      <w:pPr>
        <w:spacing w:line="200" w:lineRule="exact"/>
        <w:ind w:firstLine="280"/>
        <w:jc w:val="left"/>
      </w:pPr>
      <w:r>
        <w:rPr>
          <w:rFonts w:ascii="方正黑体_GBK" w:hAnsi="方正黑体_GBK" w:eastAsia="方正黑体_GBK" w:cs="宋体"/>
          <w:color w:val="3D3D3D"/>
          <w:sz w:val="15"/>
          <w:szCs w:val="20"/>
        </w:rPr>
        <w:t>8.如果管理人或托管人认为按以上规定的方法对产品资产进行估值不能客观反映其公允价值的，可提出异议，管理人和托管人协商一致后，变更公允价值的确定方式，并从经管理人与托管人协商一致日起执行。</w:t>
      </w:r>
    </w:p>
    <w:p w14:paraId="2D4F8DB6">
      <w:pPr>
        <w:spacing w:line="200" w:lineRule="exact"/>
        <w:ind w:firstLine="280"/>
        <w:jc w:val="left"/>
      </w:pPr>
      <w:r>
        <w:rPr>
          <w:rFonts w:ascii="方正黑体_GBK" w:hAnsi="方正黑体_GBK" w:eastAsia="方正黑体_GBK" w:cs="宋体"/>
          <w:color w:val="3D3D3D"/>
          <w:sz w:val="15"/>
          <w:szCs w:val="20"/>
        </w:rPr>
        <w:t>9.如有新增事项或变更事项，按国家最新规定或管理人最新的约定估值。</w:t>
      </w:r>
    </w:p>
    <w:p w14:paraId="1EF09A04">
      <w:pPr>
        <w:spacing w:line="200" w:lineRule="exact"/>
        <w:ind w:firstLine="280"/>
        <w:jc w:val="left"/>
      </w:pPr>
      <w:r>
        <w:rPr>
          <w:rFonts w:ascii="方正黑体_GBK" w:hAnsi="方正黑体_GBK" w:eastAsia="方正黑体_GBK" w:cs="宋体"/>
          <w:sz w:val="15"/>
          <w:szCs w:val="20"/>
        </w:rPr>
        <w:t>开放式理财产品在前一估值日内，产品资产净值50%以上的资产不具备活跃交易市场或者在活跃市场中无报价，且不能采用估值技术可靠计量公允价值的，管理人将暂停该产品估值，并采取延缓支付赎回款项或暂停接受理财产品认购、申购、赎回申请等措施。管理人将在采取上述一种或多种措施后3个交易日内告知投资者，并说明运用相关措施的原因、拟采取的应对安排等，投资者需重新进行资金安排。</w:t>
      </w:r>
    </w:p>
    <w:p w14:paraId="7BFC8792">
      <w:pPr>
        <w:spacing w:line="200" w:lineRule="exact"/>
        <w:ind w:firstLine="300"/>
        <w:jc w:val="both"/>
      </w:pPr>
      <w:r>
        <w:rPr>
          <w:rFonts w:ascii="方正黑体_GBK" w:hAnsi="方正黑体_GBK" w:eastAsia="方正黑体_GBK" w:cs="宋体"/>
          <w:sz w:val="15"/>
          <w:szCs w:val="20"/>
        </w:rPr>
        <w:t>（六）估值错误及暂停估值</w:t>
      </w:r>
    </w:p>
    <w:p w14:paraId="7501FEFC">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暂停估值。</w:t>
      </w:r>
    </w:p>
    <w:p w14:paraId="209E43B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78831D75">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1C4AF685">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南京银行官网（www.njcb.com.cn）、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13F8957E">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30C8303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3DC8D0E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按日</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7B00901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06EA4B3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6D331A2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4A82CF3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500C524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203A1A9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136BED3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62DBB61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58C4054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256859C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75A1C80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7A5AEF9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44FE42D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4BC35DF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1154E6C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77087EA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42A4B26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07A8DC5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3A0A0586">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486D705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3EDCF7D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7D627C4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2E771F10">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0AE56CE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06625506">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099264E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0C7882C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23F865C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05DE746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3EB64CB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72C083C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50B8A756">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开放式、固定收益类、公募、净值型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B71172">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008E1C4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5e4f1f53"/>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b3adf12b"/>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b1cb691a"/>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1eb79047"/>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a065a2f6"/>
    <w:qFormat/>
    <w:uiPriority w:val="0"/>
  </w:style>
  <w:style w:type="paragraph" w:customStyle="1" w:styleId="20">
    <w:name w:val="toc 1700858f1"/>
    <w:basedOn w:val="15"/>
    <w:next w:val="1"/>
    <w:autoRedefine/>
    <w:qFormat/>
    <w:uiPriority w:val="0"/>
  </w:style>
  <w:style w:type="paragraph" w:customStyle="1" w:styleId="21">
    <w:name w:val="toc 2f8a3d13a"/>
    <w:basedOn w:val="15"/>
    <w:next w:val="1"/>
    <w:autoRedefine/>
    <w:qFormat/>
    <w:uiPriority w:val="0"/>
    <w:pPr>
      <w:ind w:left="420"/>
    </w:pPr>
  </w:style>
  <w:style w:type="paragraph" w:customStyle="1" w:styleId="22">
    <w:name w:val="toc 3465c3477"/>
    <w:basedOn w:val="15"/>
    <w:next w:val="1"/>
    <w:autoRedefine/>
    <w:qFormat/>
    <w:uiPriority w:val="0"/>
    <w:pPr>
      <w:ind w:left="840"/>
    </w:pPr>
  </w:style>
  <w:style w:type="paragraph" w:customStyle="1" w:styleId="23">
    <w:name w:val="toc 48e1e1bca"/>
    <w:basedOn w:val="15"/>
    <w:next w:val="1"/>
    <w:autoRedefine/>
    <w:qFormat/>
    <w:uiPriority w:val="0"/>
    <w:pPr>
      <w:ind w:left="1260"/>
    </w:pPr>
  </w:style>
  <w:style w:type="paragraph" w:customStyle="1" w:styleId="24">
    <w:name w:val="toc 553fa6143"/>
    <w:basedOn w:val="15"/>
    <w:next w:val="1"/>
    <w:autoRedefine/>
    <w:qFormat/>
    <w:uiPriority w:val="0"/>
    <w:pPr>
      <w:ind w:left="1680"/>
    </w:pPr>
  </w:style>
  <w:style w:type="paragraph" w:customStyle="1" w:styleId="25">
    <w:name w:val="header589bebb1"/>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c3843367"/>
    <w:basedOn w:val="15"/>
    <w:qFormat/>
    <w:uiPriority w:val="0"/>
    <w:pPr>
      <w:tabs>
        <w:tab w:val="center" w:pos="4153"/>
        <w:tab w:val="right" w:pos="8307"/>
      </w:tabs>
      <w:adjustRightInd/>
      <w:snapToGrid w:val="0"/>
      <w:contextualSpacing w:val="0"/>
      <w:jc w:val="left"/>
    </w:pPr>
    <w:rPr>
      <w:sz w:val="18"/>
    </w:rPr>
  </w:style>
  <w:style w:type="character" w:customStyle="1" w:styleId="27">
    <w:name w:val="Stronge3b56015"/>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db6c80cc"/>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aa7496b8"/>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7ce750d7"/>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b767aae2"/>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89dd921a"/>
    <w:qFormat/>
    <w:uiPriority w:val="0"/>
  </w:style>
  <w:style w:type="paragraph" w:customStyle="1" w:styleId="34">
    <w:name w:val="Normal Indentdda5e556"/>
    <w:basedOn w:val="29"/>
    <w:qFormat/>
    <w:uiPriority w:val="0"/>
    <w:pPr>
      <w:ind w:firstLine="200" w:firstLineChars="200"/>
    </w:pPr>
  </w:style>
  <w:style w:type="paragraph" w:customStyle="1" w:styleId="35">
    <w:name w:val="toc 538ae77e8"/>
    <w:basedOn w:val="29"/>
    <w:next w:val="1"/>
    <w:qFormat/>
    <w:uiPriority w:val="0"/>
    <w:pPr>
      <w:ind w:left="1680"/>
    </w:pPr>
  </w:style>
  <w:style w:type="paragraph" w:customStyle="1" w:styleId="36">
    <w:name w:val="toc 31752e68b"/>
    <w:basedOn w:val="29"/>
    <w:next w:val="1"/>
    <w:qFormat/>
    <w:uiPriority w:val="0"/>
    <w:pPr>
      <w:ind w:left="840"/>
    </w:pPr>
  </w:style>
  <w:style w:type="paragraph" w:customStyle="1" w:styleId="37">
    <w:name w:val="footer38f8e559"/>
    <w:basedOn w:val="29"/>
    <w:qFormat/>
    <w:uiPriority w:val="0"/>
    <w:pPr>
      <w:tabs>
        <w:tab w:val="center" w:pos="4153"/>
        <w:tab w:val="right" w:pos="8307"/>
      </w:tabs>
      <w:adjustRightInd/>
      <w:snapToGrid w:val="0"/>
      <w:contextualSpacing w:val="0"/>
      <w:jc w:val="left"/>
    </w:pPr>
    <w:rPr>
      <w:sz w:val="18"/>
    </w:rPr>
  </w:style>
  <w:style w:type="paragraph" w:customStyle="1" w:styleId="38">
    <w:name w:val="header3f1c55ff"/>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bc4b7a20"/>
    <w:basedOn w:val="29"/>
    <w:next w:val="1"/>
    <w:qFormat/>
    <w:uiPriority w:val="0"/>
  </w:style>
  <w:style w:type="paragraph" w:customStyle="1" w:styleId="40">
    <w:name w:val="toc 48078760b"/>
    <w:basedOn w:val="29"/>
    <w:next w:val="1"/>
    <w:qFormat/>
    <w:uiPriority w:val="0"/>
    <w:pPr>
      <w:ind w:left="1260"/>
    </w:pPr>
  </w:style>
  <w:style w:type="paragraph" w:customStyle="1" w:styleId="41">
    <w:name w:val="toc 2891756a1"/>
    <w:basedOn w:val="29"/>
    <w:next w:val="1"/>
    <w:qFormat/>
    <w:uiPriority w:val="0"/>
    <w:pPr>
      <w:ind w:left="420"/>
    </w:pPr>
  </w:style>
  <w:style w:type="paragraph" w:customStyle="1" w:styleId="42">
    <w:name w:val="Normal (Web)f9ebea72"/>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38ae566438ae5664"/>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f5c40dbbf5c40dbb"/>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2bd503952bd50395"/>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038b1a2c038b1a2c"/>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6924cd716924cd71"/>
    <w:qFormat/>
    <w:uiPriority w:val="0"/>
  </w:style>
  <w:style w:type="paragraph" w:customStyle="1" w:styleId="49">
    <w:name w:val="引文目录1e3763f53e3763f53"/>
    <w:basedOn w:val="44"/>
    <w:next w:val="1"/>
    <w:qFormat/>
    <w:uiPriority w:val="0"/>
    <w:pPr>
      <w:ind w:left="200" w:leftChars="200"/>
    </w:pPr>
  </w:style>
  <w:style w:type="paragraph" w:customStyle="1" w:styleId="50">
    <w:name w:val="toc 55cc6897f5cc6897f"/>
    <w:basedOn w:val="44"/>
    <w:next w:val="1"/>
    <w:qFormat/>
    <w:uiPriority w:val="0"/>
    <w:pPr>
      <w:ind w:left="1680"/>
    </w:pPr>
  </w:style>
  <w:style w:type="paragraph" w:customStyle="1" w:styleId="51">
    <w:name w:val="toc 3ec8201b5ec8201b5"/>
    <w:basedOn w:val="44"/>
    <w:next w:val="1"/>
    <w:qFormat/>
    <w:uiPriority w:val="0"/>
    <w:pPr>
      <w:ind w:left="840"/>
    </w:pPr>
  </w:style>
  <w:style w:type="paragraph" w:customStyle="1" w:styleId="52">
    <w:name w:val="footer2e291d332e291d33"/>
    <w:basedOn w:val="44"/>
    <w:qFormat/>
    <w:uiPriority w:val="0"/>
    <w:pPr>
      <w:tabs>
        <w:tab w:val="center" w:pos="4153"/>
        <w:tab w:val="right" w:pos="8307"/>
      </w:tabs>
      <w:adjustRightInd/>
      <w:snapToGrid w:val="0"/>
      <w:contextualSpacing w:val="0"/>
      <w:jc w:val="left"/>
    </w:pPr>
    <w:rPr>
      <w:sz w:val="18"/>
    </w:rPr>
  </w:style>
  <w:style w:type="paragraph" w:customStyle="1" w:styleId="53">
    <w:name w:val="headerb89d7b2cb89d7b2c"/>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025a08d4025a08d4"/>
    <w:basedOn w:val="44"/>
    <w:next w:val="1"/>
    <w:qFormat/>
    <w:uiPriority w:val="0"/>
  </w:style>
  <w:style w:type="paragraph" w:customStyle="1" w:styleId="55">
    <w:name w:val="toc 44233b06a4233b06a"/>
    <w:basedOn w:val="44"/>
    <w:next w:val="1"/>
    <w:qFormat/>
    <w:uiPriority w:val="0"/>
    <w:pPr>
      <w:ind w:left="1260"/>
    </w:pPr>
  </w:style>
  <w:style w:type="paragraph" w:customStyle="1" w:styleId="56">
    <w:name w:val="toc 23fa6083d3fa6083d"/>
    <w:basedOn w:val="44"/>
    <w:next w:val="1"/>
    <w:qFormat/>
    <w:uiPriority w:val="0"/>
    <w:pPr>
      <w:ind w:left="420"/>
    </w:pPr>
  </w:style>
  <w:style w:type="paragraph" w:customStyle="1" w:styleId="57">
    <w:name w:val="列出段落155bb520a55bb520a"/>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8</Pages>
  <Words>18880</Words>
  <Characters>19289</Characters>
  <Lines>81</Lines>
  <Paragraphs>27</Paragraphs>
  <TotalTime>9</TotalTime>
  <ScaleCrop>false</ScaleCrop>
  <LinksUpToDate>false</LinksUpToDate>
  <CharactersWithSpaces>19430</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2025-08-01T08:11:46Z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