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定期开放式、固定收益类、公募、净值型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d8f0af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d8f0af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类型：定期开放式、固定收益类、公募、净值型。</w:t>
      </w:r>
    </w:p>
    <w:p>
      <w:pPr>
        <w:pStyle w:val="d8f0af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d8f0af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d8f0af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d8f0af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d8f0af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d8f0af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d8f0af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d8f0af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d8f0afb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7e9730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7e9730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3f77df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南银理财鼎瑞安稳一年定开2025第17期公募人民币理财产品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ZZ700322500297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Z7003225000271(投资者可依据该编码在中国理财网www.chinawealth.com.cn查询理财产品相关信息）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A份额：Z30027</w:t>
            </w:r>
          </w:p>
          <w:p>
            <w:pPr>
              <w:pStyle w:val="null10"/>
              <w:spacing w:lineRule="exact" w:line="200"/>
            </w:pPr>
            <w:r>
              <w:rPr>
                <w:rFonts w:ascii="方正黑体_GBK" w:hAnsi="方正黑体_GBK" w:cs="宋体" w:eastAsia="方正黑体_GBK"/>
                <w:sz w:val="18"/>
                <w:szCs w:val="18"/>
              </w:rPr>
              <w:t>B份额：ZB30027</w:t>
            </w:r>
          </w:p>
          <w:p>
            <w:pPr>
              <w:pStyle w:val="null10"/>
              <w:spacing w:lineRule="exact" w:line="200"/>
            </w:pPr>
            <w:r>
              <w:rPr>
                <w:rFonts w:ascii="方正黑体_GBK" w:hAnsi="方正黑体_GBK" w:cs="宋体" w:eastAsia="方正黑体_GBK"/>
                <w:sz w:val="18"/>
                <w:b/>
                <w:szCs w:val="18"/>
              </w:rPr>
              <w:t>注：本产品不同份额针对不同的销售机构及客群进行销售，具体客群划分标准以销售机构为准。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sz w:val="18"/>
                <w:szCs w:val="18"/>
              </w:rPr>
              <w:t>10年</w:t>
            </w:r>
            <w:r>
              <w:rPr>
                <w:rFonts w:ascii="方正黑体_GBK" w:cs="宋体" w:hint="eastAsia" w:hAnsi="方正黑体_GBK" w:eastAsia="方正黑体_GBK"/>
                <w:kern w:val="0"/>
                <w:lang w:val="en-US" w:eastAsia="zh-CN"/>
                <w:sz w:val="18"/>
                <w:szCs w:val="18"/>
              </w:rPr>
              <w:t>（管理人有权提前终止或延期终止）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九江银行股份有限公司、齐鲁银行股份有限公司、贵阳银行股份有限公司、天津农村商业银行股份有限公司、云南红塔银行股份有限公司、中原银行股份有限公司、桂林银行股份有限公司、石嘴山银行股份有限公司、江苏苏商银行股份有限公司、河北银行股份有限公司、秦皇岛银行股份有限公司、甘肃银行股份有限公司、江苏江阴农村商业银行股份有限公司客户。</w:t>
            </w:r>
          </w:p>
          <w:p>
            <w:pPr>
              <w:pStyle w:val="null10"/>
              <w:spacing w:lineRule="exact" w:line="200"/>
            </w:pPr>
            <w:r>
              <w:rPr>
                <w:rFonts w:ascii="方正黑体_GBK" w:hAnsi="方正黑体_GBK" w:cs="宋体" w:eastAsia="方正黑体_GBK"/>
                <w:sz w:val="18"/>
                <w:szCs w:val="18"/>
              </w:rPr>
              <w:t>B份额：无锡农村商业银行股份有限公司客户。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2025年08月07日 09:00—2025年08月13日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2025年08月14日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2025年08月14日—实际到期日（若本理财产品未被提前终止或延期终止，则实际到期日即为名义到期日，存续期限10年；若本理财产品被提前终止或延期终止，则实际到期日为提前终止日或延期终止日。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cs="宋体" w:eastAsia="方正黑体_GBK"/>
                <w:sz w:val="18"/>
                <w:b/>
                <w:szCs w:val="18"/>
              </w:rPr>
              <w:t>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2035年12月28日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bookmarkStart w:id="0" w:name="_GoBack"/>
            <w:bookmarkEnd w:id="0"/>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本理财产品存续期内按年开放赎回，如遇节假日调整，赎回开放日和赎回确认日以公告为准，投资者可提交赎回申请，系统不自动赎回。产品终止时，产品将对所有份额进行强制赎回。</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申购/赎回时间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申购时间：申购开放期首日9：00-申购开放期末日17：00。</w:t>
            </w:r>
          </w:p>
          <w:p>
            <w:pPr>
              <w:pStyle w:val="null10"/>
              <w:spacing w:lineRule="exact" w:line="200"/>
              <w:jc w:val="left"/>
            </w:pPr>
            <w:r>
              <w:rPr>
                <w:rFonts w:ascii="方正黑体_GBK" w:hAnsi="方正黑体_GBK" w:cs="宋体" w:eastAsia="方正黑体_GBK"/>
                <w:sz w:val="18"/>
                <w:szCs w:val="18"/>
              </w:rPr>
              <w:t>赎回时间：赎回开放期首日9：00-赎回开放期末日17：00。</w:t>
            </w:r>
          </w:p>
          <w:p>
            <w:pPr>
              <w:pStyle w:val="null10"/>
              <w:spacing w:lineRule="exact" w:line="200"/>
              <w:jc w:val="left"/>
            </w:pPr>
            <w:r>
              <w:rPr>
                <w:rFonts w:ascii="方正黑体_GBK" w:hAnsi="方正黑体_GBK" w:cs="宋体" w:eastAsia="方正黑体_GBK"/>
                <w:sz w:val="18"/>
                <w:szCs w:val="18"/>
              </w:rPr>
              <w:t>申购/赎回开放日和确认日另行公告。</w:t>
            </w:r>
          </w:p>
          <w:p>
            <w:pPr>
              <w:pStyle w:val="null10"/>
              <w:spacing w:lineRule="exact" w:line="200"/>
            </w:pPr>
            <w:r>
              <w:rPr>
                <w:rFonts w:ascii="方正黑体_GBK" w:hAnsi="方正黑体_GBK" w:cs="宋体" w:eastAsia="方正黑体_GBK"/>
                <w:sz w:val="18"/>
                <w:szCs w:val="18"/>
              </w:rPr>
              <w:t>在销售机构支持的前提下，申购/赎回开放期末日17:00前可以撤销申购/赎回申请。</w:t>
            </w:r>
          </w:p>
          <w:p>
            <w:pPr>
              <w:pStyle w:val="null10"/>
              <w:spacing w:lineRule="exact" w:line="200"/>
            </w:pPr>
            <w:r>
              <w:rPr>
                <w:rFonts w:ascii="方正黑体_GBK" w:hAnsi="方正黑体_GBK" w:cs="宋体" w:eastAsia="方正黑体_GBK"/>
                <w:sz w:val="18"/>
                <w:szCs w:val="18"/>
              </w:rPr>
              <w:t>代销机构可根据其销售需要在管理人设定的申购/赎回时间范围内对申购/赎回时间进行重新设定，投资者通过代销机构购买本理财产品的，以该代销机构最终披露的时间为准。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(8)信托贷款：资产类型为信托公司设立的资金信托计划，底层资产为抖音及信托公司双重审核、信托公司自主风控后发放的“放心借”贷款资产，资产到期日不超过理财产品最近一次开放日。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(16)信托贷款：资产类型为信托公司设立的资金信托计划，底层资产为度小满及信托公司双重审核、信托公司自主风控后发放的“满易贷”个人消费贷款债权，资产到期日不超过理财产品最近一次开放日。</w:t>
            </w:r>
          </w:p>
          <w:p>
            <w:pPr>
              <w:pStyle w:val="null10"/>
              <w:spacing w:lineRule="exact" w:line="200"/>
            </w:pPr>
            <w:r>
              <w:rPr>
                <w:rFonts w:ascii="方正黑体_GBK" w:hAnsi="方正黑体_GBK" w:cs="宋体" w:eastAsia="方正黑体_GBK"/>
                <w:sz w:val="18"/>
                <w:b/>
                <w:szCs w:val="18"/>
              </w:rPr>
              <w:t>以上资产剩余期限均不超过产品期限。</w:t>
            </w:r>
            <w:r>
              <w:rPr>
                <w:rFonts w:ascii="方正黑体_GBK" w:hAnsi="方正黑体_GBK" w:eastAsia="方正黑体_GBK"/>
              </w:rPr>
              <w:br/>
            </w:r>
            <w:r>
              <w:rPr>
                <w:rFonts w:ascii="方正黑体_GBK" w:hAnsi="方正黑体_GBK" w:cs="宋体" w:eastAsia="方正黑体_GBK"/>
                <w:sz w:val="18"/>
                <w:b/>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A份额：业绩比较基准为年化2.7%-3% 。</w:t>
            </w:r>
          </w:p>
          <w:p>
            <w:pPr>
              <w:pStyle w:val="null10"/>
              <w:spacing w:lineRule="exact" w:line="200"/>
            </w:pPr>
            <w:r>
              <w:rPr>
                <w:rFonts w:ascii="方正黑体_GBK" w:hAnsi="方正黑体_GBK" w:cs="宋体" w:eastAsia="方正黑体_GBK"/>
                <w:sz w:val="18"/>
                <w:szCs w:val="18"/>
              </w:rPr>
              <w:t>B份额：业绩比较基准为年化2.7%-3% 。</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本理财产品按前一日理财产品资产净值收取年化0.15%的固定管理费，按日计提。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秦皇岛银行股份有限公司、齐鲁银行股份有限公司、贵阳银行股份有限公司、云南红塔银行股份有限公司、中原银行股份有限公司、九江银行股份有限公司、天津农村商业银行股份有限公司、桂林银行股份有限公司、无锡农村商业银行股份有限公司、石嘴山银行股份有限公司、江苏苏商银行股份有限公司、江苏江阴农村商业银行股份有限公司、河北银行股份有限公司、甘肃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pStyle w:val="null10"/>
              <w:spacing w:lineRule="exact" w:line="200"/>
              <w:jc w:val="left"/>
            </w:pPr>
            <w:r>
              <w:rPr>
                <w:rFonts w:ascii="方正黑体_GBK" w:hAnsi="方正黑体_GBK" w:cs="宋体" w:eastAsia="方正黑体_GBK"/>
                <w:sz w:val="18"/>
                <w:color w:val="000000"/>
                <w:szCs w:val="18"/>
              </w:rPr>
              <w:t>1.接受全额赎回：当管理人认为有能力兑付投资者的全部赎回申请时，将在赎回确认日按正常赎回程序执行；</w:t>
            </w:r>
          </w:p>
          <w:p>
            <w:pPr>
              <w:pStyle w:val="null10"/>
              <w:spacing w:lineRule="exact" w:line="200"/>
              <w:jc w:val="left"/>
            </w:pPr>
            <w:r>
              <w:rPr>
                <w:rFonts w:ascii="方正黑体_GBK" w:hAnsi="方正黑体_GBK" w:cs="宋体" w:eastAsia="方正黑体_GBK"/>
                <w:sz w:val="18"/>
                <w:color w:val="000000"/>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pStyle w:val="null10"/>
              <w:spacing w:lineRule="exact" w:line="200"/>
              <w:jc w:val="left"/>
            </w:pPr>
            <w:r>
              <w:rPr>
                <w:rFonts w:ascii="方正黑体_GBK" w:hAnsi="方正黑体_GBK" w:cs="宋体" w:eastAsia="方正黑体_GBK"/>
                <w:sz w:val="18"/>
                <w:color w:val="000000"/>
                <w:szCs w:val="18"/>
              </w:rPr>
              <w:t>（1）对于接受赎回申请的部分，管理人将按单个投资者的赎回申请份额占当日所有投资者的净赎回申请总份额的比例，确认该投资者当日办理的赎回申请份额。</w:t>
            </w:r>
          </w:p>
          <w:p>
            <w:pPr>
              <w:pStyle w:val="null10"/>
              <w:spacing w:lineRule="exact" w:line="200"/>
              <w:jc w:val="left"/>
            </w:pPr>
            <w:r>
              <w:rPr>
                <w:rFonts w:ascii="方正黑体_GBK" w:hAnsi="方正黑体_GBK" w:cs="宋体" w:eastAsia="方正黑体_GBK"/>
                <w:sz w:val="18"/>
                <w:color w:val="000000"/>
                <w:szCs w:val="18"/>
              </w:rPr>
              <w:t>（2）对于暂停接受的部分，管理人将拒绝该部分赎回申请，投资者可在下一个产品开放日再次发起赎回申请。</w:t>
            </w:r>
          </w:p>
          <w:p>
            <w:pPr>
              <w:pStyle w:val="null10"/>
              <w:spacing w:lineRule="exact" w:line="200"/>
              <w:jc w:val="left"/>
            </w:pPr>
            <w:r>
              <w:rPr>
                <w:rFonts w:ascii="方正黑体_GBK" w:hAnsi="方正黑体_GBK" w:cs="宋体" w:eastAsia="方正黑体_GBK"/>
                <w:sz w:val="18"/>
                <w:color w:val="000000"/>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b/>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1.本理财产品开放日内非操作时间不能进行申购/赎回申请，封闭期内不开放申购/赎回申请。</w:t>
            </w:r>
          </w:p>
          <w:p>
            <w:pPr>
              <w:pStyle w:val="null10"/>
              <w:spacing w:lineRule="exact" w:line="200"/>
              <w:jc w:val="left"/>
            </w:pPr>
            <w:r>
              <w:rPr>
                <w:rFonts w:ascii="方正黑体_GBK" w:hAnsi="方正黑体_GBK" w:cs="宋体" w:eastAsia="方正黑体_GBK"/>
                <w:sz w:val="18"/>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b/>
                <w:szCs w:val="18"/>
              </w:rPr>
              <w:t>3.本理财产品投资的资产管理产品的业绩报酬、赎回费等的提取（如有）可能造成本理财产品净值的下降。</w:t>
            </w:r>
          </w:p>
          <w:p>
            <w:pPr>
              <w:pStyle w:val="null10"/>
              <w:spacing w:lineRule="exact" w:line="200"/>
            </w:pPr>
            <w:r>
              <w:rPr>
                <w:rFonts w:ascii="方正黑体_GBK" w:hAnsi="方正黑体_GBK" w:cs="宋体" w:eastAsia="方正黑体_GBK"/>
                <w:sz w:val="18"/>
                <w:b/>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7e9730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8f712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8f712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8f7128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8f7128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8f7128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8f7128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8f7128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8f7128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南银理财鼎瑞安稳一年定开2025第17期公募人民币理财产品</w:t>
      </w:r>
      <w:r>
        <w:rPr>
          <w:rFonts w:ascii="方正黑体_GBK" w:eastAsia="方正黑体_GBK" w:hint="eastAsia" w:hAnsi="方正黑体_GBK"/>
          <w:vanish w:val="0"/>
          <w:color w:val="3D3D3D"/>
          <w:kern w:val="0"/>
          <w:sz w:val="15"/>
          <w:szCs w:val="15"/>
        </w:rPr>
        <w:t>。</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8f7128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8f7128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8f7128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8f7128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488a41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488a41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488a41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488a41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488a41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488a41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8f7128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8f7128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8f7128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假设：投资者认购本理财产品10万元，成立日当日产品净值为1.0000元，折算份额100,000份。</w:t>
      </w:r>
    </w:p>
    <w:p>
      <w:pPr>
        <w:pStyle w:val="null10"/>
        <w:spacing w:lineRule="exact" w:line="200"/>
        <w:ind w:firstLine="280"/>
        <w:jc w:val="left"/>
      </w:pPr>
      <w:r>
        <w:rPr>
          <w:rFonts w:ascii="方正黑体_GBK" w:hAnsi="方正黑体_GBK" w:cs="宋体" w:eastAsia="方正黑体_GBK"/>
          <w:sz w:val="15"/>
          <w:szCs w:val="20"/>
        </w:rPr>
        <w:t>情景示例一：产品赎回确认时，扣除所有税费后（如有业绩报酬，已扣除）的赎回确认每份额净值为1.0300，则客户在资金到帐日收到到期款项为103,000元。</w:t>
      </w:r>
    </w:p>
    <w:p>
      <w:pPr>
        <w:pStyle w:val="null10"/>
        <w:spacing w:lineRule="exact" w:line="200"/>
        <w:ind w:firstLine="280"/>
        <w:jc w:val="left"/>
      </w:pPr>
      <w:r>
        <w:rPr>
          <w:rFonts w:ascii="方正黑体_GBK" w:hAnsi="方正黑体_GBK" w:cs="宋体" w:eastAsia="方正黑体_GBK"/>
          <w:sz w:val="15"/>
          <w:szCs w:val="20"/>
        </w:rPr>
        <w:t>情景示例二：产品赎回确认时，扣除所有税费后（如有业绩报酬，已扣除）的赎回确认每份额净值为0.9700，则客户在资金到帐日收到到期款项为97,000元。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488a41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7e97306"/>
        <w:keepNext w:val="0"/>
        <w:keepLines w:val="0"/>
        <w:pageBreakBefore w:val="0"/>
        <w:widowControl/>
        <w:suppressLineNumbers w:val="0"/>
        <w:suppressAutoHyphens w:val="0"/>
        <w:spacing w:line="200" w:lineRule="exact"/>
        <w:ind w:firstLineChars="200" w:firstLine="300"/>
        <w:rPr>
          <w:rStyle w:val="d488a41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7e9730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7e9730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7e9730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按月</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7e9730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7e9730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7e9730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7e9730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7e9730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7e9730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7e9730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7e9730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7e9730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7e9730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7e9730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7e97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7e9730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2"/>
  </w:num>
  <w:num w:numId="3">
    <w:abstractNumId w:val="3"/>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d8f0afb0">
    <w:name w:val="Normald8f0afb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d7a0026">
    <w:name w:val="heading 10d7a0026"/>
    <w:basedOn w:val="d8f0afb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e573452">
    <w:name w:val="heading 2be573452"/>
    <w:basedOn w:val="d8f0afb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622d0ed">
    <w:name w:val="heading 3a622d0ed"/>
    <w:basedOn w:val="d8f0afb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b09f256">
    <w:name w:val="Default Paragraph Fonteb09f256"/>
  </w:style>
  <w:style xmlns:r="http://schemas.openxmlformats.org/officeDocument/2006/relationships" w:type="paragraph" w:styleId="052be9c3">
    <w:name w:val="toc 1052be9c3"/>
    <w:basedOn w:val="d8f0afb0"/>
    <w:autoRedefine/>
    <w:next w:val="0"/>
  </w:style>
  <w:style xmlns:r="http://schemas.openxmlformats.org/officeDocument/2006/relationships" w:type="paragraph" w:styleId="4b9c312c">
    <w:name w:val="toc 24b9c312c"/>
    <w:basedOn w:val="d8f0afb0"/>
    <w:autoRedefine/>
    <w:next w:val="0"/>
    <w:pPr>
      <w:ind w:left="420"/>
    </w:pPr>
  </w:style>
  <w:style xmlns:r="http://schemas.openxmlformats.org/officeDocument/2006/relationships" w:type="paragraph" w:styleId="89a6a134">
    <w:name w:val="toc 389a6a134"/>
    <w:basedOn w:val="d8f0afb0"/>
    <w:autoRedefine/>
    <w:next w:val="0"/>
    <w:pPr>
      <w:ind w:left="840"/>
    </w:pPr>
  </w:style>
  <w:style xmlns:r="http://schemas.openxmlformats.org/officeDocument/2006/relationships" w:type="paragraph" w:styleId="59d5ffd9">
    <w:name w:val="toc 459d5ffd9"/>
    <w:basedOn w:val="d8f0afb0"/>
    <w:autoRedefine/>
    <w:next w:val="0"/>
    <w:pPr>
      <w:ind w:left="1260"/>
    </w:pPr>
  </w:style>
  <w:style xmlns:r="http://schemas.openxmlformats.org/officeDocument/2006/relationships" w:type="paragraph" w:styleId="01b353d1">
    <w:name w:val="toc 501b353d1"/>
    <w:basedOn w:val="d8f0afb0"/>
    <w:autoRedefine/>
    <w:next w:val="0"/>
    <w:pPr>
      <w:ind w:left="1680"/>
    </w:pPr>
  </w:style>
  <w:style xmlns:r="http://schemas.openxmlformats.org/officeDocument/2006/relationships" w:type="paragraph" w:styleId="74953734">
    <w:name w:val="header74953734"/>
    <w:basedOn w:val="d8f0afb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63ff6e3">
    <w:name w:val="footer163ff6e3"/>
    <w:basedOn w:val="d8f0afb0"/>
    <w:pPr>
      <w:tabs>
        <w:tab w:val="center" w:pos="4153"/>
        <w:tab w:val="right" w:pos="8307"/>
      </w:tabs>
      <w:adjustRightInd/>
      <w:snapToGrid w:val="0"/>
      <w:contextualSpacing w:val="0"/>
      <w:jc w:val="left"/>
    </w:pPr>
    <w:rPr>
      <w:sz w:val="18"/>
    </w:rPr>
  </w:style>
  <w:style xmlns:r="http://schemas.openxmlformats.org/officeDocument/2006/relationships" w:type="character" w:styleId="a5f6056f">
    <w:name w:val="Stronga5f6056f"/>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7e97306">
    <w:name w:val="Normald7e9730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440049af">
    <w:name w:val="heading 1440049af"/>
    <w:basedOn w:val="d7e9730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00f4528">
    <w:name w:val="heading 2200f4528"/>
    <w:basedOn w:val="d7e9730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b8f7158">
    <w:name w:val="heading 3ab8f7158"/>
    <w:basedOn w:val="d7e9730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e7b9ce7">
    <w:name w:val="Default Paragraph Font9e7b9ce7"/>
  </w:style>
  <w:style xmlns:r="http://schemas.openxmlformats.org/officeDocument/2006/relationships" w:type="paragraph" w:styleId="6b6ea8f3">
    <w:name w:val="Normal Indent6b6ea8f3"/>
    <w:basedOn w:val="d7e97306"/>
    <w:pPr>
      <w:ind w:firstLineChars="200" w:firstLine="200"/>
    </w:pPr>
  </w:style>
  <w:style xmlns:r="http://schemas.openxmlformats.org/officeDocument/2006/relationships" w:type="paragraph" w:styleId="8a75d580">
    <w:name w:val="toc 58a75d580"/>
    <w:basedOn w:val="d7e97306"/>
    <w:next w:val="0"/>
    <w:pPr>
      <w:ind w:left="1680"/>
    </w:pPr>
  </w:style>
  <w:style xmlns:r="http://schemas.openxmlformats.org/officeDocument/2006/relationships" w:type="paragraph" w:styleId="b5f52a05">
    <w:name w:val="toc 3b5f52a05"/>
    <w:basedOn w:val="d7e97306"/>
    <w:next w:val="0"/>
    <w:pPr>
      <w:ind w:left="840"/>
    </w:pPr>
  </w:style>
  <w:style xmlns:r="http://schemas.openxmlformats.org/officeDocument/2006/relationships" w:type="paragraph" w:styleId="7a192cb8">
    <w:name w:val="footer7a192cb8"/>
    <w:basedOn w:val="d7e97306"/>
    <w:pPr>
      <w:tabs>
        <w:tab w:val="center" w:pos="4153"/>
        <w:tab w:val="right" w:pos="8307"/>
      </w:tabs>
      <w:adjustRightInd/>
      <w:snapToGrid w:val="0"/>
      <w:contextualSpacing w:val="0"/>
      <w:jc w:val="left"/>
    </w:pPr>
    <w:rPr>
      <w:sz w:val="18"/>
    </w:rPr>
  </w:style>
  <w:style xmlns:r="http://schemas.openxmlformats.org/officeDocument/2006/relationships" w:type="paragraph" w:styleId="b6c8c824">
    <w:name w:val="headerb6c8c824"/>
    <w:basedOn w:val="d7e9730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d218846">
    <w:name w:val="toc 11d218846"/>
    <w:basedOn w:val="d7e97306"/>
    <w:next w:val="0"/>
  </w:style>
  <w:style xmlns:r="http://schemas.openxmlformats.org/officeDocument/2006/relationships" w:type="paragraph" w:styleId="cbe474e7">
    <w:name w:val="toc 4cbe474e7"/>
    <w:basedOn w:val="d7e97306"/>
    <w:next w:val="0"/>
    <w:pPr>
      <w:ind w:left="1260"/>
    </w:pPr>
  </w:style>
  <w:style xmlns:r="http://schemas.openxmlformats.org/officeDocument/2006/relationships" w:type="paragraph" w:styleId="c335f285">
    <w:name w:val="toc 2c335f285"/>
    <w:basedOn w:val="d7e97306"/>
    <w:next w:val="0"/>
    <w:pPr>
      <w:ind w:left="420"/>
    </w:pPr>
  </w:style>
  <w:style xmlns:r="http://schemas.openxmlformats.org/officeDocument/2006/relationships" w:type="paragraph" w:styleId="43f77dff">
    <w:name w:val="Normal (Web)43f77df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8f7128d">
    <w:name w:val="Normal88f7128d88f7128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4af29bd">
    <w:name w:val="heading 1a4af29bda4af29bd"/>
    <w:basedOn w:val="88f7128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dad1522">
    <w:name w:val="heading 24dad15224dad1522"/>
    <w:basedOn w:val="88f7128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d277907">
    <w:name w:val="heading 32d2779072d277907"/>
    <w:basedOn w:val="88f7128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2c9cd03">
    <w:name w:val="Default Paragraph Font12c9cd0312c9cd03"/>
  </w:style>
  <w:style xmlns:r="http://schemas.openxmlformats.org/officeDocument/2006/relationships" w:type="paragraph" w:customStyle="1" w:styleId="29ac912e">
    <w:name w:val="引文目录129ac912e29ac912e"/>
    <w:basedOn w:val="88f7128d"/>
    <w:next w:val="0"/>
    <w:pPr>
      <w:ind w:leftChars="200" w:left="200"/>
    </w:pPr>
  </w:style>
  <w:style xmlns:r="http://schemas.openxmlformats.org/officeDocument/2006/relationships" w:type="paragraph" w:styleId="cf53a8af">
    <w:name w:val="toc 5cf53a8afcf53a8af"/>
    <w:basedOn w:val="88f7128d"/>
    <w:next w:val="0"/>
    <w:pPr>
      <w:ind w:left="1680"/>
    </w:pPr>
  </w:style>
  <w:style xmlns:r="http://schemas.openxmlformats.org/officeDocument/2006/relationships" w:type="paragraph" w:styleId="66d281c6">
    <w:name w:val="toc 366d281c666d281c6"/>
    <w:basedOn w:val="88f7128d"/>
    <w:next w:val="0"/>
    <w:pPr>
      <w:ind w:left="840"/>
    </w:pPr>
  </w:style>
  <w:style xmlns:r="http://schemas.openxmlformats.org/officeDocument/2006/relationships" w:type="paragraph" w:styleId="0556ba26">
    <w:name w:val="footer0556ba260556ba26"/>
    <w:basedOn w:val="88f7128d"/>
    <w:pPr>
      <w:tabs>
        <w:tab w:val="center" w:pos="4153"/>
        <w:tab w:val="right" w:pos="8307"/>
      </w:tabs>
      <w:adjustRightInd/>
      <w:snapToGrid w:val="0"/>
      <w:contextualSpacing w:val="0"/>
      <w:jc w:val="left"/>
    </w:pPr>
    <w:rPr>
      <w:sz w:val="18"/>
    </w:rPr>
  </w:style>
  <w:style xmlns:r="http://schemas.openxmlformats.org/officeDocument/2006/relationships" w:type="paragraph" w:styleId="4c7b366a">
    <w:name w:val="header4c7b366a4c7b366a"/>
    <w:basedOn w:val="88f7128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3b543df">
    <w:name w:val="toc 1a3b543dfa3b543df"/>
    <w:basedOn w:val="88f7128d"/>
    <w:next w:val="0"/>
  </w:style>
  <w:style xmlns:r="http://schemas.openxmlformats.org/officeDocument/2006/relationships" w:type="paragraph" w:styleId="fff12eca">
    <w:name w:val="toc 4fff12ecafff12eca"/>
    <w:basedOn w:val="88f7128d"/>
    <w:next w:val="0"/>
    <w:pPr>
      <w:ind w:left="1260"/>
    </w:pPr>
  </w:style>
  <w:style xmlns:r="http://schemas.openxmlformats.org/officeDocument/2006/relationships" w:type="paragraph" w:styleId="2416511a">
    <w:name w:val="toc 22416511a2416511a"/>
    <w:basedOn w:val="88f7128d"/>
    <w:next w:val="0"/>
    <w:pPr>
      <w:ind w:left="420"/>
    </w:pPr>
  </w:style>
  <w:style xmlns:r="http://schemas.openxmlformats.org/officeDocument/2006/relationships" w:type="paragraph" w:customStyle="1" w:styleId="d488a410">
    <w:name w:val="列出段落1d488a410d488a41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