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e60e3cb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e60e3cb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e60e3cb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60e3cb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60e3cb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60e3cb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60e3cb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60e3cb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60e3cb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60e3cb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60e3cb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326ac4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326ac4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e0feb9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南银理财珠联璧合行稳1906一年定开公募人民币理财产品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ZC108691944614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Z7003221000031(投资者可依据该编码在中国理财网www.chinawealth.com.cn查询理财产品相关信息）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center"/>
              <w:outlineLvl w:val="9"/>
              <w:rPr>
                <w:rFonts w:ascii="方正黑体_GBK" w:eastAsia="方正黑体_GBK" w:hAnsi="方正黑体_GBK"/>
                <w:caps w:val="0"/>
                <w:smallCaps w:val="0"/>
                <w:snapToGrid/>
                <w:vanish w:val="0"/>
                <w:color w:val="auto"/>
                <w:kern w:val="2"/>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Z10026</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ind w:left="0" w:firstLine="0"/>
              <w:jc w:val="left"/>
              <w:rPr>
                <w:rFonts w:ascii="方正黑体_GBK" w:eastAsia="方正黑体_GBK" w:hAnsi="方正黑体_GBK"/>
                <w:caps w:val="0"/>
                <w:smallCaps w:val="0"/>
                <w:snapToGrid/>
                <w:vanish w:val="0"/>
                <w:color w:val="auto"/>
                <w:kern w:val="0"/>
                <w:sz w:val="18"/>
                <w:szCs w:val="18"/>
                <w:vertAlign w:val="baseline"/>
              </w:rPr>
            </w:pPr>
            <w:bookmarkStart w:id="0" w:name="_GoBack"/>
            <w:bookmarkEnd w:id="0"/>
            <w:r>
              <w:rPr>
                <w:rFonts w:ascii="方正黑体_GBK" w:eastAsia="方正黑体_GBK" w:hint="eastAsia"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textAlignment w:val="center"/>
              <w:rPr>
                <w:rFonts w:ascii="方正黑体_GBK" w:hAnsi="方正黑体_GBK" w:eastAsia="方正黑体_GBK"/>
                <w:sz w:val="18"/>
                <w:szCs w:val="18"/>
              </w:rPr>
            </w:pPr>
            <w:r>
              <w:rPr>
                <w:rFonts w:ascii="方正黑体_GBK" w:hint="eastAsia" w:hAnsi="方正黑体_GBK" w:eastAsia="方正黑体_GBK"/>
                <w:kern w:val="0"/>
                <w:sz w:val="18"/>
                <w:szCs w:val="18"/>
              </w:rPr>
              <w:t>10年（管理人有权提前终止或延期终止）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 </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2019年06月19日 09:00—2019年06月25日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2019年06月26日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2019年06月26日—实际到期日（若本理财产品未被提前终止或延期终止，则实际到期日即为名义到期日，存续期限10年；若本理财产品被提前终止或延期终止，则实际到期日为提前终止日或延期终止日。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cs="宋体" w:eastAsia="方正黑体_GBK"/>
                <w:sz w:val="18"/>
                <w:b/>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2029年12月28日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本理财产品存续期内按每一年开放申购，如遇节假日调整，申购开放日和申购确认日以公告为准。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申购/赎回时间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申购时间：申购开放期首日9：00-申购开放期末日17：00。</w:t>
            </w:r>
          </w:p>
          <w:p>
            <w:pPr>
              <w:pStyle w:val="null10"/>
              <w:spacing w:lineRule="exact" w:line="200"/>
              <w:jc w:val="left"/>
            </w:pPr>
            <w:r>
              <w:rPr>
                <w:rFonts w:ascii="方正黑体_GBK" w:hAnsi="方正黑体_GBK" w:cs="宋体" w:eastAsia="方正黑体_GBK"/>
                <w:sz w:val="18"/>
                <w:szCs w:val="18"/>
              </w:rPr>
              <w:t>赎回时间：赎回开放期首日9：00-赎回开放期末日17：00。</w:t>
            </w:r>
          </w:p>
          <w:p>
            <w:pPr>
              <w:pStyle w:val="null10"/>
              <w:spacing w:lineRule="exact" w:line="200"/>
              <w:jc w:val="left"/>
            </w:pPr>
            <w:r>
              <w:rPr>
                <w:rFonts w:ascii="方正黑体_GBK" w:hAnsi="方正黑体_GBK" w:cs="宋体" w:eastAsia="方正黑体_GBK"/>
                <w:sz w:val="18"/>
                <w:szCs w:val="18"/>
              </w:rPr>
              <w:t>申购/赎回开放日和确认日另行公告。</w:t>
            </w:r>
          </w:p>
          <w:p>
            <w:pPr>
              <w:pStyle w:val="null10"/>
              <w:spacing w:lineRule="exact" w:line="200"/>
            </w:pPr>
            <w:r>
              <w:rPr>
                <w:rFonts w:ascii="方正黑体_GBK" w:hAnsi="方正黑体_GBK" w:cs="宋体" w:eastAsia="方正黑体_GBK"/>
                <w:sz w:val="18"/>
                <w:szCs w:val="18"/>
              </w:rPr>
              <w:t>在销售机构支持的前提下，申购/赎回开放期末日17:00前可以撤销申购/赎回申请。</w:t>
            </w:r>
          </w:p>
          <w:p>
            <w:pPr>
              <w:pStyle w:val="null10"/>
              <w:spacing w:lineRule="exact" w:line="200"/>
            </w:pPr>
            <w:r>
              <w:rPr>
                <w:rFonts w:ascii="方正黑体_GBK" w:hAnsi="方正黑体_GBK" w:cs="宋体" w:eastAsia="方正黑体_GBK"/>
                <w:sz w:val="18"/>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jc w:val="left"/>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通过对宏观经济、政策环境、市场状况和资金供求的深入分析，对所投资产行业和品种的深入分析，自上而下进行积极主动的资产配置，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信托贷款：资产类型为信托公司设立的固定收益类信托计划，底层资产为向融资人南京江北新区科技投资集团有限公司发放信托贷款，资产到期日不超过理财产品最近一次开放日。融资人评级为AA（评级机构为中证鹏元资信评估股份有限公司），融资人第一大股东为南京扬子国资投资集团有限责任公司，持股比例为73.36%。经营范围包括：技术咨询及售后服务;科学技术成果转让;技术研发机构办公用房的出租及物业管理;开发、生产计算机软件、硬件;开发智能仪器仪表、网络安全设备、应用系统;停车场管理;住宿服务;餐饮服务;会务服务;酒店管理与酒店管理咨询;计算机系统集成;预包装食品零售;承接服务外包业务;销售自产产品;日用百货出售;图书服装销售;花卉苗木销售;公共技术平台运营与管理、基因科技、生物科技领域内的技术开发、技术咨询、技术服务、技术转让;仪器仪表、试剂耗材、计算机软硬件及辅助设备销售和租赁服务;自营和代理各类商品和技术的进出口业务;房屋租赁;会务会展、技术培训、咨询服务、检测服务。创业投资;投资管理服务、投资管理咨询;增值电信业务。(依法须经批准的项目,经相关部门批准后方可开展经营活动)</w:t>
            </w:r>
          </w:p>
          <w:p>
            <w:pPr>
              <w:pStyle w:val="null10"/>
              <w:spacing w:lineRule="exact" w:line="200"/>
            </w:pPr>
            <w:r>
              <w:rPr>
                <w:rFonts w:ascii="方正黑体_GBK" w:hAnsi="方正黑体_GBK" w:cs="宋体" w:eastAsia="方正黑体_GBK"/>
                <w:sz w:val="18"/>
                <w:szCs w:val="18"/>
              </w:rPr>
              <w:t>2.信托贷款：资产类型为信托公司设立的固定收益类信托计划，底层资产为向融资人淮安市交投建设管理有限公司发放信托贷款，资产到期日不超过理财产品最近一次开放日。融资人无外部评级，融资人第一大股东为淮安市交通控股集团有限公司，持股比例为100%。经营范围包括：铁路建设投资；铁路资产经营；高铁新区及铁路沿线土地资源的开发整理；工程监理、咨询、项目管理、招标代理；安置房建设；市政基础设施建设；股权投资(非证券股权投资活动且仅限于铁路建设、运营方面股权投资)；广告牌租赁服务；钢材、水泥、建筑材料、工程设备物资的采购与销售；苗木、花卉、草坪的培育、销售；盆景的种植、销售、租赁；景观、园林、绿化工程施工及综合养护管理；园林景观设计。(依法须经批准的项目，经相关部门批准后方可开展经营活动) 许可项目：公路管理与养护；城市生活垃圾经营性服务；城市建筑垃圾处置(清运)；食品销售(依法须经批准的项目，经相关部门批准后方可开展经营活动，具体经营项目以审批结果为准) 一般项目：工程管理服务；市政设施管理；金属门窗工程施工；供应链管理服务；门窗销售；五金产品零售；金属制品销售；土石方工程施工；住房租赁；非居住房地产租赁；销售代理；固体废物治理；农村生活垃圾经营性服务；建筑装饰材料销售；卫生用品和一次性使用医疗用品销售；第一类医疗器械销售；第二类医疗器械销售；建筑砌块销售；再生资源销售；橡胶制品销售；机械设备租赁；环境卫生公共设施安装服务；劳务服务(不含劳务派遣)；城乡市容管理；农副产品销售；林产品采集；食品销售(仅销售预包装食品)；食用农产品批发；林业产品销售；肥料销售；塑料制品销售；机械设备销售；农业机械销售；日用品销售；家具销售；汽车销售；家居用品销售；建筑材料销售；办公用品销售；家用电器销售；日用百货销售；针纺织品及原料销售；针纺织品销售；服装服饰批发；服装服饰零售；公路水运工程试验检测服务；广告发布；数字广告发布(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信托贷款：资产类型为信托公司设立的固定收益类信托计划，底层资产为向融资人淮安市清江浦城投控股集团有限公司发放信托贷款，资产到期日不超过理财产品最近一次开放日。融资人评级为AA+（评级机构为远东资信评估有限公司），融资人第一大股东为淮安市清江浦区人民政府，持股比例为100%。经营范围包括：政府授权的土地及其它有关资产的经营管理、转让、投资、市政公用设施建设、基础设施建设;对授权拥有的资产冠名、包装、广告发布等无形资产进行有偿转让;投资咨询服务;房屋、建设周转材料租赁;日用百货、建筑材料、家具、汽车停车专用设备销售;清江浦城区经营性土地及旧城改造项目用地的回收、回购、整理、储备、运作上市服务及开发配套相关业务。(依法须经批准的项目,经相关部门批准后方可开展经营活动)</w:t>
            </w:r>
          </w:p>
          <w:p>
            <w:pPr>
              <w:pStyle w:val="null10"/>
              <w:spacing w:lineRule="exact" w:line="200"/>
            </w:pPr>
            <w:r>
              <w:rPr>
                <w:rFonts w:ascii="方正黑体_GBK" w:hAnsi="方正黑体_GBK" w:cs="宋体" w:eastAsia="方正黑体_GBK"/>
                <w:sz w:val="18"/>
                <w:szCs w:val="18"/>
              </w:rPr>
              <w:t>4.信托贷款：资产类型为信托公司设立的固定收益类信托计划，底层资产为向融资人淮安市城市发展投资控股集团有限公司发放信托贷款，资产到期日不超过理财产品最近一次开放日。融资人评级为AAA（评级机构为中证鹏元资信评估股份有限公司），融资人第一大股东为淮安市人民政府，持股比例为100%。经营范围包括：许可项目:建设工程施工;建设工程施工(除核电站建设经营、民用机场建设);建设工程质量检测;建设工程监理;建设工程勘察;建设工程设计;城市公共交通;城市建筑垃圾处置(清运);水利工程建设监理;测绘服务;房地产开发经营;旅游业务;演出经纪;住宿服务;餐饮服务(依法须经批准的项目,经相关部门批准后方可开展经营活动,具体经营项目以审批结果为准)一般项目:以私募基金从事股权投资、投资管理、资产管理等活动(须在中国证券投资基金业协会完成登记备案后方可从事经营活动);以自有资金从事投资活动;创业投资(限投资未上市企业);股权投资;城市绿化管理;城市公园管理;市政设施管理;园林绿化工程施工;规划设计管理;园区管理服务;工程造价咨询业务;私募证券投资基金管理服务(须在中国证券投资基金业协会完成登记备案后方可从事经营活动);水利相关咨询服务;旅游开发项目策划咨询;生态恢复及生态保护服务;自然生态系统保护管理;人力资源服务(不含职业中介活动、劳务派遣服务);会议及展览服务;广告设计、代理;信息技术咨询服务;企业管理咨询;物业管理(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5.信托贷款：资产类型为信托公司设立的固定收益类信托计划，底层资产为向融资人江苏武进绿色建筑产业投资有限公司发放信托贷款，资产到期日不超过理财产品最近一次开放日。融资人评级为AA（评级机构为上海新世纪资信评估投资服务有限公司），融资人第一大股东为常州市武进建设资产经营有限公司，持股比例为100%。经营范围包括：绿色建筑产业投资;土地整理;基础设施开发;绿色建材与环保设备研发、销售;节能改造工程施工;太阳能光伏发电;合同能源管理;绿色科技服务;会展服务。(依法须经批准的项目,经相关部门批准后方可开展经营活动)</w:t>
            </w:r>
          </w:p>
          <w:p>
            <w:pPr>
              <w:pStyle w:val="null10"/>
              <w:spacing w:lineRule="exact" w:line="200"/>
            </w:pPr>
            <w:r>
              <w:rPr>
                <w:rFonts w:ascii="方正黑体_GBK" w:hAnsi="方正黑体_GBK" w:cs="宋体" w:eastAsia="方正黑体_GBK"/>
                <w:sz w:val="18"/>
                <w:szCs w:val="18"/>
              </w:rPr>
              <w:t>6.信托贷款：资产类型为信托公司设立的固定收益类信托计划，底层资产为向融资人常州新运城市发展集团有限公司发放信托贷款，资产到期日不超过理财产品最近一次开放日。融资人评级为AA+（评级机构为中诚信国际信用评级有限责任公司），融资人第一大股东为常州市人民政府国有资产监督管理委员会，持股比例为100%。经营范围包括：许可项目:建设工程施工(依法须经批准的项目,经相关部门批准后方可开展经营活动,具体经营项目以审批结果为准)一般项目:市政设施管理;工程管理服务;土地整治服务;以自有资金从事投资活动;创业投资(限投资未上市企业);住房租赁;物业管理;五金产品零售;电子元器件批发;化工产品销售(不含许可类化工产品);日用百货销售;办公设备销售;办公设备耗材销售;针纺织品销售;服装服饰零售;服装服饰批发;建筑材料销售;金属材料销售;建筑工程用机械销售;矿山机械销售;隧道施工专用机械销售;畜牧机械销售;气体压缩机械销售;铸造机械销售;农业机械销售;农林牧渔机械配件销售;机械零件、零部件销售;橡胶制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7.信托贷款：资产类型为信托公司设立的固定收益类信托计划，底层资产为向融资人常州滨江产城建设发展有限公司发放信托贷款，资产到期日不超过理财产品最近一次开放日。融资人无外部评级，融资人第一大股东为常州滨江投资发展集团有限公司，持股比例为100%。经营范围包括：许可项目：建设工程施工(依法须经批准的项目，经相关部门批准后方可开展经营活动，具体经营项目以审批结果为准)一般项目：环境保护专用设备销售；新能源原动设备销售；技术服务、技术开发、技术咨询、技术交流、技术转让、技术推广；环保咨询服务；化工产品销售(不含许可类化工产品)；工程管理服务；建筑材料销售；建筑装饰材料销售；有色金属合金销售；五金产品零售；住房租赁；非居住房地产租赁；土地整治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8.信托贷款：资产类型为信托公司设立的固定收益类信托计划，底层资产为向融资人江苏龙城国有控股集团有限公司发放信托贷款，资产到期日不超过理财产品最近一次开放日。融资人评级为AA+（评级机构为中诚信国际信用评级有限责任公司），融资人第一大股东为常州市人民政府，持股比例为100%。经营范围包括：许可项目:建设工程施工(依法须经批准的项目,经相关部门批准后方可开展经营活动,具体经营项目以审批结果为准)一般项目:自有资金投资的资产管理服务;市政设施管理;园林绿化工程施工;城市绿化管理;物业管理;城乡市容管理;停车场服务;建筑材料销售;租赁服务(不含许可类租赁服务);城市公园管理;森林公园管理;森林经营和管护;园区管理服务;电子产品销售;普通货物仓储服务(不含危险化学品等需许可审批的项目);土地整治服务;水环境污染防治服务;科技中介服务;自然生态系统保护管理;工程管理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9.信托贷款：资产类型为信托公司设立的固定收益类信托计划，底层资产为向融资人南京江宁滨江物流有限公司发放信托贷款，资产到期日不超过理财产品最近一次开放日。融资人评级为AA+（评级机构为中证鹏元资信评估股份有限公司），融资人第一大股东为南京江宁滨江经济开发区管理委员会，持股比例为60%。经营范围包括：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pPr>
              <w:pStyle w:val="null10"/>
              <w:spacing w:lineRule="exact" w:line="200"/>
            </w:pPr>
            <w:r>
              <w:rPr>
                <w:rFonts w:ascii="方正黑体_GBK" w:hAnsi="方正黑体_GBK" w:cs="宋体" w:eastAsia="方正黑体_GBK"/>
                <w:sz w:val="18"/>
                <w:szCs w:val="18"/>
              </w:rPr>
              <w:t>10.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11.信托贷款：资产类型为信托公司设立的固定收益类信托计划，底层资产为向融资人南京吉山国有资产运营集团有限公司发放信托贷款，资产到期日不超过理财产品最近一次开放日。融资人无外部评级，融资人第一大股东为南京江宁经济技术开发集团有限公司，持股比例为100%。经营范围包括：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12.信托贷款：资产类型为信托公司设立的固定收益类信托计划，底层资产为向融资人江苏润城城市投资控股集团有限公司发放信托贷款，资产到期日不超过理财产品最近一次开放日。融资人评级为AA+（评级机构为中诚信国际信用评级有限责任公司），融资人第一大股东为邳州市财政局，持股比例为100%。经营范围包括：许可项目:房屋建筑和市政基础设施项目工程总承包;建设工程施工;旅游业务;房地产开发经营(依法须经批准的项目,经相关部门批准后方可开展经营活动,具体经营项目以审批结果为准)一般项目:以自有资金从事投资活动;自有资金投资的资产管理服务;土地整治服务;旅游开发项目策划咨询;创业空间服务;房屋拆迁服务;市政设施管理;供应链管理服务;商业综合体管理服务;企业管理;国内贸易代理;经济贸易咨询;集贸市场管理服务;物业管理;园区管理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13.信托贷款：资产类型为信托公司设立的固定收益类信托计划，底层资产为向融资人徐州高新技术产业开发区国有资产经营有限公司发放信托贷款，资产到期日不超过理财产品最近一次开放日。融资人评级为AA（评级机构为联合资信评估股份有限公司），融资人第一大股东为徐州高新控股集团有限公司，持股比例为100%。经营范围包括：经营管理授权范围内的国有资产;国有资产产(股)权交易;国有资产投资、租赁、收购;投资项目的招标、投标;经营管理授权范围内的集体资产;高新区的建设和管理;土地一级开发;市政基础设施建设;建筑材料销售;货运代理服务。(依法须经批准的项目,经相关部门批准后方可开展经营活动)一般项目:住房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14.信托贷款：资产类型为信托公司设立的固定收益类信托计划，底层资产为向融资人沛县城市建设投资发展集团有限公司发放信托贷款，资产到期日不超过理财产品最近一次开放日。融资人评级为AA+（评级机构为中诚信国际信用评级有限责任公司），融资人第一大股东为沛县人民政府国有资产监督管理办公室，持股比例为100%。经营范围包括：房屋建筑和市政基础设施项目工程总承包;各类工程建设活动;城市公共交通(依法须经批准的项目,经相关部门批准后方可开展经营活动,具体经营项目以审批结果为准)一般项目:以自有资金从事投资活动;创业投资(限投资未上市企业);对外承包工程;市政设施管理;农村民间工艺及制品、休闲农业和乡村旅游资源的开发经营;土地使用权租赁;非居住房地产租赁;住房租赁;机械设备租赁;医疗设备租赁;租赁服务(不含出版物出租);建筑工程机械与设备租赁;政府采购代理服务;采购代理服务;土地整治服务;集贸市场管理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15.信托贷款：资产类型为信托公司设立的固定收益类信托计划，底层资产为向融资人江苏苏海控股集团有限公司发放信托贷款，资产到期日不超过理财产品最近一次开放日。融资人评级为AA+（评级机构为大公国际资信评估有限公司），融资人第一大股东为连云港市赣榆区人民政府，持股比例为100%。经营范围包括：许可项目：各类工程建设活动；保税物流中心经营；道路货物运输站经营；城市配送运输服务(不含危险货物)；矿产资源(非煤矿山)开采；自来水生产与供应(依法须经批准的项目，经相关部门批准后方可开展经营活动，具体经营项目以审批结果为准) 一般项目：国内货物运输代理；国内贸易代理；销售代理；园区管理服务；工程管理服务；园林绿化工程施工；城市绿化管理；市政设施管理；公共事业管理服务；建筑材料销售；铁路运输辅助活动；热力生产和供应；普通货物仓储服务(不含危险化学品等需许可审批的项目)；污水处理及其再生利用；船舶港口服务；水污染治理；水环境污染防治服务；供暖服务；土石方工程施工；对外承包工程；水产品批发；水产品零售；非金属矿及制品销售；农副产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16.信托贷款：资产类型为信托公司设立的固定收益类信托计划，底层资产为向融资人江苏宜兴环保科技工业园国有控股有限公司发放信托贷款，资产到期日不超过理财产品最近一次开放日。融资人评级为AA+（评级机构为中证鹏元资信评估股份有限公司），融资人第一大股东为中国宜兴环保科技工业园管理委员会，持股比例为51%。经营范围包括：一般项目：以自有资金从事投资活动；土地整治服务；土地使用权租赁；住房租赁；非居住房地产租赁；股权投资；企业管理；工程管理服务；科技推广和应用服务；社会经济咨询服务；园区管理服务；企业管理咨询；咨询策划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17.信托贷款：资产类型为信托公司设立的固定收益类信托计划，底层资产为向融资人嵊州市交通投资发展集团有限公司发放信托贷款，资产到期日不超过理财产品最近一次开放日。融资人评级为AA（评级机构为上海新世纪资信评估投资服务有限公司），融资人第一大股东为嵊州市投资控股有限公司，持股比例为100%。经营范围包括：许可项目:公路管理与养护;建设工程监理;建设工程设计;建设工程施工;非煤矿山矿产资源开采;港口经营;茶叶制品生产(依法须经批准的项目,经相关部门批准后方可开展经营活动,具体经营项目以审批结果为准)。一般项目:园林绿化工程施工;城市绿化管理;建筑材料销售;非金属矿及制品销售;建筑用石加工;建筑工程机械与设备租赁;运输设备租赁服务;茶叶种植;农副产品销售;高等级公路、桥梁、隧道基础设施的投资(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18.信托贷款：资产类型为信托公司设立的固定收益类信托计划，底层资产为向融资人浙江省新昌县投资发展集团有限公司发放信托贷款，资产到期日不超过理财产品最近一次开放日。融资人评级为AA+（评级机构为上海新世纪资信评估投资服务有限公司），融资人第一大股东为新昌县人民政府国有资产监督管理办公室，持股比例为100%。经营范围包括：土地开发,城市维护建设中的基础建设,旧城改造工程的开发、建设,对城市建设工程开发、建设的投资。(依法须经批准的项目,经相关部门批准后方可开展经营活动)</w:t>
            </w:r>
          </w:p>
          <w:p>
            <w:pPr>
              <w:pStyle w:val="null10"/>
              <w:spacing w:lineRule="exact" w:line="200"/>
            </w:pPr>
            <w:r>
              <w:rPr>
                <w:rFonts w:ascii="方正黑体_GBK" w:hAnsi="方正黑体_GBK" w:cs="宋体" w:eastAsia="方正黑体_GBK"/>
                <w:sz w:val="18"/>
                <w:szCs w:val="18"/>
              </w:rPr>
              <w:t>19.信托贷款：资产类型为信托公司设立的固定收益类信托计划，底层资产为向融资人杭州西湖城市建设投资集团有限公司发放信托贷款，资产到期日不超过理财产品最近一次开放日。融资人评级为AAA（评级机构为标普信用评级(中国)有限公司），融资人第一大股东为杭州西湖投资集团有限公司，持股比例为100%。经营范围包括：服务：城市基础设施建设(凭资质证经营)，代建由政府有关职能部门授权的农转居多层公寓和经济适用房；批发、零售：建筑材料；其他无需报经审批的一切合法项目。</w:t>
            </w:r>
          </w:p>
          <w:p>
            <w:pPr>
              <w:pStyle w:val="null10"/>
              <w:spacing w:lineRule="exact" w:line="200"/>
            </w:pPr>
            <w:r>
              <w:rPr>
                <w:rFonts w:ascii="方正黑体_GBK" w:hAnsi="方正黑体_GBK" w:cs="宋体" w:eastAsia="方正黑体_GBK"/>
                <w:sz w:val="18"/>
                <w:szCs w:val="18"/>
              </w:rPr>
              <w:t>20.信托贷款：资产类型为信托公司设立的固定收益类信托计划，底层资产为向融资人扬州高发产业投资发展集团有限公司发放信托贷款，资产到期日不超过理财产品最近一次开放日。融资人评级为AA+（评级机构为中证鹏元资信评估股份有限公司），融资人第一大股东为扬州高新国控集团有限公司，持股比例为100%。经营范围包括：投资咨询、投资管理、财务管理、基础设施建设、土地整理服务。(不含需前置审批项目)(依法须经批准的项目，经相关部门批准后方可开展经营活动)一般项目：电子元器件与机电组件设备销售；仪器仪表制造；木材销售；机械设备租赁；城市绿化管理；电子元器件与机电组件设备制造(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21.信托贷款：资产类型为信托公司设立的固定收益类信托计划，底层资产为向融资人如东县民泰城乡建设工程有限公司发放信托贷款，资产到期日不超过理财产品最近一次开放日。融资人评级为AA（评级机构为东方金诚国际信用评估有限公司），融资人第一大股东为如东县金鑫交通工程建设投资有限公司，持股比例为100%。经营范围包括：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p>
            <w:pPr>
              <w:pStyle w:val="null10"/>
              <w:spacing w:lineRule="exact" w:line="200"/>
            </w:pPr>
            <w:r>
              <w:rPr>
                <w:rFonts w:ascii="方正黑体_GBK" w:hAnsi="方正黑体_GBK" w:cs="宋体" w:eastAsia="方正黑体_GBK"/>
                <w:sz w:val="18"/>
                <w:szCs w:val="18"/>
              </w:rPr>
              <w:t>22.信托贷款：资产类型为信托公司设立的固定收益类信托计划，底层资产为向融资人仪征市扬子文旅控股集团有限公司发放信托贷款，资产到期日不超过理财产品最近一次开放日。融资人评级为AA+（评级机构为联合资信评估股份有限公司），融资人第一大股东为仪征市国有资产管理中心，持股比例为100%。经营范围包括：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23.信托贷款：资产类型为信托公司设立的固定收益类信托计划，底层资产为向融资人启东安瑞达开发建设有限公司发放信托贷款，资产到期日不超过理财产品最近一次开放日。融资人无外部评级，融资人第一大股东为启东市财政局（启东市人民政府国有资产监督管理办公室），持股比例为100%。经营范围包括：项目投资与管理，房屋建筑工程、市政工程、港口与航道工程、隧道工程、桥梁工程、公路工程施工，市政设施管理。(依法须经批准的项目，经相关部门批准后方可开展经营活动)一般项目：建筑材料销售；住房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24.信托贷款：资产类型为信托公司设立的固定收益类信托计划，底层资产为向融资人泰州市华融城镇建设有限公司发放信托贷款，资产到期日不超过理财产品最近一次开放日。融资人无外部评级，融资人第一大股东为江苏创鸿资产管理有限公司，持股比例为100%。经营范围包括：许可项目：建设工程施工；水产苗种生产(依法须经批准的项目，经相关部门批准后方可开展经营活动，具体经营项目以审批结果为准) 一般项目：建筑装饰材料销售；金属材料销售；农业园艺服务；城市绿化管理；园林绿化工程施工；工程管理服务；农村生活垃圾经营性服务；物业管理；以自有资金从事投资活动；创业投资(限投资未上市企业)；自有资金投资的资产管理服务；树木种植经营；农业科学研究和试验发展；水果种植；新鲜水果零售；花卉种植；蔬菜种植；新鲜蔬菜零售；礼品花卉销售；中草药种植；建筑材料销售；中草药收购；水产品零售；谷物种植；谷物销售；食用农产品批发；食用农产品零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25.信托贷款：资产类型为信托公司设立的固定收益类信托计划，底层资产为向融资人泰州国控投资集团有限公司发放信托贷款，资产到期日不超过理财产品最近一次开放日。融资人评级为AAA（评级机构为中诚信国际信用评级有限责任公司），融资人第一大股东为泰州市政府国有资产监督管理委员会，持股比例为100%。经营范围包括：许可项目:房地产开发经营;城市生活垃圾经营性服务;非银行金融业务;金融资产管理服务;发电业务、输电业务、供(配)电业务;输电、供电、受电电力设施的安装、维修和试验;城市建筑垃圾处置(清运)(依法须经批准的项目,经相关部门批准后方可开展经营活动,具体经营项目以审批结果为准)一般项目:机动车充电销售;停车场服务;储能技术服务;集中式快速充电站;电动汽车充电基础设施运营;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养老服务(社区养老服务);养老服务(居家养老服务);养老服务(机构养老服务);从事国际集装箱船、普通货船运输;船舶港口服务;集装箱租赁服务;煤炭及制品销售;石油制品销售(不含危险化学品);有色金属合金销售;金属矿石销售;城乡市容管理;生态恢复及生态保护服务;土壤污染治理与修复服务;大气环境污染防治服务;建筑材料销售;机械设备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26.信托贷款：资产类型为信托公司设立的固定收益类信托计划，底层资产为向融资人泰州市城市建设投资控股有限公司发放信托贷款，资产到期日不超过理财产品最近一次开放日。融资人评级为AA+（评级机构为上海新世纪资信评估投资服务有限公司），融资人第一大股东为泰州市城市建设投资集团有限公司，持股比例为100%。经营范围包括：许可项目:建设工程施工;餐饮服务;烟草制品零售;出版物零售;食品销售(依法须经批准的项目,经相关部门批准后方可开展经营活动,具体经营项目以审批结果为准)一般项目:以自有资金从事投资活动;股权投资;物业管理;商业综合体管理服务;建筑材料销售;住房租赁;非居住房地产租赁;机械设备租赁;新鲜水果零售;打字复印;润滑油销售;石油制品销售(不含危险化学品);化工产品销售(不含许可类化工产品);煤炭及制品销售(禁燃区内不得含有原煤、散煤、煤矸石、煤泥、煤粉、水煤浆、型煤、焦炭、兰炭等)(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27.信托贷款：资产类型为信托公司设立的固定收益类信托计划，底层资产为向融资人靖江市欣城建设发展有限公司发放信托贷款，资产到期日不超过理财产品最近一次开放日。融资人无外部评级，融资人第一大股东为靖江市人民政府国有资产监督管理办公室，持股比例为90%。经营范围包括：城市基础设施投资建设；老居民区改造建设；棚户区改造建设；城中村改造建设；房屋工程建筑、市政工程、道路工程施工；土地整理；建材、金属材料、苗木销售。(依法须经批准的项目，经相关部门批准后方可开展经营活动)</w:t>
            </w:r>
          </w:p>
          <w:p>
            <w:pPr>
              <w:pStyle w:val="null10"/>
              <w:spacing w:lineRule="exact" w:line="200"/>
            </w:pPr>
            <w:r>
              <w:rPr>
                <w:rFonts w:ascii="方正黑体_GBK" w:hAnsi="方正黑体_GBK" w:cs="宋体" w:eastAsia="方正黑体_GBK"/>
                <w:sz w:val="18"/>
                <w:szCs w:val="18"/>
              </w:rPr>
              <w:t>28.信托贷款：资产类型为信托公司设立的固定收益类信托计划，底层资产为向融资人泰州医药城控股集团有限公司发放信托贷款，资产到期日不超过理财产品最近一次开放日。融资人评级为AA+（评级机构为中证鹏元资信评估股份有限公司），融资人第一大股东为泰州医药高新技术产业开发区管理委员会，持股比例为100%。经营范围包括：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29.信托贷款：资产类型为信托公司设立的固定收益类信托计划，底层资产为向融资人江苏盐城港控股集团有限公司发放信托贷款，资产到期日不超过理财产品最近一次开放日。融资人评级为AA+（评级机构为东方金诚国际信用评估有限公司），融资人第一大股东为盐城市大丰区人民政府，持股比例为29.7%。经营范围包括：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30.信托贷款：资产类型为信托公司设立的固定收益类信托计划，底层资产为向融资人盐城市大纵湖湖区资源开发有限公司发放信托贷款，资产到期日不超过理财产品最近一次开放日。融资人评级为AA（评级机构为中证鹏元资信评估股份有限公司），融资人第一大股东为盐城市城镇化建设投资集团有限公司，持股比例为100%。经营范围包括：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销售（象牙及其制品除外）；纺织、服装及家庭用品批发；服装服饰零售；农副产品销售；食品销售（仅销售预包装食品）；小微型客车租赁经营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31.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100%。经营范围包括：许可项目：建设工程施工(依法须经批准的项目，经相关部门批准后方可开展经营活动，具体经营项目以审批结果为准)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32.信托贷款：资产类型为信托公司设立的固定收益类信托计划，底层资产为向融资人盐城高新区投资集团有限公司发放信托贷款，资产到期日不超过理财产品最近一次开放日。融资人评级为AA+（评级机构为中诚信国际信用评级有限责任公司），融资人第一大股东为盐城高新产业控股集团有限公司，持股比例为100%。经营范围包括：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33.信托贷款：资产类型为信托公司设立的固定收益类信托计划，底层资产为向融资人阜宁县城发控股集团有限公司发放信托贷款，资产到期日不超过理财产品最近一次开放日。融资人评级为AA+（评级机构为大公国际资信评估有限公司），融资人第一大股东为阜宁县人民政府国有资产监督管理办公室，持股比例为100%。经营范围包括：许可项目:建设工程施工;建设工程监理;第三类医疗器械经营(依法须经批准的项目,经相关部门批准后方可开展经营活动,具体经营项目以审批结果为准)一般项目:非居住房地产租赁;礼品花卉销售;树木种植经营;建筑材料销售;第一类医疗器械销售;第二类医疗器械销售;水果种植;市政设施管理;土地整治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34.信托贷款：资产类型为信托公司设立的固定收益类信托计划，底层资产为向融资人盐城市盐州实业有限公司发放信托贷款，资产到期日不超过理财产品最近一次开放日。融资人无外部评级，融资人第一大股东为盐城盛州集团有限公司，持股比例为100%。经营范围包括：电、水、卫、暖安装，工业技术创新，仓储服务，针纺织品制造，电子产品、橡胶制品、钢材、木材、针纺织品、五金、电器批发零售，经营授权范围内的国有资产，基础设施投资、建设管理，自有房屋租赁。(依法须经批准的项目，经相关部门批准后方可开展经营活动)</w:t>
            </w:r>
          </w:p>
          <w:p>
            <w:pPr>
              <w:pStyle w:val="null10"/>
              <w:spacing w:lineRule="exact" w:line="200"/>
            </w:pPr>
            <w:r>
              <w:rPr>
                <w:rFonts w:ascii="方正黑体_GBK" w:hAnsi="方正黑体_GBK" w:cs="宋体" w:eastAsia="方正黑体_GBK"/>
                <w:sz w:val="18"/>
                <w:szCs w:val="18"/>
              </w:rPr>
              <w:t>35.信托贷款：资产类型为信托公司设立的固定收益类信托计划，底层资产为向融资人盐城市水务集团有限公司发放信托贷款，资产到期日不超过理财产品最近一次开放日。融资人无外部评级，融资人第一大股东为盐城市市政公用投资有限公司，持股比例为100%。经营范围包括：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现制现售饮用水(依法须经批准的项目，经相关部门批准后方可开展经营活动，具体经营项目以审批结果为准)</w:t>
            </w:r>
          </w:p>
          <w:p>
            <w:pPr>
              <w:pStyle w:val="null10"/>
              <w:spacing w:lineRule="exact" w:line="200"/>
            </w:pPr>
            <w:r>
              <w:rPr>
                <w:rFonts w:ascii="方正黑体_GBK" w:hAnsi="方正黑体_GBK" w:cs="宋体" w:eastAsia="方正黑体_GBK"/>
                <w:sz w:val="18"/>
                <w:szCs w:val="18"/>
              </w:rPr>
              <w:t>36.信托贷款：资产类型为信托公司设立的固定收益类信托计划，底层资产为向融资人盐城经开城建投资集团有限公司发放信托贷款，资产到期日不超过理财产品最近一次开放日。融资人无外部评级，融资人第一大股东为盐城经济技术开发区管理委员会，持股比例为100%。经营范围包括：经政府授权范围内的土地整理和开发；保障性住房开发经营；城乡基础设施建设、维护；公益性基础设施建设；危旧房改造项目开发建设；房地产开发经营；资产管理。(依法须经批准的项目，经相关部门批准后方可开展经营活动)一般项目：以自有资金从事投资活动；金属材料销售；建筑材料销售；市政设施管理(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37.信托贷款：资产类型为信托公司设立的固定收益类信托计划，底层资产为向融资人盐城盛州投资控股集团有限公司发放信托贷款，资产到期日不超过理财产品最近一次开放日。融资人无外部评级，融资人第一大股东为盐城市盐都区政府国有资产监督管理办公室，持股比例为100%。经营范围包括：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38.信托贷款：资产类型为信托公司设立的固定收益类信托计划，底层资产为向融资人泰州东方中国医药城控股集团有限公司发放信托贷款，资产到期日不超过理财产品最近一次开放日。融资人评级为AA（评级机构为上海新世纪资信评估投资服务有限公司），融资人第一大股东为泰州医药城控股集团有限公司，持股比例为96.21%。经营范围包括：市场管理,医药会展服务,房屋、机械设备租赁,对外投资,医药技术开发服务,疫苗、生物药、化学药、医疗器械的技术研发(不含药品、医疗器械的生产销售),经济信息咨询服务,物业管理,从事授权范围内的国有资产的经营、资本运作,房屋建筑工程施工,城市基础设施建设,市政工程施工,土地整理,城市防洪工程建设的投资、建设、管理、维护,水土资源开发利用,水利工程设备物资采购、供应。(依法须经批准的项目,经相关部门批准后方可开展经营活动)许可项目:发电业务、输电业务、供(配)电业务;供电业务;输电、供电、受电电力设施的安装、维修和试验(依法须经批准的项目,经相关部门批准后方可开展经营活动,具体经营项目以审批结果为准)一般项目:金属材料销售;新型金属功能材料销售;有色金属合金销售;金属结构销售;建筑用钢筋产品销售;建筑用金属配件销售;房屋拆迁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39.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40.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41.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42.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43.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pPr>
            <w:r>
              <w:rPr>
                <w:rFonts w:ascii="方正黑体_GBK" w:hAnsi="方正黑体_GBK" w:cs="宋体" w:eastAsia="方正黑体_GBK"/>
                <w:sz w:val="18"/>
                <w:szCs w:val="18"/>
              </w:rPr>
              <w:t>44.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45.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46.信托贷款：资产类型为信托公司设立的资金信托计划，底层资产为京东及信托公司双重审核、信托公司自主风控后发放的“白条”个人消费贷款债权，资产到期日不超过理财产品最近一次开放日。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47.信托贷款：资产类型为信托公司设立的资金信托计划，底层资产为京东及信托公司双重审核、信托公司自主风控后发放的“金条”个人消费贷款债权，资产到期日不超过理财产品最近一次开放日。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48.信托贷款：资产类型为信托公司设立的资金信托计划，底层资产为京东及信托公司双重审核、信托公司自主风控后发放的“白条取现”个人消费贷款债权，资产到期日不超过理财产品最近一次开放日。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49.信托贷款：资产类型为信托公司设立的资金信托计划，底层资产为抖音及信托公司双重审核、信托公司自主风控后发放的“月付”个人消费贷款债权，资产到期日不超过理财产品最近一次开放日。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50.信托贷款：资产类型为信托公司设立的资金信托计划，底层资产为抖音及信托公司双重审核、信托公司自主风控后发放的“放心借”贷款资产，资产到期日不超过理财产品最近一次开放日。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pPr>
            <w:r>
              <w:rPr>
                <w:rFonts w:ascii="方正黑体_GBK" w:hAnsi="方正黑体_GBK" w:cs="宋体" w:eastAsia="方正黑体_GBK"/>
                <w:sz w:val="18"/>
                <w:szCs w:val="18"/>
              </w:rPr>
              <w:t>51.信托贷款：资产类型为信托公司设立的资金信托计划，底层资产为蚂蚁及信托公司双重审核、信托公司自主风控后发放的“花呗”个人消费贷款债权，资产到期日不超过理财产品最近一次开放日。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52.信托贷款：资产类型为信托公司设立的资金信托计划，底层资产为蚂蚁及信托公司双重审核、信托公司自主风控后发放的“借呗”个人消费贷款债权，资产到期日不超过理财产品最近一次开放日。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53.信托贷款：资产类型为信托公司设立的资金信托计划，底层资产为微信及信托公司双重审核、信托公司自主风控后发放的“分付”个人消费贷款债权，资产到期日不超过理财产品最近一次开放日。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54.信托贷款：资产类型为信托公司设立的资金信托计划，底层资产为度小满及信托公司双重审核、信托公司自主风控后发放的“满易贷”个人消费贷款债权，资产到期日不超过理财产品最近一次开放日。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55.券商收益凭证：资产类型为证券公司发行的收益凭证，资产到期日不超过理财产品最近一次开放日，融资人为华宝证券股份有限公司，融资人评级为AA+（评级机构为联合资信评估股份有限公司）。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56.券商收益凭证：资产类型为证券公司发行的收益凭证，资产到期日不超过理财产品最近一次开放日，融资人为上海证券有限责任公司，融资人评级为AAA（评级机构为上海新世纪资信评估投资服务有限公司）。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57.券商收益凭证：资产类型为证券公司发行的收益凭证，资产到期日不超过理财产品最近一次开放日，融资人为山西证券股份有限公司，融资人评级为AAA（评级机构为中诚信国际信用评级有限责任公司）。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58.券商收益凭证：资产类型为证券公司发行的收益凭证，资产到期日不超过理财产品最近一次开放日，融资人为中银国际证券股份有限公司，融资人评级为AAA（评级机构为中诚信国际信用评级有限责任公司）。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59.券商收益凭证：资产类型为证券公司发行的收益凭证，资产到期日不超过理财产品最近一次开放日，融资人为首创证券股份有限公司，融资人评级为AAA（评级机构为中诚信国际信用评级有限责任公司）。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60.同业借款：资产类型为南银理财有限责任公司向持牌金融机构发放的同业借款，资产到期日不超过理财产品最近一次开放日，融资人为中国中信金融资产管理股份有限公司。</w:t>
            </w:r>
          </w:p>
          <w:p>
            <w:pPr>
              <w:pStyle w:val="null10"/>
              <w:spacing w:lineRule="exact" w:line="200"/>
            </w:pPr>
            <w:r>
              <w:rPr>
                <w:rFonts w:ascii="方正黑体_GBK" w:hAnsi="方正黑体_GBK" w:cs="宋体" w:eastAsia="方正黑体_GBK"/>
                <w:sz w:val="18"/>
                <w:szCs w:val="18"/>
              </w:rPr>
              <w:t>61.同业借款：资产类型为南银理财有限责任公司向持牌金融机构发放的同业借款，资产到期日不超过理财产品最近一次开放日，融资人为中国东方资产管理股份有限公司。</w:t>
            </w:r>
          </w:p>
          <w:p>
            <w:pPr>
              <w:pStyle w:val="null10"/>
              <w:spacing w:lineRule="exact" w:line="200"/>
            </w:pPr>
            <w:r>
              <w:rPr>
                <w:rFonts w:ascii="方正黑体_GBK" w:hAnsi="方正黑体_GBK" w:cs="宋体" w:eastAsia="方正黑体_GBK"/>
                <w:sz w:val="18"/>
                <w:szCs w:val="18"/>
              </w:rPr>
              <w:t>62.同业借款：资产类型为南银理财有限责任公司向持牌金融机构发放的同业借款，资产到期日不超过理财产品最近一次开放日，融资人为中国信达资产管理股份有限公司。</w:t>
            </w:r>
          </w:p>
          <w:p>
            <w:pPr>
              <w:pStyle w:val="null10"/>
              <w:spacing w:lineRule="exact" w:line="200"/>
            </w:pPr>
            <w:r>
              <w:rPr>
                <w:rFonts w:ascii="方正黑体_GBK" w:hAnsi="方正黑体_GBK" w:cs="宋体" w:eastAsia="方正黑体_GBK"/>
                <w:sz w:val="18"/>
                <w:szCs w:val="18"/>
              </w:rPr>
              <w:t>63.同业借款：资产类型为南银理财有限责任公司向持牌金融机构发放的同业借款，资产到期日不超过理财产品最近一次开放日，融资人为中国长城资产管理股份有限公司。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b/>
                <w:szCs w:val="18"/>
              </w:rPr>
              <w:t>本理财产品业绩比较基准为：中债新综合全价(1-3年)指数收益率 。</w:t>
            </w:r>
          </w:p>
          <w:p>
            <w:pPr>
              <w:pStyle w:val="null10"/>
              <w:spacing w:lineRule="exact" w:line="200"/>
              <w:jc w:val="left"/>
            </w:pPr>
            <w:r>
              <w:rPr>
                <w:rFonts w:ascii="方正黑体_GBK" w:hAnsi="方正黑体_GBK" w:cs="宋体" w:eastAsia="方正黑体_GBK"/>
                <w:sz w:val="18"/>
                <w:szCs w:val="18"/>
              </w:rPr>
              <w:t>注：</w:t>
            </w:r>
          </w:p>
          <w:p>
            <w:pPr>
              <w:pStyle w:val="null10"/>
              <w:spacing w:lineRule="exact" w:line="200"/>
              <w:jc w:val="left"/>
            </w:pPr>
            <w:r>
              <w:rPr>
                <w:rFonts w:ascii="方正黑体_GBK" w:hAnsi="方正黑体_GBK" w:cs="宋体" w:eastAsia="方正黑体_GBK"/>
                <w:sz w:val="18"/>
                <w:szCs w:val="18"/>
              </w:rPr>
              <w:t>1.中债新综合全价(1-3年)指数为中央国债登记结算有限责任公司发布的债券指数，投资者可登陆中国债券信息网查询。</w:t>
            </w:r>
          </w:p>
          <w:p>
            <w:pPr>
              <w:pStyle w:val="null10"/>
              <w:spacing w:lineRule="exact" w:line="200"/>
              <w:jc w:val="left"/>
            </w:pPr>
            <w:r>
              <w:rPr>
                <w:rFonts w:ascii="方正黑体_GBK" w:hAnsi="方正黑体_GBK" w:cs="宋体" w:eastAsia="方正黑体_GBK"/>
                <w:sz w:val="18"/>
                <w:szCs w:val="18"/>
              </w:rPr>
              <w:t>2.在某一封闭期内，以上指数收益率（年化）计算方式为：（封闭期末日的指数收盘价÷封闭期首日前一工作日的指数收盘价-1）÷该封闭期天数×365天。</w:t>
            </w:r>
          </w:p>
          <w:p>
            <w:pPr>
              <w:pStyle w:val="null10"/>
              <w:spacing w:lineRule="exact" w:line="200"/>
              <w:jc w:val="left"/>
            </w:pPr>
            <w:r>
              <w:rPr>
                <w:rFonts w:ascii="方正黑体_GBK" w:hAnsi="方正黑体_GBK" w:cs="宋体" w:eastAsia="方正黑体_GBK"/>
                <w:sz w:val="18"/>
                <w:szCs w:val="18"/>
              </w:rPr>
              <w:t>3.管理人将在本理财产品定期报告中对以上业绩比较基准进行跟踪和披露。</w:t>
            </w:r>
          </w:p>
          <w:p>
            <w:pPr>
              <w:pStyle w:val="null10"/>
              <w:spacing w:lineRule="exact" w:line="200"/>
              <w:jc w:val="left"/>
            </w:pPr>
            <w:r>
              <w:rPr>
                <w:rFonts w:ascii="方正黑体_GBK" w:hAnsi="方正黑体_GBK" w:cs="宋体" w:eastAsia="方正黑体_GBK"/>
                <w:sz w:val="18"/>
                <w:szCs w:val="18"/>
              </w:rPr>
              <w:t>4.南银理财可根据市场情况对业绩比较基准进行适当调整，如有调整，将至少于调整前3个工作日公布调整方案。</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b/>
                <w:color w:val="333333"/>
                <w:shd w:fill="FFFFFF" w:val="clear"/>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本理财产品按前一日理财产品资产净值收取年化0.3%的固定管理费，按日计提。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rsidR="003064A5" w:rsidRDefault="001C604D">
            <w:pPr>
              <w:pStyle w:val="null10"/>
            </w:pPr>
            <w:r>
              <w:rPr>
                <w:b/>
                <w:sz w:val="18"/>
                <w:szCs w:val="18"/>
                <w:rFonts w:ascii="方正黑体_GBK" w:hAnsi="方正黑体_GBK" w:eastAsia="方正黑体_GBK"/>
              </w:rPr>
              <w:t>申购/赎回确认日和产品实际到期时，当期产品投资的实际资产组合收益（扣除销售费、固定管理费、托管费等相关费用）超过3.3%（年化，即产品该份额对应的业绩报酬计提基准）时，超过部分管理人将按20%收取业绩报酬。</w:t>
            </w:r>
            <w:r>
              <w:rPr>
                <w:rFonts w:hint="eastAsia" w:ascii="方正黑体_GBK" w:hAnsi="方正黑体_GBK" w:eastAsia="方正黑体_GBK"/>
                <w:sz w:val="18"/>
                <w:szCs w:val="18"/>
              </w:rPr>
              <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齐鲁银行股份有限公司、中信百信银行股份有限公司、日照银行股份有限公司、无锡锡商银行股份有限公司、江苏如皋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广东粤财信托有限公司成立于1985年03月07日，注册资本金380000万元。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重庆国际信托股份有限公司成立于1984年10月22日，注册资本金150亿元。</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326ac4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aa9867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aa9867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aa9867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aa9867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aa9867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aa9867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aa9867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aa9867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南银理财珠联璧合行稳1906一年定开公募人民币理财产品</w:t>
      </w:r>
      <w:r>
        <w:rPr>
          <w:rFonts w:ascii="方正黑体_GBK" w:eastAsia="方正黑体_GBK" w:hint="eastAsia" w:hAnsi="方正黑体_GBK"/>
          <w:vanish w:val="0"/>
          <w:color w:val="3D3D3D"/>
          <w:kern w:val="0"/>
          <w:sz w:val="15"/>
          <w:szCs w:val="15"/>
        </w:rPr>
        <w:t>。</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aa9867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aa9867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aa9867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aa9867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a6130f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a6130f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a6130f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a6130f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a6130f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a6130f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aa9867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aa9867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aa9867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a6130f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326ac41"/>
        <w:keepNext w:val="0"/>
        <w:keepLines w:val="0"/>
        <w:pageBreakBefore w:val="0"/>
        <w:widowControl/>
        <w:suppressLineNumbers w:val="0"/>
        <w:suppressAutoHyphens w:val="0"/>
        <w:spacing w:line="200" w:lineRule="exact"/>
        <w:ind w:firstLineChars="200" w:firstLine="300"/>
        <w:rPr>
          <w:rStyle w:val="8a6130f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280"/>
        <w:jc w:val="left"/>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280"/>
        <w:jc w:val="left"/>
      </w:pPr>
      <w:r>
        <w:rPr>
          <w:rFonts w:ascii="方正黑体_GBK" w:hAnsi="方正黑体_GBK" w:cs="宋体" w:eastAsia="方正黑体_GBK"/>
          <w:sz w:val="15"/>
          <w:szCs w:val="20"/>
        </w:rPr>
        <w:t>1.银行存款、回购等货币市场工具</w:t>
      </w:r>
    </w:p>
    <w:p>
      <w:pPr>
        <w:pStyle w:val="null10"/>
        <w:spacing w:lineRule="exact" w:line="200"/>
        <w:ind w:firstLine="280"/>
        <w:jc w:val="left"/>
      </w:pPr>
      <w:r>
        <w:rPr>
          <w:rFonts w:ascii="方正黑体_GBK" w:hAnsi="方正黑体_GBK" w:cs="宋体" w:eastAsia="方正黑体_GBK"/>
          <w:sz w:val="15"/>
          <w:szCs w:val="20"/>
        </w:rPr>
        <w:t>以本金列示，按商定的利率在实际持有期间内逐日计提。</w:t>
      </w:r>
    </w:p>
    <w:p>
      <w:pPr>
        <w:pStyle w:val="null10"/>
        <w:spacing w:lineRule="exact" w:line="200"/>
        <w:ind w:firstLine="280"/>
        <w:jc w:val="left"/>
      </w:pPr>
      <w:r>
        <w:rPr>
          <w:rFonts w:ascii="方正黑体_GBK" w:hAnsi="方正黑体_GBK" w:cs="宋体" w:eastAsia="方正黑体_GBK"/>
          <w:sz w:val="15"/>
          <w:color w:val="3D3D3D"/>
          <w:szCs w:val="20"/>
        </w:rPr>
        <w:t>2.债券类资产</w:t>
      </w:r>
    </w:p>
    <w:p>
      <w:pPr>
        <w:pStyle w:val="null10"/>
        <w:spacing w:lineRule="exact" w:line="200"/>
        <w:ind w:firstLine="280"/>
        <w:jc w:val="left"/>
      </w:pPr>
      <w:r>
        <w:rPr>
          <w:rFonts w:ascii="方正黑体_GBK" w:hAnsi="方正黑体_GBK" w:cs="宋体" w:eastAsia="方正黑体_GBK"/>
          <w:sz w:val="15"/>
          <w:color w:val="3D3D3D"/>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pPr>
        <w:pStyle w:val="null10"/>
        <w:spacing w:lineRule="exact" w:line="200"/>
        <w:ind w:firstLine="280"/>
        <w:jc w:val="left"/>
      </w:pPr>
      <w:r>
        <w:rPr>
          <w:rFonts w:ascii="方正黑体_GBK" w:hAnsi="方正黑体_GBK" w:cs="宋体" w:eastAsia="方正黑体_GBK"/>
          <w:sz w:val="15"/>
          <w:color w:val="3D3D3D"/>
          <w:szCs w:val="20"/>
        </w:rPr>
        <w:t>3.非标准化债权类资产</w:t>
      </w:r>
    </w:p>
    <w:p>
      <w:pPr>
        <w:pStyle w:val="null10"/>
        <w:spacing w:lineRule="exact" w:line="200"/>
        <w:ind w:firstLine="280"/>
        <w:jc w:val="left"/>
      </w:pPr>
      <w:r>
        <w:rPr>
          <w:rFonts w:ascii="方正黑体_GBK" w:hAnsi="方正黑体_GBK" w:cs="宋体" w:eastAsia="方正黑体_GBK"/>
          <w:sz w:val="15"/>
          <w:color w:val="3D3D3D"/>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280"/>
        <w:jc w:val="left"/>
      </w:pPr>
      <w:r>
        <w:rPr>
          <w:rFonts w:ascii="方正黑体_GBK" w:hAnsi="方正黑体_GBK" w:cs="宋体" w:eastAsia="方正黑体_GBK"/>
          <w:sz w:val="15"/>
          <w:color w:val="3D3D3D"/>
          <w:szCs w:val="20"/>
        </w:rPr>
        <w:t>4.证券投资基金</w:t>
      </w:r>
    </w:p>
    <w:p>
      <w:pPr>
        <w:pStyle w:val="null10"/>
        <w:spacing w:lineRule="exact" w:line="200"/>
        <w:ind w:firstLine="280"/>
        <w:jc w:val="left"/>
      </w:pPr>
      <w:r>
        <w:rPr>
          <w:rFonts w:ascii="方正黑体_GBK" w:hAnsi="方正黑体_GBK" w:cs="宋体" w:eastAsia="方正黑体_GBK"/>
          <w:sz w:val="15"/>
          <w:color w:val="3D3D3D"/>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pPr>
        <w:pStyle w:val="null10"/>
        <w:spacing w:lineRule="exact" w:line="200"/>
        <w:ind w:firstLine="280"/>
        <w:jc w:val="left"/>
      </w:pPr>
      <w:r>
        <w:rPr>
          <w:rFonts w:ascii="方正黑体_GBK" w:hAnsi="方正黑体_GBK" w:cs="宋体" w:eastAsia="方正黑体_GBK"/>
          <w:sz w:val="15"/>
          <w:color w:val="3D3D3D"/>
          <w:szCs w:val="20"/>
        </w:rPr>
        <w:t>5.股权类资产</w:t>
      </w:r>
    </w:p>
    <w:p>
      <w:pPr>
        <w:pStyle w:val="null10"/>
        <w:spacing w:lineRule="exact" w:line="200"/>
        <w:ind w:firstLine="280"/>
        <w:jc w:val="left"/>
      </w:pPr>
      <w:r>
        <w:rPr>
          <w:rFonts w:ascii="方正黑体_GBK" w:hAnsi="方正黑体_GBK" w:cs="宋体" w:eastAsia="方正黑体_GBK"/>
          <w:sz w:val="15"/>
          <w:color w:val="3D3D3D"/>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6.资管计划、信托计划等资产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7.其他资产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存在公允价值的，按照公允价值估值，或采用估值技术确定估值，也可采用被委托机构提供的估值或计量报告。具体可参考《企业会计准则》以及相关监管政策的规定。</w:t>
      </w:r>
    </w:p>
    <w:p>
      <w:pPr>
        <w:pStyle w:val="null10"/>
        <w:spacing w:lineRule="exact" w:line="200"/>
        <w:ind w:firstLine="280"/>
        <w:jc w:val="left"/>
      </w:pPr>
      <w:r>
        <w:rPr>
          <w:rFonts w:ascii="方正黑体_GBK" w:hAnsi="方正黑体_GBK" w:cs="宋体" w:eastAsia="方正黑体_GBK"/>
          <w:sz w:val="15"/>
          <w:color w:val="3D3D3D"/>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pPr>
        <w:pStyle w:val="null10"/>
        <w:spacing w:lineRule="exact" w:line="200"/>
        <w:ind w:firstLine="280"/>
        <w:jc w:val="left"/>
      </w:pPr>
      <w:r>
        <w:rPr>
          <w:rFonts w:ascii="方正黑体_GBK" w:hAnsi="方正黑体_GBK" w:cs="宋体" w:eastAsia="方正黑体_GBK"/>
          <w:sz w:val="15"/>
          <w:color w:val="3D3D3D"/>
          <w:szCs w:val="20"/>
        </w:rPr>
        <w:t>9.如有新增事项或变更事项，按国家最新规定或管理人最新的约定估值。</w:t>
      </w:r>
    </w:p>
    <w:p>
      <w:pPr>
        <w:pStyle w:val="null10"/>
        <w:spacing w:lineRule="exact" w:line="200"/>
        <w:ind w:firstLine="280"/>
        <w:jc w:val="left"/>
      </w:pPr>
      <w:r>
        <w:rPr>
          <w:rFonts w:ascii="方正黑体_GBK" w:hAnsi="方正黑体_GBK" w:cs="宋体" w:eastAsia="方正黑体_GBK"/>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326ac4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326ac4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326ac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按月</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326ac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326ac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326ac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326ac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326ac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326ac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326ac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326ac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326ac4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326ac4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326ac4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326ac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326ac4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60e3cbb">
    <w:name w:val="Normale60e3cb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65ba355">
    <w:name w:val="heading 1b65ba355"/>
    <w:basedOn w:val="e60e3cb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855eb4f">
    <w:name w:val="heading 2b855eb4f"/>
    <w:basedOn w:val="e60e3cb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4c9bc5c">
    <w:name w:val="heading 384c9bc5c"/>
    <w:basedOn w:val="e60e3cb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c2ca7f3">
    <w:name w:val="Default Paragraph Fontbc2ca7f3"/>
  </w:style>
  <w:style xmlns:r="http://schemas.openxmlformats.org/officeDocument/2006/relationships" w:type="paragraph" w:styleId="2b81c381">
    <w:name w:val="toc 12b81c381"/>
    <w:basedOn w:val="e60e3cbb"/>
    <w:autoRedefine/>
    <w:next w:val="0"/>
  </w:style>
  <w:style xmlns:r="http://schemas.openxmlformats.org/officeDocument/2006/relationships" w:type="paragraph" w:styleId="5c9a7a41">
    <w:name w:val="toc 25c9a7a41"/>
    <w:basedOn w:val="e60e3cbb"/>
    <w:autoRedefine/>
    <w:next w:val="0"/>
    <w:pPr>
      <w:ind w:left="420"/>
    </w:pPr>
  </w:style>
  <w:style xmlns:r="http://schemas.openxmlformats.org/officeDocument/2006/relationships" w:type="paragraph" w:styleId="68f19bc8">
    <w:name w:val="toc 368f19bc8"/>
    <w:basedOn w:val="e60e3cbb"/>
    <w:autoRedefine/>
    <w:next w:val="0"/>
    <w:pPr>
      <w:ind w:left="840"/>
    </w:pPr>
  </w:style>
  <w:style xmlns:r="http://schemas.openxmlformats.org/officeDocument/2006/relationships" w:type="paragraph" w:styleId="68e793a8">
    <w:name w:val="toc 468e793a8"/>
    <w:basedOn w:val="e60e3cbb"/>
    <w:autoRedefine/>
    <w:next w:val="0"/>
    <w:pPr>
      <w:ind w:left="1260"/>
    </w:pPr>
  </w:style>
  <w:style xmlns:r="http://schemas.openxmlformats.org/officeDocument/2006/relationships" w:type="paragraph" w:styleId="7452b768">
    <w:name w:val="toc 57452b768"/>
    <w:basedOn w:val="e60e3cbb"/>
    <w:autoRedefine/>
    <w:next w:val="0"/>
    <w:pPr>
      <w:ind w:left="1680"/>
    </w:pPr>
  </w:style>
  <w:style xmlns:r="http://schemas.openxmlformats.org/officeDocument/2006/relationships" w:type="paragraph" w:styleId="6ad18c2c">
    <w:name w:val="header6ad18c2c"/>
    <w:basedOn w:val="e60e3cb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a862f35">
    <w:name w:val="footer9a862f35"/>
    <w:basedOn w:val="e60e3cbb"/>
    <w:pPr>
      <w:tabs>
        <w:tab w:val="center" w:pos="4153"/>
        <w:tab w:val="right" w:pos="8307"/>
      </w:tabs>
      <w:adjustRightInd/>
      <w:snapToGrid w:val="0"/>
      <w:contextualSpacing w:val="0"/>
      <w:jc w:val="left"/>
    </w:pPr>
    <w:rPr>
      <w:sz w:val="18"/>
    </w:rPr>
  </w:style>
  <w:style xmlns:r="http://schemas.openxmlformats.org/officeDocument/2006/relationships" w:type="character" w:styleId="c4f9529c">
    <w:name w:val="Strongc4f9529c"/>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326ac41">
    <w:name w:val="Normal2326ac4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120e0a3">
    <w:name w:val="heading 12120e0a3"/>
    <w:basedOn w:val="2326ac4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0087605">
    <w:name w:val="heading 210087605"/>
    <w:basedOn w:val="2326ac4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c2d2fbd">
    <w:name w:val="heading 3fc2d2fbd"/>
    <w:basedOn w:val="2326ac4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097d559">
    <w:name w:val="Default Paragraph Font6097d559"/>
  </w:style>
  <w:style xmlns:r="http://schemas.openxmlformats.org/officeDocument/2006/relationships" w:type="paragraph" w:styleId="e7ddbada">
    <w:name w:val="Normal Indente7ddbada"/>
    <w:basedOn w:val="2326ac41"/>
    <w:pPr>
      <w:ind w:firstLineChars="200" w:firstLine="200"/>
    </w:pPr>
  </w:style>
  <w:style xmlns:r="http://schemas.openxmlformats.org/officeDocument/2006/relationships" w:type="paragraph" w:styleId="d9154a19">
    <w:name w:val="toc 5d9154a19"/>
    <w:basedOn w:val="2326ac41"/>
    <w:next w:val="0"/>
    <w:pPr>
      <w:ind w:left="1680"/>
    </w:pPr>
  </w:style>
  <w:style xmlns:r="http://schemas.openxmlformats.org/officeDocument/2006/relationships" w:type="paragraph" w:styleId="dc2b7580">
    <w:name w:val="toc 3dc2b7580"/>
    <w:basedOn w:val="2326ac41"/>
    <w:next w:val="0"/>
    <w:pPr>
      <w:ind w:left="840"/>
    </w:pPr>
  </w:style>
  <w:style xmlns:r="http://schemas.openxmlformats.org/officeDocument/2006/relationships" w:type="paragraph" w:styleId="8f87f9b0">
    <w:name w:val="footer8f87f9b0"/>
    <w:basedOn w:val="2326ac41"/>
    <w:pPr>
      <w:tabs>
        <w:tab w:val="center" w:pos="4153"/>
        <w:tab w:val="right" w:pos="8307"/>
      </w:tabs>
      <w:adjustRightInd/>
      <w:snapToGrid w:val="0"/>
      <w:contextualSpacing w:val="0"/>
      <w:jc w:val="left"/>
    </w:pPr>
    <w:rPr>
      <w:sz w:val="18"/>
    </w:rPr>
  </w:style>
  <w:style xmlns:r="http://schemas.openxmlformats.org/officeDocument/2006/relationships" w:type="paragraph" w:styleId="9bcc11d3">
    <w:name w:val="header9bcc11d3"/>
    <w:basedOn w:val="2326ac4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0d1ce45">
    <w:name w:val="toc 160d1ce45"/>
    <w:basedOn w:val="2326ac41"/>
    <w:next w:val="0"/>
  </w:style>
  <w:style xmlns:r="http://schemas.openxmlformats.org/officeDocument/2006/relationships" w:type="paragraph" w:styleId="ee8e6b63">
    <w:name w:val="toc 4ee8e6b63"/>
    <w:basedOn w:val="2326ac41"/>
    <w:next w:val="0"/>
    <w:pPr>
      <w:ind w:left="1260"/>
    </w:pPr>
  </w:style>
  <w:style xmlns:r="http://schemas.openxmlformats.org/officeDocument/2006/relationships" w:type="paragraph" w:styleId="671bd515">
    <w:name w:val="toc 2671bd515"/>
    <w:basedOn w:val="2326ac41"/>
    <w:next w:val="0"/>
    <w:pPr>
      <w:ind w:left="420"/>
    </w:pPr>
  </w:style>
  <w:style xmlns:r="http://schemas.openxmlformats.org/officeDocument/2006/relationships" w:type="paragraph" w:styleId="ae0feb9f">
    <w:name w:val="Normal (Web)ae0feb9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aa9867d">
    <w:name w:val="Normal9aa9867d9aa9867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70a7af7">
    <w:name w:val="heading 1e70a7af7e70a7af7"/>
    <w:basedOn w:val="9aa9867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e70fe45">
    <w:name w:val="heading 2fe70fe45fe70fe45"/>
    <w:basedOn w:val="9aa9867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53318be">
    <w:name w:val="heading 3153318be153318be"/>
    <w:basedOn w:val="9aa9867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291ca9d">
    <w:name w:val="Default Paragraph Fontb291ca9db291ca9d"/>
  </w:style>
  <w:style xmlns:r="http://schemas.openxmlformats.org/officeDocument/2006/relationships" w:type="paragraph" w:customStyle="1" w:styleId="8ff1fe2e">
    <w:name w:val="引文目录18ff1fe2e8ff1fe2e"/>
    <w:basedOn w:val="9aa9867d"/>
    <w:next w:val="0"/>
    <w:pPr>
      <w:ind w:leftChars="200" w:left="200"/>
    </w:pPr>
  </w:style>
  <w:style xmlns:r="http://schemas.openxmlformats.org/officeDocument/2006/relationships" w:type="paragraph" w:styleId="b8325229">
    <w:name w:val="toc 5b8325229b8325229"/>
    <w:basedOn w:val="9aa9867d"/>
    <w:next w:val="0"/>
    <w:pPr>
      <w:ind w:left="1680"/>
    </w:pPr>
  </w:style>
  <w:style xmlns:r="http://schemas.openxmlformats.org/officeDocument/2006/relationships" w:type="paragraph" w:styleId="ad009415">
    <w:name w:val="toc 3ad009415ad009415"/>
    <w:basedOn w:val="9aa9867d"/>
    <w:next w:val="0"/>
    <w:pPr>
      <w:ind w:left="840"/>
    </w:pPr>
  </w:style>
  <w:style xmlns:r="http://schemas.openxmlformats.org/officeDocument/2006/relationships" w:type="paragraph" w:styleId="20138f86">
    <w:name w:val="footer20138f8620138f86"/>
    <w:basedOn w:val="9aa9867d"/>
    <w:pPr>
      <w:tabs>
        <w:tab w:val="center" w:pos="4153"/>
        <w:tab w:val="right" w:pos="8307"/>
      </w:tabs>
      <w:adjustRightInd/>
      <w:snapToGrid w:val="0"/>
      <w:contextualSpacing w:val="0"/>
      <w:jc w:val="left"/>
    </w:pPr>
    <w:rPr>
      <w:sz w:val="18"/>
    </w:rPr>
  </w:style>
  <w:style xmlns:r="http://schemas.openxmlformats.org/officeDocument/2006/relationships" w:type="paragraph" w:styleId="278dbbac">
    <w:name w:val="header278dbbac278dbbac"/>
    <w:basedOn w:val="9aa9867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ea97e00">
    <w:name w:val="toc 1aea97e00aea97e00"/>
    <w:basedOn w:val="9aa9867d"/>
    <w:next w:val="0"/>
  </w:style>
  <w:style xmlns:r="http://schemas.openxmlformats.org/officeDocument/2006/relationships" w:type="paragraph" w:styleId="6a30aa2f">
    <w:name w:val="toc 46a30aa2f6a30aa2f"/>
    <w:basedOn w:val="9aa9867d"/>
    <w:next w:val="0"/>
    <w:pPr>
      <w:ind w:left="1260"/>
    </w:pPr>
  </w:style>
  <w:style xmlns:r="http://schemas.openxmlformats.org/officeDocument/2006/relationships" w:type="paragraph" w:styleId="1467e023">
    <w:name w:val="toc 21467e0231467e023"/>
    <w:basedOn w:val="9aa9867d"/>
    <w:next w:val="0"/>
    <w:pPr>
      <w:ind w:left="420"/>
    </w:pPr>
  </w:style>
  <w:style xmlns:r="http://schemas.openxmlformats.org/officeDocument/2006/relationships" w:type="paragraph" w:customStyle="1" w:styleId="8a6130f5">
    <w:name w:val="列出段落18a6130f58a6130f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