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5e4f1f5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5e4f1f5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类型：开放式、固定收益类、公募、净值型。</w:t>
      </w:r>
    </w:p>
    <w:p>
      <w:pPr>
        <w:pStyle w:val="5e4f1f5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e4f1f5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e4f1f5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e4f1f5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e4f1f5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e4f1f5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e4f1f5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e4f1f5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e4f1f53"/>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b6c80c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b6c80c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f9ebea7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南银理财珠联璧合理财管理计划5号开放式公募人民币理财产品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ZC108692044793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Z7003220000018(投资者可依据该编码在中国理财网www.chinawealth.com.cn查询理财产品相关信息）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A份额：Z11009</w:t>
            </w:r>
          </w:p>
          <w:p>
            <w:pPr>
              <w:pStyle w:val="null10"/>
              <w:spacing w:lineRule="exact" w:line="200"/>
            </w:pPr>
            <w:r>
              <w:rPr>
                <w:rFonts w:ascii="方正黑体_GBK" w:hAnsi="方正黑体_GBK" w:cs="宋体" w:eastAsia="方正黑体_GBK"/>
                <w:sz w:val="18"/>
                <w:szCs w:val="18"/>
              </w:rPr>
              <w:t>B份额：Z11010</w:t>
            </w:r>
          </w:p>
          <w:p w:rsidR="003064A5" w:rsidRDefault="001C604D">
            <w:pPr>
              <w:pStyle w:val="null10"/>
            </w:pPr>
            <w:r>
              <w:rPr>
                <w:sz w:val="18"/>
                <w:szCs w:val="18"/>
                <w:rFonts w:ascii="方正黑体_GBK" w:hAnsi="方正黑体_GBK" w:eastAsia="方正黑体_GBK"/>
              </w:rPr>
            </w:r>
            <w:r>
              <w:rPr>
                <w:rFonts w:hint="eastAsia" w:ascii="方正黑体_GBK" w:hAnsi="方正黑体_GBK" w:eastAsia="方正黑体_GBK"/>
                <w:sz w:val="18"/>
                <w:szCs w:val="18"/>
              </w:rPr>
              <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sz w:val="18"/>
                <w:szCs w:val="18"/>
              </w:rPr>
              <w:t>10年</w:t>
            </w:r>
            <w:r>
              <w:rPr>
                <w:rFonts w:ascii="方正黑体_GBK" w:cs="宋体" w:hint="eastAsia" w:hAnsi="方正黑体_GBK" w:eastAsia="方正黑体_GBK"/>
                <w:kern w:val="0"/>
                <w:lang w:val="en-US" w:eastAsia="zh-CN"/>
                <w:sz w:val="18"/>
                <w:szCs w:val="18"/>
              </w:rPr>
              <w:t>（管理人有权提前终止或延期终止）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A份额：面向所有销售机构的所有客户销售</w:t>
            </w:r>
          </w:p>
          <w:p>
            <w:pPr>
              <w:pStyle w:val="null10"/>
              <w:spacing w:lineRule="exact" w:line="200"/>
            </w:pPr>
            <w:r>
              <w:rPr>
                <w:rFonts w:ascii="方正黑体_GBK" w:hAnsi="方正黑体_GBK" w:cs="宋体" w:eastAsia="方正黑体_GBK"/>
                <w:sz w:val="18"/>
                <w:szCs w:val="18"/>
              </w:rPr>
              <w:t>B份额：面向南京银行股份有限公司私钻客户、齐鲁银行股份有限公司白金客户或私行客户销售</w:t>
            </w:r>
          </w:p>
          <w:p w:rsidR="003064A5" w:rsidRDefault="001C604D">
            <w:pPr>
              <w:pStyle w:val="null10"/>
            </w:pPr>
            <w:r>
              <w:rPr>
                <w:sz w:val="18"/>
                <w:szCs w:val="18"/>
                <w:rFonts w:ascii="方正黑体_GBK" w:hAnsi="方正黑体_GBK" w:eastAsia="方正黑体_GBK"/>
              </w:rPr>
            </w:r>
            <w:r>
              <w:rPr>
                <w:rFonts w:hint="eastAsia" w:ascii="方正黑体_GBK" w:hAnsi="方正黑体_GBK" w:eastAsia="方正黑体_GBK"/>
                <w:sz w:val="18"/>
                <w:szCs w:val="18"/>
              </w:rPr>
              <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B份额：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本理财产品暂不设置单个投资者持有金额上限。</w:t>
            </w:r>
          </w:p>
          <w:p>
            <w:pPr>
              <w:pStyle w:val="null10"/>
              <w:spacing w:lineRule="exact" w:line="200"/>
            </w:pPr>
            <w:r>
              <w:rPr>
                <w:rFonts w:ascii="方正黑体_GBK" w:hAnsi="方正黑体_GBK" w:cs="宋体" w:eastAsia="方正黑体_GBK"/>
                <w:sz w:val="18"/>
                <w:szCs w:val="18"/>
              </w:rPr>
              <w:t>理财产品管理人有权根据实际业务需求设置单个投资者持有金额上限，并在设置前至少3个工作日进行信息披露。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2020年10月20日 09:00—2020年10月22日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2020年10月23日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2020年10月23日—实际到期日（若本理财产品未被提前终止或延期终止，则实际到期日即为名义到期日，存续期限10年；若本理财产品被提前终止或延期终止，则实际到期日为提前终止日或延期终止日。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cs="宋体" w:eastAsia="方正黑体_GBK"/>
                <w:sz w:val="18"/>
                <w:b/>
                <w:szCs w:val="18"/>
              </w:rPr>
              <w:t>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2030年12月31日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存续期内按周开放申购，申购开放期内的申购申请于每周五确认并开始运作，如遇节假日具体申购开放期和运作起始日以公告为准。（申购申请被确认并开始运作的日期称为该申购申请确认份额的“运作起始日”。）</w:t>
            </w:r>
          </w:p>
          <w:p>
            <w:pPr>
              <w:pStyle w:val="null10"/>
              <w:spacing w:lineRule="exact" w:line="200"/>
            </w:pPr>
            <w:r>
              <w:rPr>
                <w:rFonts w:ascii="方正黑体_GBK" w:hAnsi="方正黑体_GBK" w:cs="宋体" w:eastAsia="方正黑体_GBK"/>
                <w:sz w:val="18"/>
                <w:b/>
                <w:szCs w:val="18"/>
              </w:rPr>
              <w:t>申购时间：申购开放期起始日9:00-申购开放期结束日17:00，申购开放期结束日17:00前可以撤销申购申请。</w:t>
            </w:r>
          </w:p>
          <w:p>
            <w:pPr>
              <w:pStyle w:val="null10"/>
              <w:spacing w:lineRule="exact" w:line="200"/>
            </w:pPr>
            <w:r>
              <w:rPr>
                <w:rFonts w:ascii="方正黑体_GBK" w:hAnsi="方正黑体_GBK" w:cs="宋体" w:eastAsia="方正黑体_GBK"/>
                <w:sz w:val="18"/>
                <w:b/>
                <w:szCs w:val="18"/>
              </w:rPr>
              <w:t>代销机构可根据其销售需要重新设定申购时间，投资者通过代销机构购买本理财产品的，以该代销机构最终披露的申购时间和规则为准。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b/>
                <w:szCs w:val="18"/>
              </w:rPr>
              <w:t>申购份额=申购金额/运作起始日前一工作日的产品单位净值</w:t>
            </w:r>
          </w:p>
          <w:p>
            <w:pPr>
              <w:pStyle w:val="null10"/>
              <w:spacing w:lineRule="exact" w:line="200"/>
              <w:jc w:val="left"/>
            </w:pPr>
            <w:r>
              <w:rPr>
                <w:rFonts w:ascii="方正黑体_GBK" w:hAnsi="方正黑体_GBK" w:cs="宋体" w:eastAsia="方正黑体_GBK"/>
                <w:sz w:val="18"/>
                <w:szCs w:val="18"/>
              </w:rPr>
              <w:t>（申购份额按去尾法保留两位小数）。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客户每笔持有份额运作满364天将由系统发起全额自动赎回，如遇节假日顺延，投资者无需提交赎回申请。（系统自动发起赎回的日期称为该份额的“自动赎回日”。）</w:t>
            </w:r>
          </w:p>
          <w:p>
            <w:pPr>
              <w:pStyle w:val="null10"/>
              <w:spacing w:lineRule="exact" w:line="200"/>
            </w:pPr>
            <w:r>
              <w:rPr>
                <w:rFonts w:ascii="方正黑体_GBK" w:hAnsi="方正黑体_GBK" w:cs="宋体" w:eastAsia="方正黑体_GBK"/>
                <w:sz w:val="18"/>
                <w:b/>
                <w:szCs w:val="18"/>
              </w:rPr>
              <w:t>本产品不设大额赎回条款，无赎回费用。</w:t>
            </w:r>
          </w:p>
          <w:p>
            <w:pPr>
              <w:pStyle w:val="null10"/>
              <w:spacing w:lineRule="exact" w:line="200"/>
            </w:pPr>
            <w:r>
              <w:rPr>
                <w:rFonts w:ascii="方正黑体_GBK" w:hAnsi="方正黑体_GBK" w:cs="宋体" w:eastAsia="方正黑体_GBK"/>
                <w:sz w:val="18"/>
                <w:b/>
                <w:szCs w:val="18"/>
              </w:rPr>
              <w:t>注：客户每笔持有份额在进入该份额的运作周期后不能提前赎回（本理财产品每笔份额的运作周期为364天，如遇节假日延长），投资者应考虑产品期限并合理安排自身投资计划。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赎回金额=赎回份额×自动赎回日前一工作日的产品单位净值（已扣除相关费用）</w:t>
            </w:r>
          </w:p>
          <w:p>
            <w:pPr>
              <w:pStyle w:val="null10"/>
              <w:spacing w:lineRule="exact" w:line="200"/>
            </w:pPr>
            <w:r>
              <w:rPr>
                <w:rFonts w:ascii="方正黑体_GBK" w:hAnsi="方正黑体_GBK" w:cs="宋体" w:eastAsia="方正黑体_GBK"/>
                <w:sz w:val="18"/>
                <w:szCs w:val="18"/>
              </w:rPr>
              <w:t>（赎回金额按去尾法保留两位小数）</w:t>
            </w:r>
          </w:p>
          <w:p>
            <w:pPr>
              <w:pStyle w:val="null10"/>
              <w:spacing w:lineRule="exact" w:line="200"/>
            </w:pPr>
            <w:r>
              <w:rPr>
                <w:rFonts w:ascii="方正黑体_GBK" w:hAnsi="方正黑体_GBK" w:cs="宋体" w:eastAsia="方正黑体_GBK"/>
                <w:sz w:val="18"/>
                <w:b/>
                <w:szCs w:val="18"/>
              </w:rPr>
              <w:t>产品的赎回费、业绩报酬等费用（如有）将从赎回金额中扣除。</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r>
              <w:rPr>
                <w:rFonts w:ascii="方正黑体_GBK" w:eastAsia="方正黑体_GBK" w:cs="Times New Roman" w:hAnsi="方正黑体_GBK"/>
                <w:color w:val="000000"/>
                <w:kern w:val="0"/>
                <w:sz w:val="18"/>
                <w:szCs w:val="18"/>
              </w:rPr>
              <w:t>份额运作周期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每笔份额的运作周期为该份额的运作起始日（含）至自动赎回日（不含）。</w:t>
            </w:r>
          </w:p>
          <w:p>
            <w:pPr>
              <w:pStyle w:val="null10"/>
              <w:spacing w:lineRule="exact" w:line="200"/>
            </w:pPr>
            <w:r>
              <w:rPr>
                <w:rFonts w:ascii="方正黑体_GBK" w:hAnsi="方正黑体_GBK" w:cs="宋体" w:eastAsia="方正黑体_GBK"/>
                <w:sz w:val="18"/>
                <w:b/>
                <w:szCs w:val="18"/>
              </w:rPr>
              <w:t>客户每笔份额的实际持有天数为该份额的运作起始日（含）至自动赎回日（不含）之间的天数</w:t>
            </w:r>
            <w:r>
              <w:rPr>
                <w:rFonts w:ascii="方正黑体_GBK" w:hAnsi="方正黑体_GBK" w:cs="宋体" w:eastAsia="方正黑体_GBK"/>
                <w:sz w:val="18"/>
                <w:szCs w:val="18"/>
              </w:rPr>
              <w:t>。</w:t>
            </w:r>
          </w:p>
          <w:p>
            <w:pPr>
              <w:pStyle w:val="null10"/>
              <w:spacing w:lineRule="exact" w:line="200"/>
            </w:pPr>
            <w:r>
              <w:rPr>
                <w:rFonts w:ascii="方正黑体_GBK" w:hAnsi="方正黑体_GBK" w:cs="宋体" w:eastAsia="方正黑体_GBK"/>
                <w:sz w:val="18"/>
                <w:b/>
                <w:szCs w:val="18"/>
              </w:rPr>
              <w:t>本理财产品的份额运作周期/客户份额实际持有天数为364天（如遇节假日，客户份额实际持有天数可能将延长，具体以公告为准）。</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理财份额赎回退出时，赎回金额将于自动赎回日后5个工作日内划入销售文件约定的投资者授权指定账户，自动赎回日至资金到账日之间，投资者资金不计息。</w:t>
            </w:r>
          </w:p>
          <w:p>
            <w:pPr>
              <w:pStyle w:val="null10"/>
              <w:spacing w:lineRule="exact" w:line="200"/>
            </w:pPr>
            <w:r>
              <w:rPr>
                <w:rFonts w:ascii="方正黑体_GBK" w:hAnsi="方正黑体_GBK" w:cs="宋体" w:eastAsia="方正黑体_GBK"/>
                <w:sz w:val="18"/>
                <w:szCs w:val="18"/>
              </w:rPr>
              <w:t>如遇产品终止，终止日后5个工作日内管理人将投资者持有份额对应的理财资金金额一次性划转至投资者授权指定账户，终止日至资金到账日之间，投资者资金不计息。</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4.法律法规或监管机构允许投资的符合本理财产品投资性质的其他金融工具；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5.如存在法律法规或监管机构以后允许投资的其他品种或法律法规或监管政策出现调整，管理人在履行本理财产品销售文件规定的适当程序后，有权调整以上品种。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对所投资产的行业和品种的深入分析，自上而下进行积极主动的资产配置，构建合理的投资组合方案。力争控制回撤幅度，追求稳健的投资回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A份额：业绩比较基准为中债新综合全价(1-3年)指数收益率。</w:t>
            </w:r>
          </w:p>
          <w:p>
            <w:pPr>
              <w:pStyle w:val="null10"/>
              <w:spacing w:lineRule="exact" w:line="200"/>
            </w:pPr>
            <w:r>
              <w:rPr>
                <w:rFonts w:ascii="方正黑体_GBK" w:hAnsi="方正黑体_GBK" w:cs="宋体" w:eastAsia="方正黑体_GBK"/>
                <w:sz w:val="18"/>
                <w:szCs w:val="18"/>
              </w:rPr>
              <w:t>B份额：业绩比较基准为中债新综合全价(1-3年)指数收益率。</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结合债券市场的收益和波动水平预判，在本理财产品约定的投资策略基础上，管理人设定了本理财产品投资周期内的业绩比较基准。</w:t>
            </w:r>
            <w:r>
              <w:rPr>
                <w:rFonts w:ascii="方正黑体_GBK" w:hAnsi="方正黑体_GBK" w:eastAsia="方正黑体_GBK"/>
              </w:rPr>
              <w:br/>
            </w:r>
            <w:r>
              <w:rPr>
                <w:rFonts w:ascii="方正黑体_GBK" w:hAnsi="方正黑体_GBK" w:cs="宋体" w:eastAsia="方正黑体_GBK"/>
                <w:sz w:val="18"/>
                <w:szCs w:val="18"/>
              </w:rPr>
              <w:t>注：1.该指数为中央国债登记结算有限责任公司发布的债券指数，投资者可登陆中国债券信息网查询。</w:t>
            </w:r>
            <w:r>
              <w:rPr>
                <w:rFonts w:ascii="方正黑体_GBK" w:hAnsi="方正黑体_GBK" w:eastAsia="方正黑体_GBK"/>
              </w:rPr>
              <w:br/>
            </w:r>
            <w:r>
              <w:rPr>
                <w:rFonts w:ascii="方正黑体_GBK" w:hAnsi="方正黑体_GBK" w:cs="宋体" w:eastAsia="方正黑体_GBK"/>
                <w:sz w:val="18"/>
                <w:szCs w:val="18"/>
              </w:rPr>
              <w:t xml:space="preserve">  2.以上指数年化收益率计算方式为：（自动赎回日前一工作日的指数收盘价÷运作起始日前一工作日的指数收盘价-1）÷客户份额实际持有天数×365天。</w:t>
            </w:r>
            <w:r>
              <w:rPr>
                <w:rFonts w:ascii="方正黑体_GBK" w:hAnsi="方正黑体_GBK" w:eastAsia="方正黑体_GBK"/>
              </w:rPr>
              <w:br/>
            </w:r>
            <w:r>
              <w:rPr>
                <w:rFonts w:ascii="方正黑体_GBK" w:hAnsi="方正黑体_GBK" w:cs="宋体" w:eastAsia="方正黑体_GBK"/>
                <w:sz w:val="18"/>
                <w:szCs w:val="18"/>
              </w:rPr>
              <w:t xml:space="preserve">  3.管理人将在本理财产品定期报告中对以上业绩比较基准进行跟踪和披露。</w:t>
            </w:r>
            <w:r>
              <w:rPr>
                <w:rFonts w:ascii="方正黑体_GBK" w:hAnsi="方正黑体_GBK" w:eastAsia="方正黑体_GBK"/>
              </w:rPr>
              <w:br/>
            </w:r>
            <w:r>
              <w:rPr>
                <w:rFonts w:ascii="方正黑体_GBK" w:hAnsi="方正黑体_GBK" w:cs="宋体" w:eastAsia="方正黑体_GBK"/>
                <w:sz w:val="18"/>
                <w:szCs w:val="18"/>
              </w:rPr>
              <w:t xml:space="preserve">  4.管理人可根据市场情况对业绩比较基准进行适当调整，如有调整，将至少于调整前3个工作日公布调整方案。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本理财产品按前一日理财产品资产净值收取年化0.8%的固定管理费，按日计提。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申购/赎回确认日和产品实际到期时，当期产品投资的实际资产组合收益（扣除销售费、固定管理费、托管费等相关费用）超过3.3%（年化，即产品该份额对应的业绩报酬计提基准）时，超过部分管理人将按30%收取业绩报酬。</w:t>
            </w:r>
          </w:p>
          <w:p>
            <w:pPr>
              <w:pStyle w:val="null10"/>
              <w:spacing w:lineRule="exact" w:line="200"/>
            </w:pPr>
            <w:r>
              <w:rPr>
                <w:rFonts w:ascii="方正黑体_GBK" w:hAnsi="方正黑体_GBK" w:cs="宋体" w:eastAsia="方正黑体_GBK"/>
                <w:sz w:val="18"/>
                <w:b/>
                <w:szCs w:val="18"/>
              </w:rPr>
              <w:t>B份额：申购/赎回确认日和产品实际到期时，当期产品投资的实际资产组合收益（扣除销售费、固定管理费、托管费等相关费用）超过3.3%（年化，即产品该份额对应的业绩报酬计提基准）时，超过部分管理人将按30%收取业绩报酬。</w:t>
            </w:r>
          </w:p>
          <w:p>
            <w:pPr>
              <w:pStyle w:val="null10"/>
              <w:spacing w:lineRule="exact" w:line="200"/>
            </w:pPr>
            <w:r>
              <w:rPr>
                <w:rFonts w:ascii="方正黑体_GBK" w:hAnsi="方正黑体_GBK" w:cs="宋体" w:eastAsia="方正黑体_GBK"/>
                <w:sz w:val="18"/>
                <w:b/>
                <w:color w:val="000000"/>
                <w:szCs w:val="18"/>
              </w:rPr>
              <w:t>注：客户份额持有期间净值增长率（r)依据运作起始日前一工作日的产品单位净值、自动赎回日前一工作日的产品单位净值、客户份额实际持有天数折算为年化收益率（1年按365天计算）。计算公式如下：客户份额持有期间净值增长率（r）=（自动赎回日前一工作日的产品单位净值÷运作起始日前一工作日的产品单位净值-1）÷客户份额实际持有天数×365天。</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常熟农村商业银行股份有限公司、厦门银行股份有限公司、齐鲁银行股份有限公司、青海银行股份有限公司、九江银行股份有限公司、湖南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bookmarkStart w:id="0" w:name="_GoBack"/>
            <w:bookmarkEnd w:id="0"/>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本理财产品合作机构为招商基金管理有限公司、鑫沅资产管理有限公司，上述投资合作机构主要职责对应如下，具体职责以管理人与投资合作机构签署的合同为准。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合作机构为从事理财产品受托投资的机构，主要承担根据合同约定进行受托资金的投资管理的职责：招商基金管理有限公司、鑫沅资产管理有限公司。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招商基金管理有限公司成立于2002年12月27日，注册资本金13.1亿元。</w:t>
            </w:r>
          </w:p>
          <w:p>
            <w:pPr>
              <w:pStyle w:val="null10"/>
              <w:spacing w:lineRule="exact" w:line="200"/>
            </w:pPr>
            <w:r>
              <w:rPr>
                <w:rFonts w:ascii="方正黑体_GBK" w:hAnsi="方正黑体_GBK" w:cs="宋体" w:eastAsia="方正黑体_GBK"/>
                <w:sz w:val="18"/>
                <w:szCs w:val="18"/>
              </w:rPr>
              <w:t>鑫沅资产管理有限公司成立于2014年02月19日，注册资本金15.5亿元。</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b/>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1.管理人在本理财产品存续期间每个运作起始日后1个工作日内公布运作起始日前一工作日的产品单位净值；每个自动赎回日后1个工作日公布自动赎回日前一工作日的产品单位净值。</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b6c80c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8ae56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8ae56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8ae566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8ae566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8ae566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8ae566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8ae566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8ae566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南银理财珠联璧合理财管理计划5号开放式公募人民币理财产品</w:t>
      </w:r>
      <w:r>
        <w:rPr>
          <w:rFonts w:ascii="方正黑体_GBK" w:eastAsia="方正黑体_GBK" w:hint="eastAsia" w:hAnsi="方正黑体_GBK"/>
          <w:vanish w:val="0"/>
          <w:color w:val="3D3D3D"/>
          <w:kern w:val="0"/>
          <w:sz w:val="15"/>
          <w:szCs w:val="15"/>
        </w:rPr>
        <w:t>。</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8ae566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8ae56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8ae566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8ae566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5bb520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5bb520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5bb520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5bb520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5bb520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5bb520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8ae566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8ae566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8ae566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300"/>
        <w:jc w:val="left"/>
      </w:pPr>
      <w:r>
        <w:rPr>
          <w:rFonts w:ascii="方正黑体_GBK" w:hAnsi="方正黑体_GBK" w:cs="宋体" w:eastAsia="方正黑体_GBK"/>
          <w:sz w:val="15"/>
          <w:szCs w:val="20"/>
        </w:rPr>
        <w:t>假设本产品2020年7月3日（周五）至2020年7月9日（下周四，产品单位净值为1.1元每份）开放申购，客户申购1.1万元，则将于2020年7月10日（下周五，运作起始日）确认申购份额1万份（1.1万元/1.1元每份=1万份）。该份额运作满364天后（2020年7月10日+364天=2021年7月9日，且2021年7月9日为工作日），即2021年7月9日（自动赎回日）由系统发起全额自动赎回。假设2021年7月8日本产品单位净值为1.2元每份，则赎回金额为1.2万元（1万份*1.2元每份=1.2万元）。</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5bb520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b6c80cc"/>
        <w:keepNext w:val="0"/>
        <w:keepLines w:val="0"/>
        <w:pageBreakBefore w:val="0"/>
        <w:widowControl/>
        <w:suppressLineNumbers w:val="0"/>
        <w:suppressAutoHyphens w:val="0"/>
        <w:spacing w:line="200" w:lineRule="exact"/>
        <w:ind w:firstLineChars="200" w:firstLine="300"/>
        <w:rPr>
          <w:rStyle w:val="55bb520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280"/>
        <w:jc w:val="left"/>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280"/>
        <w:jc w:val="left"/>
      </w:pPr>
      <w:r>
        <w:rPr>
          <w:rFonts w:ascii="方正黑体_GBK" w:hAnsi="方正黑体_GBK" w:cs="宋体" w:eastAsia="方正黑体_GBK"/>
          <w:sz w:val="15"/>
          <w:szCs w:val="20"/>
        </w:rPr>
        <w:t>1.银行存款、回购等货币市场工具</w:t>
      </w:r>
    </w:p>
    <w:p>
      <w:pPr>
        <w:pStyle w:val="null10"/>
        <w:spacing w:lineRule="exact" w:line="200"/>
        <w:ind w:firstLine="280"/>
        <w:jc w:val="left"/>
      </w:pPr>
      <w:r>
        <w:rPr>
          <w:rFonts w:ascii="方正黑体_GBK" w:hAnsi="方正黑体_GBK" w:cs="宋体" w:eastAsia="方正黑体_GBK"/>
          <w:sz w:val="15"/>
          <w:szCs w:val="20"/>
        </w:rPr>
        <w:t>以本金列示，按商定的利率在实际持有期间内逐日计提。</w:t>
      </w:r>
    </w:p>
    <w:p>
      <w:pPr>
        <w:pStyle w:val="null10"/>
        <w:spacing w:lineRule="exact" w:line="200"/>
        <w:ind w:firstLine="280"/>
        <w:jc w:val="left"/>
      </w:pPr>
      <w:r>
        <w:rPr>
          <w:rFonts w:ascii="方正黑体_GBK" w:hAnsi="方正黑体_GBK" w:cs="宋体" w:eastAsia="方正黑体_GBK"/>
          <w:sz w:val="15"/>
          <w:color w:val="3D3D3D"/>
          <w:szCs w:val="20"/>
        </w:rPr>
        <w:t>2.债券类资产</w:t>
      </w:r>
    </w:p>
    <w:p>
      <w:pPr>
        <w:pStyle w:val="null10"/>
        <w:spacing w:lineRule="exact" w:line="200"/>
        <w:ind w:firstLine="280"/>
        <w:jc w:val="left"/>
      </w:pPr>
      <w:r>
        <w:rPr>
          <w:rFonts w:ascii="方正黑体_GBK" w:hAnsi="方正黑体_GBK" w:cs="宋体" w:eastAsia="方正黑体_GBK"/>
          <w:sz w:val="15"/>
          <w:color w:val="3D3D3D"/>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pPr>
        <w:pStyle w:val="null10"/>
        <w:spacing w:lineRule="exact" w:line="200"/>
        <w:ind w:firstLine="280"/>
        <w:jc w:val="left"/>
      </w:pPr>
      <w:r>
        <w:rPr>
          <w:rFonts w:ascii="方正黑体_GBK" w:hAnsi="方正黑体_GBK" w:cs="宋体" w:eastAsia="方正黑体_GBK"/>
          <w:sz w:val="15"/>
          <w:color w:val="3D3D3D"/>
          <w:szCs w:val="20"/>
        </w:rPr>
        <w:t>3.非标准化债权类资产</w:t>
      </w:r>
    </w:p>
    <w:p>
      <w:pPr>
        <w:pStyle w:val="null10"/>
        <w:spacing w:lineRule="exact" w:line="200"/>
        <w:ind w:firstLine="280"/>
        <w:jc w:val="left"/>
      </w:pPr>
      <w:r>
        <w:rPr>
          <w:rFonts w:ascii="方正黑体_GBK" w:hAnsi="方正黑体_GBK" w:cs="宋体" w:eastAsia="方正黑体_GBK"/>
          <w:sz w:val="15"/>
          <w:color w:val="3D3D3D"/>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280"/>
        <w:jc w:val="left"/>
      </w:pPr>
      <w:r>
        <w:rPr>
          <w:rFonts w:ascii="方正黑体_GBK" w:hAnsi="方正黑体_GBK" w:cs="宋体" w:eastAsia="方正黑体_GBK"/>
          <w:sz w:val="15"/>
          <w:color w:val="3D3D3D"/>
          <w:szCs w:val="20"/>
        </w:rPr>
        <w:t>4.证券投资基金</w:t>
      </w:r>
    </w:p>
    <w:p>
      <w:pPr>
        <w:pStyle w:val="null10"/>
        <w:spacing w:lineRule="exact" w:line="200"/>
        <w:ind w:firstLine="280"/>
        <w:jc w:val="left"/>
      </w:pPr>
      <w:r>
        <w:rPr>
          <w:rFonts w:ascii="方正黑体_GBK" w:hAnsi="方正黑体_GBK" w:cs="宋体" w:eastAsia="方正黑体_GBK"/>
          <w:sz w:val="15"/>
          <w:color w:val="3D3D3D"/>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pPr>
        <w:pStyle w:val="null10"/>
        <w:spacing w:lineRule="exact" w:line="200"/>
        <w:ind w:firstLine="280"/>
        <w:jc w:val="left"/>
      </w:pPr>
      <w:r>
        <w:rPr>
          <w:rFonts w:ascii="方正黑体_GBK" w:hAnsi="方正黑体_GBK" w:cs="宋体" w:eastAsia="方正黑体_GBK"/>
          <w:sz w:val="15"/>
          <w:color w:val="3D3D3D"/>
          <w:szCs w:val="20"/>
        </w:rPr>
        <w:t>5.股权类资产</w:t>
      </w:r>
    </w:p>
    <w:p>
      <w:pPr>
        <w:pStyle w:val="null10"/>
        <w:spacing w:lineRule="exact" w:line="200"/>
        <w:ind w:firstLine="280"/>
        <w:jc w:val="left"/>
      </w:pPr>
      <w:r>
        <w:rPr>
          <w:rFonts w:ascii="方正黑体_GBK" w:hAnsi="方正黑体_GBK" w:cs="宋体" w:eastAsia="方正黑体_GBK"/>
          <w:sz w:val="15"/>
          <w:color w:val="3D3D3D"/>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pPr>
        <w:pStyle w:val="null10"/>
        <w:spacing w:lineRule="exact" w:line="200"/>
        <w:ind w:firstLine="280"/>
        <w:jc w:val="left"/>
      </w:pPr>
      <w:r>
        <w:rPr>
          <w:rFonts w:ascii="方正黑体_GBK" w:hAnsi="方正黑体_GBK" w:cs="宋体" w:eastAsia="方正黑体_GBK"/>
          <w:sz w:val="15"/>
          <w:color w:val="3D3D3D"/>
          <w:szCs w:val="20"/>
        </w:rPr>
        <w:t>6.资管计划、信托计划等资产</w:t>
      </w:r>
    </w:p>
    <w:p>
      <w:pPr>
        <w:pStyle w:val="null10"/>
        <w:spacing w:lineRule="exact" w:line="200"/>
        <w:ind w:firstLine="280"/>
        <w:jc w:val="left"/>
      </w:pPr>
      <w:r>
        <w:rPr>
          <w:rFonts w:ascii="方正黑体_GBK" w:hAnsi="方正黑体_GBK" w:cs="宋体" w:eastAsia="方正黑体_GBK"/>
          <w:sz w:val="15"/>
          <w:color w:val="3D3D3D"/>
          <w:szCs w:val="20"/>
        </w:rPr>
        <w:t>存在公允价值的，按照公允价值估值，或采用估值技术确定估值，也可采用被委托机构提供的估值或计量报告。</w:t>
      </w:r>
    </w:p>
    <w:p>
      <w:pPr>
        <w:pStyle w:val="null10"/>
        <w:spacing w:lineRule="exact" w:line="200"/>
        <w:ind w:firstLine="280"/>
        <w:jc w:val="left"/>
      </w:pPr>
      <w:r>
        <w:rPr>
          <w:rFonts w:ascii="方正黑体_GBK" w:hAnsi="方正黑体_GBK" w:cs="宋体" w:eastAsia="方正黑体_GBK"/>
          <w:sz w:val="15"/>
          <w:color w:val="3D3D3D"/>
          <w:szCs w:val="20"/>
        </w:rPr>
        <w:t>7.其他资产</w:t>
      </w:r>
    </w:p>
    <w:p>
      <w:pPr>
        <w:pStyle w:val="null10"/>
        <w:spacing w:lineRule="exact" w:line="200"/>
        <w:ind w:firstLine="280"/>
        <w:jc w:val="left"/>
      </w:pPr>
      <w:r>
        <w:rPr>
          <w:rFonts w:ascii="方正黑体_GBK" w:hAnsi="方正黑体_GBK" w:cs="宋体" w:eastAsia="方正黑体_GBK"/>
          <w:sz w:val="15"/>
          <w:color w:val="3D3D3D"/>
          <w:szCs w:val="20"/>
        </w:rPr>
        <w:t>存在公允价值的，按照公允价值估值，或采用估值技术确定估值，也可采用被委托机构提供的估值或计量报告。具体可参考《企业会计准则》以及相关监管政策的规定。</w:t>
      </w:r>
    </w:p>
    <w:p>
      <w:pPr>
        <w:pStyle w:val="null10"/>
        <w:spacing w:lineRule="exact" w:line="200"/>
        <w:ind w:firstLine="280"/>
        <w:jc w:val="left"/>
      </w:pPr>
      <w:r>
        <w:rPr>
          <w:rFonts w:ascii="方正黑体_GBK" w:hAnsi="方正黑体_GBK" w:cs="宋体" w:eastAsia="方正黑体_GBK"/>
          <w:sz w:val="15"/>
          <w:color w:val="3D3D3D"/>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pPr>
        <w:pStyle w:val="null10"/>
        <w:spacing w:lineRule="exact" w:line="200"/>
        <w:ind w:firstLine="280"/>
        <w:jc w:val="left"/>
      </w:pPr>
      <w:r>
        <w:rPr>
          <w:rFonts w:ascii="方正黑体_GBK" w:hAnsi="方正黑体_GBK" w:cs="宋体" w:eastAsia="方正黑体_GBK"/>
          <w:sz w:val="15"/>
          <w:color w:val="3D3D3D"/>
          <w:szCs w:val="20"/>
        </w:rPr>
        <w:t>9.如有新增事项或变更事项，按国家最新规定或管理人最新的约定估值。</w:t>
      </w:r>
    </w:p>
    <w:p>
      <w:pPr>
        <w:pStyle w:val="null10"/>
        <w:spacing w:lineRule="exact" w:line="200"/>
        <w:ind w:firstLine="280"/>
        <w:jc w:val="left"/>
      </w:pPr>
      <w:r>
        <w:rPr>
          <w:rFonts w:ascii="方正黑体_GBK" w:hAnsi="方正黑体_GBK" w:cs="宋体" w:eastAsia="方正黑体_GBK"/>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b6c80c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南京银行官网（www.njcb.com.cn）、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b6c80c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b6c80c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按日</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b6c80c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b6c80c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b6c80c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b6c80c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b6c80c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b6c80c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b6c80c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b6c80c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b6c80c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b6c80c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b6c80c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b6c80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b6c80c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3"/>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e4f1f53">
    <w:name w:val="Normal5e4f1f5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3adf12b">
    <w:name w:val="heading 1b3adf12b"/>
    <w:basedOn w:val="5e4f1f5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1cb691a">
    <w:name w:val="heading 2b1cb691a"/>
    <w:basedOn w:val="5e4f1f5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eb79047">
    <w:name w:val="heading 31eb79047"/>
    <w:basedOn w:val="5e4f1f5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065a2f6">
    <w:name w:val="Default Paragraph Fonta065a2f6"/>
  </w:style>
  <w:style xmlns:r="http://schemas.openxmlformats.org/officeDocument/2006/relationships" w:type="paragraph" w:styleId="700858f1">
    <w:name w:val="toc 1700858f1"/>
    <w:basedOn w:val="5e4f1f53"/>
    <w:autoRedefine/>
    <w:next w:val="0"/>
  </w:style>
  <w:style xmlns:r="http://schemas.openxmlformats.org/officeDocument/2006/relationships" w:type="paragraph" w:styleId="f8a3d13a">
    <w:name w:val="toc 2f8a3d13a"/>
    <w:basedOn w:val="5e4f1f53"/>
    <w:autoRedefine/>
    <w:next w:val="0"/>
    <w:pPr>
      <w:ind w:left="420"/>
    </w:pPr>
  </w:style>
  <w:style xmlns:r="http://schemas.openxmlformats.org/officeDocument/2006/relationships" w:type="paragraph" w:styleId="465c3477">
    <w:name w:val="toc 3465c3477"/>
    <w:basedOn w:val="5e4f1f53"/>
    <w:autoRedefine/>
    <w:next w:val="0"/>
    <w:pPr>
      <w:ind w:left="840"/>
    </w:pPr>
  </w:style>
  <w:style xmlns:r="http://schemas.openxmlformats.org/officeDocument/2006/relationships" w:type="paragraph" w:styleId="8e1e1bca">
    <w:name w:val="toc 48e1e1bca"/>
    <w:basedOn w:val="5e4f1f53"/>
    <w:autoRedefine/>
    <w:next w:val="0"/>
    <w:pPr>
      <w:ind w:left="1260"/>
    </w:pPr>
  </w:style>
  <w:style xmlns:r="http://schemas.openxmlformats.org/officeDocument/2006/relationships" w:type="paragraph" w:styleId="53fa6143">
    <w:name w:val="toc 553fa6143"/>
    <w:basedOn w:val="5e4f1f53"/>
    <w:autoRedefine/>
    <w:next w:val="0"/>
    <w:pPr>
      <w:ind w:left="1680"/>
    </w:pPr>
  </w:style>
  <w:style xmlns:r="http://schemas.openxmlformats.org/officeDocument/2006/relationships" w:type="paragraph" w:styleId="589bebb1">
    <w:name w:val="header589bebb1"/>
    <w:basedOn w:val="5e4f1f5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3843367">
    <w:name w:val="footerc3843367"/>
    <w:basedOn w:val="5e4f1f53"/>
    <w:pPr>
      <w:tabs>
        <w:tab w:val="center" w:pos="4153"/>
        <w:tab w:val="right" w:pos="8307"/>
      </w:tabs>
      <w:adjustRightInd/>
      <w:snapToGrid w:val="0"/>
      <w:contextualSpacing w:val="0"/>
      <w:jc w:val="left"/>
    </w:pPr>
    <w:rPr>
      <w:sz w:val="18"/>
    </w:rPr>
  </w:style>
  <w:style xmlns:r="http://schemas.openxmlformats.org/officeDocument/2006/relationships" w:type="character" w:styleId="e3b56015">
    <w:name w:val="Stronge3b5601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b6c80cc">
    <w:name w:val="Normaldb6c80c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a7496b8">
    <w:name w:val="heading 1aa7496b8"/>
    <w:basedOn w:val="db6c80c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ce750d7">
    <w:name w:val="heading 27ce750d7"/>
    <w:basedOn w:val="db6c80c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767aae2">
    <w:name w:val="heading 3b767aae2"/>
    <w:basedOn w:val="db6c80c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9dd921a">
    <w:name w:val="Default Paragraph Font89dd921a"/>
  </w:style>
  <w:style xmlns:r="http://schemas.openxmlformats.org/officeDocument/2006/relationships" w:type="paragraph" w:styleId="dda5e556">
    <w:name w:val="Normal Indentdda5e556"/>
    <w:basedOn w:val="db6c80cc"/>
    <w:pPr>
      <w:ind w:firstLineChars="200" w:firstLine="200"/>
    </w:pPr>
  </w:style>
  <w:style xmlns:r="http://schemas.openxmlformats.org/officeDocument/2006/relationships" w:type="paragraph" w:styleId="38ae77e8">
    <w:name w:val="toc 538ae77e8"/>
    <w:basedOn w:val="db6c80cc"/>
    <w:next w:val="0"/>
    <w:pPr>
      <w:ind w:left="1680"/>
    </w:pPr>
  </w:style>
  <w:style xmlns:r="http://schemas.openxmlformats.org/officeDocument/2006/relationships" w:type="paragraph" w:styleId="1752e68b">
    <w:name w:val="toc 31752e68b"/>
    <w:basedOn w:val="db6c80cc"/>
    <w:next w:val="0"/>
    <w:pPr>
      <w:ind w:left="840"/>
    </w:pPr>
  </w:style>
  <w:style xmlns:r="http://schemas.openxmlformats.org/officeDocument/2006/relationships" w:type="paragraph" w:styleId="38f8e559">
    <w:name w:val="footer38f8e559"/>
    <w:basedOn w:val="db6c80cc"/>
    <w:pPr>
      <w:tabs>
        <w:tab w:val="center" w:pos="4153"/>
        <w:tab w:val="right" w:pos="8307"/>
      </w:tabs>
      <w:adjustRightInd/>
      <w:snapToGrid w:val="0"/>
      <w:contextualSpacing w:val="0"/>
      <w:jc w:val="left"/>
    </w:pPr>
    <w:rPr>
      <w:sz w:val="18"/>
    </w:rPr>
  </w:style>
  <w:style xmlns:r="http://schemas.openxmlformats.org/officeDocument/2006/relationships" w:type="paragraph" w:styleId="3f1c55ff">
    <w:name w:val="header3f1c55ff"/>
    <w:basedOn w:val="db6c80c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c4b7a20">
    <w:name w:val="toc 1bc4b7a20"/>
    <w:basedOn w:val="db6c80cc"/>
    <w:next w:val="0"/>
  </w:style>
  <w:style xmlns:r="http://schemas.openxmlformats.org/officeDocument/2006/relationships" w:type="paragraph" w:styleId="8078760b">
    <w:name w:val="toc 48078760b"/>
    <w:basedOn w:val="db6c80cc"/>
    <w:next w:val="0"/>
    <w:pPr>
      <w:ind w:left="1260"/>
    </w:pPr>
  </w:style>
  <w:style xmlns:r="http://schemas.openxmlformats.org/officeDocument/2006/relationships" w:type="paragraph" w:styleId="891756a1">
    <w:name w:val="toc 2891756a1"/>
    <w:basedOn w:val="db6c80cc"/>
    <w:next w:val="0"/>
    <w:pPr>
      <w:ind w:left="420"/>
    </w:pPr>
  </w:style>
  <w:style xmlns:r="http://schemas.openxmlformats.org/officeDocument/2006/relationships" w:type="paragraph" w:styleId="f9ebea72">
    <w:name w:val="Normal (Web)f9ebea7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8ae5664">
    <w:name w:val="Normal38ae566438ae566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5c40dbb">
    <w:name w:val="heading 1f5c40dbbf5c40dbb"/>
    <w:basedOn w:val="38ae566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bd50395">
    <w:name w:val="heading 22bd503952bd50395"/>
    <w:basedOn w:val="38ae566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38b1a2c">
    <w:name w:val="heading 3038b1a2c038b1a2c"/>
    <w:basedOn w:val="38ae566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924cd71">
    <w:name w:val="Default Paragraph Font6924cd716924cd71"/>
  </w:style>
  <w:style xmlns:r="http://schemas.openxmlformats.org/officeDocument/2006/relationships" w:type="paragraph" w:customStyle="1" w:styleId="e3763f53">
    <w:name w:val="引文目录1e3763f53e3763f53"/>
    <w:basedOn w:val="38ae5664"/>
    <w:next w:val="0"/>
    <w:pPr>
      <w:ind w:leftChars="200" w:left="200"/>
    </w:pPr>
  </w:style>
  <w:style xmlns:r="http://schemas.openxmlformats.org/officeDocument/2006/relationships" w:type="paragraph" w:styleId="5cc6897f">
    <w:name w:val="toc 55cc6897f5cc6897f"/>
    <w:basedOn w:val="38ae5664"/>
    <w:next w:val="0"/>
    <w:pPr>
      <w:ind w:left="1680"/>
    </w:pPr>
  </w:style>
  <w:style xmlns:r="http://schemas.openxmlformats.org/officeDocument/2006/relationships" w:type="paragraph" w:styleId="ec8201b5">
    <w:name w:val="toc 3ec8201b5ec8201b5"/>
    <w:basedOn w:val="38ae5664"/>
    <w:next w:val="0"/>
    <w:pPr>
      <w:ind w:left="840"/>
    </w:pPr>
  </w:style>
  <w:style xmlns:r="http://schemas.openxmlformats.org/officeDocument/2006/relationships" w:type="paragraph" w:styleId="2e291d33">
    <w:name w:val="footer2e291d332e291d33"/>
    <w:basedOn w:val="38ae5664"/>
    <w:pPr>
      <w:tabs>
        <w:tab w:val="center" w:pos="4153"/>
        <w:tab w:val="right" w:pos="8307"/>
      </w:tabs>
      <w:adjustRightInd/>
      <w:snapToGrid w:val="0"/>
      <w:contextualSpacing w:val="0"/>
      <w:jc w:val="left"/>
    </w:pPr>
    <w:rPr>
      <w:sz w:val="18"/>
    </w:rPr>
  </w:style>
  <w:style xmlns:r="http://schemas.openxmlformats.org/officeDocument/2006/relationships" w:type="paragraph" w:styleId="b89d7b2c">
    <w:name w:val="headerb89d7b2cb89d7b2c"/>
    <w:basedOn w:val="38ae566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25a08d4">
    <w:name w:val="toc 1025a08d4025a08d4"/>
    <w:basedOn w:val="38ae5664"/>
    <w:next w:val="0"/>
  </w:style>
  <w:style xmlns:r="http://schemas.openxmlformats.org/officeDocument/2006/relationships" w:type="paragraph" w:styleId="4233b06a">
    <w:name w:val="toc 44233b06a4233b06a"/>
    <w:basedOn w:val="38ae5664"/>
    <w:next w:val="0"/>
    <w:pPr>
      <w:ind w:left="1260"/>
    </w:pPr>
  </w:style>
  <w:style xmlns:r="http://schemas.openxmlformats.org/officeDocument/2006/relationships" w:type="paragraph" w:styleId="3fa6083d">
    <w:name w:val="toc 23fa6083d3fa6083d"/>
    <w:basedOn w:val="38ae5664"/>
    <w:next w:val="0"/>
    <w:pPr>
      <w:ind w:left="420"/>
    </w:pPr>
  </w:style>
  <w:style xmlns:r="http://schemas.openxmlformats.org/officeDocument/2006/relationships" w:type="paragraph" w:customStyle="1" w:styleId="55bb520a">
    <w:name w:val="列出段落155bb520a55bb520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