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南银理财珠联璧合悦稳（最低持有28天）公募人民币理财产品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南银理财珠联璧合悦稳（最低持有28天）公募人民币理财产品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Z7003223000077（投资者可依据该编码在中国理财网www.chinawealth.com.cn查询理财产品相关信息）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9,111,792,692.48份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厦门国际信托有限公司,国投泰康信托有限公司,招商基金管理有限公司,紫金信托有限责任公司,鑫元基金管理有限公司,鑫沅资产管理有限公司,陆家嘴国际信托有限公司,泰康资产管理有限责任公司,交银施罗德基金管理有限公司,江苏省国际信托有限责任公司,光大永明资产管理股份有限公司,百年保险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7,439,744,823.33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1,299,254,572.37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10,026,116.76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868,635,065.49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债券市场宽幅震荡，最大波动幅度达到30bp，信用债收益率较年初上行15-30bp不等，短端上行幅度大于长端，中高等级大于低等级，信用利差被动收窄。市场震荡主要受三方面因素扰动：（1）经济信号积极年初经济数据向好，“旧经济”如地产企稳，“新经济”有突破进展，市场对经济前景信心增强；（2）降息预期回落，年初债市过度“抢跑”降息预期，随后降准降息未落地，预期回落导致市场回吐前期收益；（3）股市分流资金，DeepSeek、机器人等概念驱动A股“开门红”，各板块轮动上涨，“股债跷跷板”效应下，部分风险偏好较高的资金流向股市。</w:t>
        <w:br w:type="textWrapping" w:clear="all"/>
      </w:r>
      <w:r>
        <w:rPr>
          <w:rFonts w:hint="eastAsia" w:ascii="方正仿宋简体" w:eastAsia="方正仿宋简体"/>
          <w:sz w:val="24"/>
          <w:szCs w:val="24"/>
        </w:rPr>
        <w:t>  展望后市，当前经济基本面的增长仍存在一些不确定因素，加上美国关税政策可能会拖累出口，央行货币政策态度已经缓和，机构行为也比较有利，从多角度来看，预计二季度债市机会大于风险。</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截至报告期末，本产品A32009份额净值为1.0551元，A32010份额净值为1.0565元，A32029份额净值为1.0519元，A32032份额净值为1.0569元。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99.37%</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0.63%</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1,621,126,257.81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XJCKX202306070001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837,152,880.65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824,924,588.46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ZJQTT202204260021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江苏信托南银1号集合资金信托计划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713,995,548.07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泰康资产纯泰33号资产管理产品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558,273,714.11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DQCKX202502170003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徽商银行定期存款20250217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360,126,273.78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杭州银行定期存款20250307A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XJCKX202309250001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中国银行上海分行活期存款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280,052,292.92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ZJQTT202407110003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厦门信托-金宁长瑞2号集合资金信托计划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182,654,662.59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0120030000001147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南银理财悦稳最低持有28天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产品投资关联方作为管理人的资产管理产品交易金额566,000,000.00元。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产品支付关联方托管费535,579.05元，支付关联方代销费2,826,659.71元。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