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南银理财珠联璧合鑫逸稳两年49期封闭式公募人民币理财产品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南银理财珠联璧合鑫逸稳两年49期封闭式公募人民币理财产品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Z7003223000216（投资者可依据该编码在中国理财网www.chinawealth.com.cn查询理财产品相关信息）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2023年11月29日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209,299,266.00份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西部信托有限公司,中信信托有限责任公司,国联基金管理有限公司,太平洋资产管理有限责任公司,中国对外经济贸易信托有限公司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Y60049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58,004,722.54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Y61049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69,298,236.46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Y62049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93,369,735.74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操作方面，坚持稳健运作的投资理念，对于利差保护较足的信用资产积极配置，同时关注交易活跃品种的波段机会，根据对后市的研判灵活摆布资产久期与杠杆水平，获取稳健的投资回报。</w:t>
        <w:br w:type="textWrapping" w:clear="all"/>
      </w:r>
      <w:r>
        <w:rPr>
          <w:rFonts w:hint="eastAsia" w:ascii="方正仿宋简体" w:eastAsia="方正仿宋简体"/>
          <w:sz w:val="24"/>
          <w:szCs w:val="24"/>
        </w:rPr>
        <w:t>  鑫逸稳两年期封闭式产品，今年一季度产品操作稳健偏防守。一季度债券市场呈现调整走势，利率债、存单、信用债等均有不同程度回调，由于资金面边际收紧，各类品种曲线走平，杠杆套息策略失效。一季度产品运作过程中操作转向防守，阶段性更加注重产品回撤控制，同时在下旬资金边际缓和的窗口期，把握了债券估值性价比相对较高的机会，通过置换部分个券持仓，提升组合静态。组合运作适度提前降低了杠杆水平以控制波动。市场机会把握方面，除了企业类信用品种外，一季度由于市场对于降息预期的修正，银行资本补充工具、利率债等赚钱效应偏差，参与较少。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资金环境整体维持紧平衡。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截至报告期末，本产品Y60049份额净值为1.0527元，Y61049份额净值为1.0541元，Y62049份额净值为1.0555元。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XTDKX202312250003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西部信托·瑞泰5号集合资金信托计划（第2期）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66,176,796.84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63,665,239.82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54,816,639.59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21,983,787.32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XTDKX202312180003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12,031,897.08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2,504,395.04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西部信托·瑞泰5号集合资金信托计划（第2期）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盐城市城镇化建设投资集团有限公司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淮安市铁路投资发展有限公司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西部信托·稳鑫6号集合资金信托计划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0101000000000792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南京银行南京分行南银理财鑫逸稳两年49期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产品支付关联方托管费0.00元，支付关联方代销费40,672.74元。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