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南银理财珠联璧合安稳1902一年定开公募人民币理财产品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南银理财珠联璧合安稳1902一年定开公募人民币理财产品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Z7003221000027（投资者可依据该编码在中国理财网www.chinawealth.com.cn查询理财产品相关信息）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3,089,874,564.46份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中粮信托有限责任公司,国投泰康信托有限公司,天弘基金管理有限公司,招商基金管理有限公司,鑫元基金管理有限公司,易方达基金管理有限公司,景顺长城基金管理有限公司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2,396,705,874.47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491,808,790.86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11,726,037.26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ZB11022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20,372,217.34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25,108,270.48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ZC11022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147,579,723.29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本产品为中长期、定期开放式产品，在运作期内操作上主配置2-3年信用债，积极采用杠杆、久期等工具获取收益增厚。后续我们将继续研判市场，积极把握市场机会，将以中性策略应对，对于合意的信用债资产保持积极配置，保持适度杠杆以增厚票息收益，控制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截至报告期末，本产品Z10022份额净值为1.0012元，Z11022份额净值为1.0004元，ZB10022份额净值为1.0012元，ZB11022份额净值为1.0004元，ZC10022份额净值为1.0013元，ZC11022份额净值为1.0004元。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1,608,260,033.01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267,409,808.20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240,846,617.36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240,128,039.39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2120052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21汉口银行永续债01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51,454,000.00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102482375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24安东控股MTN002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50,132,050.00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102484090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24扬州经开MTN003A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50,072,400.00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042480537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24安东控股CP002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50,055,800.00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102580247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25浙交投MTN001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49,520,150.00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102580876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25胶州城投MTN001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40,255,320.00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0120010000000257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南京银行安稳1902一年定开</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产品投资于关联方承销的证券交易金额50,007,224.65元。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产品支付关联方托管费132,478.20元，支付关联方代销费1,296,001.31元。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