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Z7003224000234（投资者可依据该编码在中国理财网www.chinawealth.com.cn查询理财产品相关信息）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2024年11月20日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1,389,928,205.00份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中诚信托有限责任公司,云南国际信托有限公司,广东粤财信托有限公司,百瑞信托有限责任公司,紫金信托有限责任公司,鑫元基金管理有限公司,江苏省国际信托有限责任公司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795,846,752.87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286,018,229.59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322,429,851.35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截至报告期末，本产品Y30192份额净值为1.0100元，Y31192份额净值为1.0104元，Y32192份额净值为1.0108元。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514,693,881.81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XTDKX202412090021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粤财信托·瑞兴177号集合资金信托计划第3期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255,017,176.80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18.16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云南信托-云泓50号集合资金信托计划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239,871,218.40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120,975,522.36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XTDKX202412090023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中诚信托-瑞成31号集合资金信托计划（第1期）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105,048,250.65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XTDKX202411260004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百瑞恒益1634号集合资金信托计划（鹏南6号）第2期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90,021,563.10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79,941,553.70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重庆市微恒科技有限公司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中诚信托-瑞成31号集合资金信托计划（第1期）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云南信托-云泓50号集合资金信托计划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常州市武进建设资产经营有限公司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百瑞恒益1634号集合资金信托计划（鹏南6号）第2期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江苏开晟产业发展集团有限公司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粤财信托·瑞兴177号集合资金信托计划第3期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0101060000001270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产品投资关联方作为管理人的资产管理产品交易金额593,000,000.00元。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产品支付关联方托管费0.00元，支付关联方代销费138,027.69元。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