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e919d0a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e919d0a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e919d0a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397天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e919d0a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e919d0a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e919d0a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e919d0a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e919d0a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e919d0a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e919d0a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e919d0a6"/>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d9864ecd"/>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d9864ecd"/>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e9d1cd93"/>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南银理财珠联璧合鑫逸稳一年220期封闭式公募人民币理财产品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ZZ700322500130</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Z7003225000118(投资者可依据该编码在中国理财网www.chinawealth.com.cn查询理财产品相关信息）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A份额：Y30220</w:t>
            </w:r>
          </w:p>
          <w:p>
            <w:pPr>
              <w:pStyle w:val="null10"/>
              <w:spacing w:lineRule="exact" w:line="200"/>
            </w:pPr>
            <w:r>
              <w:rPr>
                <w:rFonts w:ascii="方正黑体_GBK" w:hAnsi="方正黑体_GBK" w:cs="宋体" w:eastAsia="方正黑体_GBK"/>
                <w:sz w:val="18"/>
                <w:szCs w:val="18"/>
              </w:rPr>
              <w:t>B份额：Y31220</w:t>
            </w:r>
          </w:p>
          <w:p>
            <w:pPr>
              <w:pStyle w:val="null10"/>
              <w:spacing w:lineRule="exact" w:line="200"/>
            </w:pPr>
            <w:r>
              <w:rPr>
                <w:rFonts w:ascii="方正黑体_GBK" w:hAnsi="方正黑体_GBK" w:cs="宋体" w:eastAsia="方正黑体_GBK"/>
                <w:sz w:val="18"/>
                <w:szCs w:val="18"/>
              </w:rPr>
              <w:t>C份额：Y32220</w:t>
            </w:r>
          </w:p>
          <w:p>
            <w:pPr>
              <w:pStyle w:val="null10"/>
              <w:spacing w:lineRule="exact" w:line="200"/>
            </w:pPr>
            <w:r>
              <w:rPr>
                <w:rFonts w:ascii="方正黑体_GBK" w:hAnsi="方正黑体_GBK" w:cs="宋体" w:eastAsia="方正黑体_GBK"/>
                <w:sz w:val="18"/>
                <w:szCs w:val="18"/>
              </w:rPr>
              <w:t>D份额：Y33220</w:t>
            </w:r>
          </w:p>
          <w:p>
            <w:pPr>
              <w:pStyle w:val="null10"/>
              <w:spacing w:lineRule="exact" w:line="200"/>
            </w:pPr>
            <w:r>
              <w:rPr>
                <w:rFonts w:ascii="方正黑体_GBK" w:hAnsi="方正黑体_GBK" w:cs="宋体" w:eastAsia="方正黑体_GBK"/>
                <w:sz w:val="18"/>
                <w:szCs w:val="18"/>
              </w:rPr>
              <w:t>F份额：Y35220</w:t>
            </w:r>
          </w:p>
          <w:p>
            <w:pPr>
              <w:pStyle w:val="null10"/>
              <w:spacing w:lineRule="exact" w:line="200"/>
            </w:pPr>
            <w:r>
              <w:rPr>
                <w:rFonts w:ascii="方正黑体_GBK" w:hAnsi="方正黑体_GBK" w:cs="宋体" w:eastAsia="方正黑体_GBK"/>
                <w:sz w:val="18"/>
                <w:szCs w:val="18"/>
              </w:rPr>
              <w:t>G份额：Y36220</w:t>
            </w:r>
          </w:p>
          <w:p>
            <w:pPr>
              <w:pStyle w:val="null10"/>
              <w:spacing w:lineRule="exact" w:line="200"/>
            </w:pPr>
            <w:r>
              <w:rPr>
                <w:rFonts w:ascii="方正黑体_GBK" w:hAnsi="方正黑体_GBK" w:cs="宋体" w:eastAsia="方正黑体_GBK"/>
                <w:sz w:val="18"/>
                <w:szCs w:val="18"/>
              </w:rPr>
              <w:t>L份额：YB30220</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A份额：除B、C、D、F、G、L份额以外的所有客户（详见“销售机构”条款）。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B份额：南京银行股份有限公司(新客或新资金或代发客户)、徽商银行股份有限公司、杭州银行股份有限公司( 大众客户)、温州银行股份有限公司、烟台银行股份有限公司( 社保卡客户)、广州银行股份有限公司、江苏常熟农村商业银行股份有限公司( 专属客户)、苏州银行股份有限公司( 大众客户)、日照银行股份有限公司、宁波东海银行股份有限公司( 1元起购客户)、齐鲁银行股份有限公司( 政务服务中心支行开业专享)、甘肃银行股份有限公司、天津农村商业银行股份有限公司( 滨海分行专属)、廊坊银行股份有限公司、东营银行股份有限公司、宁波通商银行股份有限公司( 全量客户)、江苏南通农村商业银行股份有限公司( 代发客户)、江苏镇江农村商业银行股份有限公司( 20万元起购)、江苏如皋农村商业银行股份有限公司( 代发客户)、徐州农村商业银行股份有限公司( 财富客群)、江苏紫金农村商业银行股份有限公司( 起点金额30万元以上)、江苏仪征农村商业银行股份有限公司( 20万元起购)、枣庄银行股份有限公司。</w:t>
            </w:r>
          </w:p>
          <w:p>
            <w:pPr>
              <w:pStyle w:val="null10"/>
              <w:spacing w:lineRule="exact" w:line="200"/>
            </w:pPr>
            <w:r>
              <w:rPr>
                <w:rFonts w:ascii="方正黑体_GBK" w:hAnsi="方正黑体_GBK" w:cs="宋体" w:eastAsia="方正黑体_GBK"/>
                <w:sz w:val="18"/>
                <w:szCs w:val="18"/>
              </w:rPr>
              <w:t>C份额：杭州银行股份有限公司( 私行客户)、汉口银行股份有限公司、郑州银行股份有限公司、苏州银行股份有限公司( 公司客户)、日照银行股份有限公司( 行庆定制款)、天津农村商业银行股份有限公司( 军人客户)、兰州银行股份有限公司、宁波通商银行股份有限公司( 价值客户和新客专属)、江苏泰兴农村商业银行股份有限公司、江苏靖江农村商业银行股份有限公司、江苏盐城农村商业银行股份有限公司（行庆特供）、江苏南通农村商业银行股份有限公司( 机构客户)、江苏兴化农村商业银行股份有限公司、江苏镇江农村商业银行股份有限公司( 100万元起购)、江苏如东农村商业银行股份有限公司。</w:t>
            </w:r>
          </w:p>
          <w:p>
            <w:pPr>
              <w:pStyle w:val="null10"/>
              <w:spacing w:lineRule="exact" w:line="200"/>
            </w:pPr>
            <w:r>
              <w:rPr>
                <w:rFonts w:ascii="方正黑体_GBK" w:hAnsi="方正黑体_GBK" w:cs="宋体" w:eastAsia="方正黑体_GBK"/>
                <w:sz w:val="18"/>
                <w:szCs w:val="18"/>
              </w:rPr>
              <w:t>D份额：天津农村商业银行股份有限公司( 新客户)。</w:t>
            </w:r>
          </w:p>
          <w:p>
            <w:pPr>
              <w:pStyle w:val="null10"/>
              <w:spacing w:lineRule="exact" w:line="200"/>
            </w:pPr>
            <w:r>
              <w:rPr>
                <w:rFonts w:ascii="方正黑体_GBK" w:hAnsi="方正黑体_GBK" w:cs="宋体" w:eastAsia="方正黑体_GBK"/>
                <w:sz w:val="18"/>
                <w:szCs w:val="18"/>
              </w:rPr>
              <w:t>F份额：兴业银行股份有限公司（普通客户）。</w:t>
            </w:r>
          </w:p>
          <w:p>
            <w:pPr>
              <w:pStyle w:val="null10"/>
              <w:spacing w:lineRule="exact" w:line="200"/>
            </w:pPr>
            <w:r>
              <w:rPr>
                <w:rFonts w:ascii="方正黑体_GBK" w:hAnsi="方正黑体_GBK" w:cs="宋体" w:eastAsia="方正黑体_GBK"/>
                <w:sz w:val="18"/>
                <w:szCs w:val="18"/>
              </w:rPr>
              <w:t>G份额：兴业银行股份有限公司（新客户）。</w:t>
            </w:r>
          </w:p>
          <w:p>
            <w:pPr>
              <w:pStyle w:val="null10"/>
              <w:spacing w:lineRule="exact" w:line="200"/>
            </w:pPr>
            <w:r>
              <w:rPr>
                <w:rFonts w:ascii="方正黑体_GBK" w:hAnsi="方正黑体_GBK" w:cs="宋体" w:eastAsia="方正黑体_GBK"/>
                <w:sz w:val="18"/>
                <w:szCs w:val="18"/>
              </w:rPr>
              <w:t>L份额：江苏常熟农村商业银行股份有限公司( 专属特定客群)、天津农村商业银行股份有限公司( 私行客群)。</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A份额/B份额/C份额/D份额/F份额/G份额/L份额：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A份额/B份额/C份额/D份额/F份额/G份额/L份额：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2025年04月30日 09:00—2025年05月08日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2025年05月09日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2025年05月09日—实际到期日（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397天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2026年06月10日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优先投资于环保、节能、清洁能源、绿色交通、绿色建筑等绿色环保产业相关的资产。</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 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(2) 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(3) 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(4) 资产支持计划：资产类型为保险资产管理公司设立的资产支持计划，底层资产为京东及信托公司双重审核、信托公司自主风控后发放的“白条”个人消费贷款债权，资产到期日不超过理财产品到期日。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(5) 资产支持计划：资产类型为保险资产管理公司设立的资产支持计划，底层资产为京东及信托公司双重审核、信托公司自主风控后发放的“金条”个人消费贷款债权，资产到期日不超过理财产品到期日。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(7) 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(8) 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(9) 资产支持计划：资产类型为保险资产管理公司设立的资产支持计划，底层资产为抖音及信托公司双重审核、信托公司自主风控后发放的“月付”个人消费贷款债权，资产到期日不超过理财产品到期日。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(10) 资产支持计划：资产类型为保险资产管理公司设立的资产支持计划，底层资产为抖音及信托公司双重审核、信托公司自主风控后发放的“放心借”贷款资产，资产到期日不超过理财产品到期日。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(11) 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(12) 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(13) 资产支持计划：资产类型为保险资产管理公司设立的资产支持计划，底层资产为蚂蚁及信托公司双重审核、信托公司自主风控后发放的“花呗”个人消费贷款债权，资产到期日不超过理财产品到期日。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 资产支持计划：资产类型为保险资产管理公司设立的资产支持计划，底层资产为蚂蚁及信托公司双重审核、信托公司自主风控后发放的“借呗”个人消费贷款债权，资产到期日不超过理财产品到期日。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 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 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A份额：业绩比较基准为年化2.5%-3% 。</w:t>
            </w:r>
          </w:p>
          <w:p>
            <w:pPr>
              <w:pStyle w:val="null10"/>
              <w:spacing w:lineRule="exact" w:line="200"/>
            </w:pPr>
            <w:r>
              <w:rPr>
                <w:rFonts w:ascii="方正黑体_GBK" w:hAnsi="方正黑体_GBK" w:cs="宋体" w:eastAsia="方正黑体_GBK"/>
                <w:sz w:val="18"/>
                <w:szCs w:val="18"/>
              </w:rPr>
              <w:t>B份额：业绩比较基准为年化2.6%-3.1% 。</w:t>
            </w:r>
          </w:p>
          <w:p>
            <w:pPr>
              <w:pStyle w:val="null10"/>
              <w:spacing w:lineRule="exact" w:line="200"/>
            </w:pPr>
            <w:r>
              <w:rPr>
                <w:rFonts w:ascii="方正黑体_GBK" w:hAnsi="方正黑体_GBK" w:cs="宋体" w:eastAsia="方正黑体_GBK"/>
                <w:sz w:val="18"/>
                <w:szCs w:val="18"/>
              </w:rPr>
              <w:t>C份额：业绩比较基准为年化2.7%-3.2% 。</w:t>
            </w:r>
          </w:p>
          <w:p>
            <w:pPr>
              <w:pStyle w:val="null10"/>
              <w:spacing w:lineRule="exact" w:line="200"/>
            </w:pPr>
            <w:r>
              <w:rPr>
                <w:rFonts w:ascii="方正黑体_GBK" w:hAnsi="方正黑体_GBK" w:cs="宋体" w:eastAsia="方正黑体_GBK"/>
                <w:sz w:val="18"/>
                <w:szCs w:val="18"/>
              </w:rPr>
              <w:t>D份额：业绩比较基准为年化2.8%-3.3% 。</w:t>
            </w:r>
          </w:p>
          <w:p>
            <w:pPr>
              <w:pStyle w:val="null10"/>
              <w:spacing w:lineRule="exact" w:line="200"/>
            </w:pPr>
            <w:r>
              <w:rPr>
                <w:rFonts w:ascii="方正黑体_GBK" w:hAnsi="方正黑体_GBK" w:cs="宋体" w:eastAsia="方正黑体_GBK"/>
                <w:sz w:val="18"/>
                <w:szCs w:val="18"/>
              </w:rPr>
              <w:t>F份额：业绩比较基准为年化2.55%-3.05% 。</w:t>
            </w:r>
          </w:p>
          <w:p>
            <w:pPr>
              <w:pStyle w:val="null10"/>
              <w:spacing w:lineRule="exact" w:line="200"/>
            </w:pPr>
            <w:r>
              <w:rPr>
                <w:rFonts w:ascii="方正黑体_GBK" w:hAnsi="方正黑体_GBK" w:cs="宋体" w:eastAsia="方正黑体_GBK"/>
                <w:sz w:val="18"/>
                <w:szCs w:val="18"/>
              </w:rPr>
              <w:t>G份额：业绩比较基准为年化2.6%-3.1% 。</w:t>
            </w:r>
          </w:p>
          <w:p>
            <w:pPr>
              <w:pStyle w:val="null10"/>
              <w:spacing w:lineRule="exact" w:line="200"/>
            </w:pPr>
            <w:r>
              <w:rPr>
                <w:rFonts w:ascii="方正黑体_GBK" w:hAnsi="方正黑体_GBK" w:cs="宋体" w:eastAsia="方正黑体_GBK"/>
                <w:sz w:val="18"/>
                <w:szCs w:val="18"/>
              </w:rPr>
              <w:t>L份额：业绩比较基准为年化2.75%-3.25% 。</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F份额：销售费年化0.25%</w:t>
            </w:r>
          </w:p>
          <w:p>
            <w:pPr>
              <w:pStyle w:val="null10"/>
              <w:spacing w:lineRule="exact" w:line="200"/>
            </w:pPr>
            <w:r>
              <w:rPr>
                <w:rFonts w:ascii="方正黑体_GBK" w:hAnsi="方正黑体_GBK" w:cs="宋体" w:eastAsia="方正黑体_GBK"/>
                <w:sz w:val="18"/>
                <w:b/>
                <w:szCs w:val="18"/>
              </w:rPr>
              <w:t>G份额：销售费年化0.2%</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A份额：固定管理费年化0.3%</w:t>
            </w:r>
          </w:p>
          <w:p>
            <w:pPr>
              <w:pStyle w:val="null10"/>
              <w:spacing w:lineRule="exact" w:line="200"/>
            </w:pPr>
            <w:r>
              <w:rPr>
                <w:rFonts w:ascii="方正黑体_GBK" w:hAnsi="方正黑体_GBK" w:cs="宋体" w:eastAsia="方正黑体_GBK"/>
                <w:sz w:val="18"/>
                <w:b/>
                <w:szCs w:val="18"/>
              </w:rPr>
              <w:t>B份额：固定管理费年化0.25%</w:t>
            </w:r>
          </w:p>
          <w:p>
            <w:pPr>
              <w:pStyle w:val="null10"/>
              <w:spacing w:lineRule="exact" w:line="200"/>
            </w:pPr>
            <w:r>
              <w:rPr>
                <w:rFonts w:ascii="方正黑体_GBK" w:hAnsi="方正黑体_GBK" w:cs="宋体" w:eastAsia="方正黑体_GBK"/>
                <w:sz w:val="18"/>
                <w:b/>
                <w:szCs w:val="18"/>
              </w:rPr>
              <w:t>C份额：固定管理费年化0.25%</w:t>
            </w:r>
          </w:p>
          <w:p>
            <w:pPr>
              <w:pStyle w:val="null10"/>
              <w:spacing w:lineRule="exact" w:line="200"/>
            </w:pPr>
            <w:r>
              <w:rPr>
                <w:rFonts w:ascii="方正黑体_GBK" w:hAnsi="方正黑体_GBK" w:cs="宋体" w:eastAsia="方正黑体_GBK"/>
                <w:sz w:val="18"/>
                <w:b/>
                <w:szCs w:val="18"/>
              </w:rPr>
              <w:t>D份额：固定管理费年化0.2%</w:t>
            </w:r>
          </w:p>
          <w:p>
            <w:pPr>
              <w:pStyle w:val="null10"/>
              <w:spacing w:lineRule="exact" w:line="200"/>
            </w:pPr>
            <w:r>
              <w:rPr>
                <w:rFonts w:ascii="方正黑体_GBK" w:hAnsi="方正黑体_GBK" w:cs="宋体" w:eastAsia="方正黑体_GBK"/>
                <w:sz w:val="18"/>
                <w:b/>
                <w:szCs w:val="18"/>
              </w:rPr>
              <w:t>F份额：固定管理费年化0.2%</w:t>
            </w:r>
          </w:p>
          <w:p>
            <w:pPr>
              <w:pStyle w:val="null10"/>
              <w:spacing w:lineRule="exact" w:line="200"/>
            </w:pPr>
            <w:r>
              <w:rPr>
                <w:rFonts w:ascii="方正黑体_GBK" w:hAnsi="方正黑体_GBK" w:cs="宋体" w:eastAsia="方正黑体_GBK"/>
                <w:sz w:val="18"/>
                <w:b/>
                <w:szCs w:val="18"/>
              </w:rPr>
              <w:t>G份额：固定管理费年化0.2%</w:t>
            </w:r>
          </w:p>
          <w:p>
            <w:pPr>
              <w:pStyle w:val="null10"/>
              <w:spacing w:lineRule="exact" w:line="200"/>
            </w:pPr>
            <w:r>
              <w:rPr>
                <w:rFonts w:ascii="方正黑体_GBK" w:hAnsi="方正黑体_GBK" w:cs="宋体" w:eastAsia="方正黑体_GBK"/>
                <w:sz w:val="18"/>
                <w:b/>
                <w:szCs w:val="18"/>
              </w:rPr>
              <w:t>L份额：固定管理费年化0.2%</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在2.5%（含）（年化，即产品该份额对应的业绩报酬计提基准）至3%（不含）之间的部分，管理人将按超过2.5%部分的50%收取业绩报酬；在3%（含）（年化，即产品该份额对应的业绩报酬计提基准）以上的部分，管理人将按超过3%部分的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在2.6%（含）（年化，即产品该份额对应的业绩报酬计提基准）至3.1%（不含）之间的部分，管理人将按超过2.6%部分的50%收取业绩报酬；在3.1%（含）（年化，即产品该份额对应的业绩报酬计提基准）以上的部分，管理人将按超过3.1%部分的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在2.7%（含）（年化，即产品该份额对应的业绩报酬计提基准）至3.2%（不含）之间的部分，管理人将按超过2.7%部分的50%收取业绩报酬；在3.2%（含）（年化，即产品该份额对应的业绩报酬计提基准）以上的部分，管理人将按超过3.2%部分的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在2.8%（含）（年化，即产品该份额对应的业绩报酬计提基准）至3.3%（不含）之间的部分，管理人将按超过2.8%部分的50%收取业绩报酬；在3.3%（含）（年化，即产品该份额对应的业绩报酬计提基准）以上的部分，管理人将按超过3.3%部分的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在2.55%（含）（年化，即产品该份额对应的业绩报酬计提基准）至3.05%（不含）之间的部分，管理人将按超过2.55%部分的50%收取业绩报酬；在3.05%（含）（年化，即产品该份额对应的业绩报酬计提基准）以上的部分，管理人将按超过3.05%部分的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在2.6%（含）（年化，即产品该份额对应的业绩报酬计提基准）至3.1%（不含）之间的部分，管理人将按超过2.6%部分的50%收取业绩报酬；在3.1%（含）（年化，即产品该份额对应的业绩报酬计提基准）以上的部分，管理人将按超过3.1%部分的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在2.75%（含）（年化，即产品该份额对应的业绩报酬计提基准）至3.25%（不含）之间的部分，管理人将按超过2.75%部分的50%收取业绩报酬；在3.25%（含）（年化，即产品该份额对应的业绩报酬计提基准）以上的部分，管理人将按超过3.25%部分的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杭州银行股份有限公司、汉口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宁波东海银行股份有限公司、齐鲁银行股份有限公司、云南红塔银行股份有限公司、中原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桂林银行股份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兰州银行股份有限公司、东营银行股份有限公司、江苏沛县农村商业银行股份有限公司、潍坊银行股份有限公司、甘肃银行股份有限公司、江苏仪征农村商业银行股份有限公司、金华银行股份有限公司、连云港东方农村商业银行股份有限公司、德州银行股份有限公司、北京农村商业银行股份有限公司、上海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百瑞信托有限责任公司成立于2002年10月16日，注册资本金400000万元人民币。</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d9864ecd"/>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828b49a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828b49a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828b49a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828b49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828b49a1"/>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828b49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828b49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828b49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828b49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828b49a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828b49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828b49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828b49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828b49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828b49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828b49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828b49a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828b49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828b49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828b49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828b49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828b49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828b49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828b49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828b49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828b49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828b49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828b49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828b49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828b49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828b49a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828b49a1"/>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南银理财珠联璧合鑫逸稳一年220期封闭式公募人民币理财产品</w:t>
      </w:r>
      <w:r>
        <w:rPr>
          <w:rFonts w:ascii="方正黑体_GBK" w:eastAsia="方正黑体_GBK" w:hint="eastAsia" w:hAnsi="方正黑体_GBK"/>
          <w:vanish w:val="0"/>
          <w:color w:val="3D3D3D"/>
          <w:kern w:val="0"/>
          <w:sz w:val="15"/>
          <w:szCs w:val="15"/>
        </w:rPr>
        <w:t>。</w:t>
      </w:r>
    </w:p>
    <w:p>
      <w:pPr>
        <w:pStyle w:val="828b49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828b49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828b49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828b49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828b49a1"/>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828b49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828b49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828b49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828b49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828b49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828b49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828b49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828b49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828b49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828b49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828b49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828b49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828b49a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828b49a1"/>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c00cb1af"/>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c00cb1af"/>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c00cb1af"/>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c00cb1af"/>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c00cb1af"/>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c00cb1af"/>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828b49a1"/>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828b49a1"/>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828b49a1"/>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d9864e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d9864e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c00cb1af"/>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d9864ecd"/>
        <w:keepNext w:val="0"/>
        <w:keepLines w:val="0"/>
        <w:pageBreakBefore w:val="0"/>
        <w:widowControl/>
        <w:suppressLineNumbers w:val="0"/>
        <w:suppressAutoHyphens w:val="0"/>
        <w:spacing w:line="200" w:lineRule="exact"/>
        <w:ind w:firstLineChars="200" w:firstLine="300"/>
        <w:rPr>
          <w:rStyle w:val="c00cb1af"/>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d9864e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d9864e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d9864ecd"/>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d9864ecd"/>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d9864ec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d9864e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d9864ec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d9864e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d9864ec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d9864e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d9864ec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d9864e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d9864ec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d9864e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d9864ec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d9864e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d9864ec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d9864e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d9864ec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d9864e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d9864ecd"/>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d9864e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d9864e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d9864e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d9864ecd"/>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d9864e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d9864e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d9864e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d9864ecd"/>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d9864e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d9864ecd"/>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d9864e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d9864e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d9864e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d9864e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d9864e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d9864ec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d9864ecd"/>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3"/>
  </w:num>
  <w:num w:numId="2">
    <w:abstractNumId w:val="4"/>
  </w:num>
  <w:num w:numId="3">
    <w:abstractNumId w:val="2"/>
  </w:num>
  <w:num w:numId="4">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e919d0a6">
    <w:name w:val="Normale919d0a6"/>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a0bc9db0">
    <w:name w:val="heading 1a0bc9db0"/>
    <w:basedOn w:val="e919d0a6"/>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fd8f5708">
    <w:name w:val="heading 2fd8f5708"/>
    <w:basedOn w:val="e919d0a6"/>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99cdd4f0">
    <w:name w:val="heading 399cdd4f0"/>
    <w:basedOn w:val="e919d0a6"/>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88c42862">
    <w:name w:val="Default Paragraph Font88c42862"/>
  </w:style>
  <w:style xmlns:r="http://schemas.openxmlformats.org/officeDocument/2006/relationships" w:type="paragraph" w:styleId="7f87f3df">
    <w:name w:val="toc 17f87f3df"/>
    <w:basedOn w:val="e919d0a6"/>
    <w:autoRedefine/>
    <w:next w:val="0"/>
  </w:style>
  <w:style xmlns:r="http://schemas.openxmlformats.org/officeDocument/2006/relationships" w:type="paragraph" w:styleId="95ca6828">
    <w:name w:val="toc 295ca6828"/>
    <w:basedOn w:val="e919d0a6"/>
    <w:autoRedefine/>
    <w:next w:val="0"/>
    <w:pPr>
      <w:ind w:left="420"/>
    </w:pPr>
  </w:style>
  <w:style xmlns:r="http://schemas.openxmlformats.org/officeDocument/2006/relationships" w:type="paragraph" w:styleId="737a8ca5">
    <w:name w:val="toc 3737a8ca5"/>
    <w:basedOn w:val="e919d0a6"/>
    <w:autoRedefine/>
    <w:next w:val="0"/>
    <w:pPr>
      <w:ind w:left="840"/>
    </w:pPr>
  </w:style>
  <w:style xmlns:r="http://schemas.openxmlformats.org/officeDocument/2006/relationships" w:type="paragraph" w:styleId="defefd2f">
    <w:name w:val="toc 4defefd2f"/>
    <w:basedOn w:val="e919d0a6"/>
    <w:autoRedefine/>
    <w:next w:val="0"/>
    <w:pPr>
      <w:ind w:left="1260"/>
    </w:pPr>
  </w:style>
  <w:style xmlns:r="http://schemas.openxmlformats.org/officeDocument/2006/relationships" w:type="paragraph" w:styleId="87b8ae2a">
    <w:name w:val="toc 587b8ae2a"/>
    <w:basedOn w:val="e919d0a6"/>
    <w:autoRedefine/>
    <w:next w:val="0"/>
    <w:pPr>
      <w:ind w:left="1680"/>
    </w:pPr>
  </w:style>
  <w:style xmlns:r="http://schemas.openxmlformats.org/officeDocument/2006/relationships" w:type="paragraph" w:styleId="e8570758">
    <w:name w:val="headere8570758"/>
    <w:basedOn w:val="e919d0a6"/>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f07c873f">
    <w:name w:val="footerf07c873f"/>
    <w:basedOn w:val="e919d0a6"/>
    <w:pPr>
      <w:tabs>
        <w:tab w:val="center" w:pos="4153"/>
        <w:tab w:val="right" w:pos="8307"/>
      </w:tabs>
      <w:adjustRightInd/>
      <w:snapToGrid w:val="0"/>
      <w:contextualSpacing w:val="0"/>
      <w:jc w:val="left"/>
    </w:pPr>
    <w:rPr>
      <w:sz w:val="18"/>
    </w:rPr>
  </w:style>
  <w:style xmlns:r="http://schemas.openxmlformats.org/officeDocument/2006/relationships" w:type="character" w:styleId="1f59e457">
    <w:name w:val="Strong1f59e457"/>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d9864ecd">
    <w:name w:val="Normald9864ecd"/>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c3a9596a">
    <w:name w:val="heading 1c3a9596a"/>
    <w:basedOn w:val="d9864ecd"/>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4149bb83">
    <w:name w:val="heading 24149bb83"/>
    <w:basedOn w:val="d9864ecd"/>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b5a0d57e">
    <w:name w:val="heading 3b5a0d57e"/>
    <w:basedOn w:val="d9864ecd"/>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5e53d9b6">
    <w:name w:val="Default Paragraph Font5e53d9b6"/>
  </w:style>
  <w:style xmlns:r="http://schemas.openxmlformats.org/officeDocument/2006/relationships" w:type="paragraph" w:styleId="53e79317">
    <w:name w:val="Normal Indent53e79317"/>
    <w:basedOn w:val="d9864ecd"/>
    <w:pPr>
      <w:ind w:firstLineChars="200" w:firstLine="200"/>
    </w:pPr>
  </w:style>
  <w:style xmlns:r="http://schemas.openxmlformats.org/officeDocument/2006/relationships" w:type="paragraph" w:styleId="158f1805">
    <w:name w:val="toc 5158f1805"/>
    <w:basedOn w:val="d9864ecd"/>
    <w:next w:val="0"/>
    <w:pPr>
      <w:ind w:left="1680"/>
    </w:pPr>
  </w:style>
  <w:style xmlns:r="http://schemas.openxmlformats.org/officeDocument/2006/relationships" w:type="paragraph" w:styleId="21747a86">
    <w:name w:val="toc 321747a86"/>
    <w:basedOn w:val="d9864ecd"/>
    <w:next w:val="0"/>
    <w:pPr>
      <w:ind w:left="840"/>
    </w:pPr>
  </w:style>
  <w:style xmlns:r="http://schemas.openxmlformats.org/officeDocument/2006/relationships" w:type="paragraph" w:styleId="0b81f06b">
    <w:name w:val="footer0b81f06b"/>
    <w:basedOn w:val="d9864ecd"/>
    <w:pPr>
      <w:tabs>
        <w:tab w:val="center" w:pos="4153"/>
        <w:tab w:val="right" w:pos="8307"/>
      </w:tabs>
      <w:adjustRightInd/>
      <w:snapToGrid w:val="0"/>
      <w:contextualSpacing w:val="0"/>
      <w:jc w:val="left"/>
    </w:pPr>
    <w:rPr>
      <w:sz w:val="18"/>
    </w:rPr>
  </w:style>
  <w:style xmlns:r="http://schemas.openxmlformats.org/officeDocument/2006/relationships" w:type="paragraph" w:styleId="47347a76">
    <w:name w:val="header47347a76"/>
    <w:basedOn w:val="d9864ecd"/>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188b6d51">
    <w:name w:val="toc 1188b6d51"/>
    <w:basedOn w:val="d9864ecd"/>
    <w:next w:val="0"/>
  </w:style>
  <w:style xmlns:r="http://schemas.openxmlformats.org/officeDocument/2006/relationships" w:type="paragraph" w:styleId="1c0dc3a5">
    <w:name w:val="toc 41c0dc3a5"/>
    <w:basedOn w:val="d9864ecd"/>
    <w:next w:val="0"/>
    <w:pPr>
      <w:ind w:left="1260"/>
    </w:pPr>
  </w:style>
  <w:style xmlns:r="http://schemas.openxmlformats.org/officeDocument/2006/relationships" w:type="paragraph" w:styleId="943bae9d">
    <w:name w:val="toc 2943bae9d"/>
    <w:basedOn w:val="d9864ecd"/>
    <w:next w:val="0"/>
    <w:pPr>
      <w:ind w:left="420"/>
    </w:pPr>
  </w:style>
  <w:style xmlns:r="http://schemas.openxmlformats.org/officeDocument/2006/relationships" w:type="paragraph" w:styleId="e9d1cd93">
    <w:name w:val="Normal (Web)e9d1cd93"/>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828b49a1">
    <w:name w:val="Normal828b49a1828b49a1"/>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e165164d">
    <w:name w:val="heading 1e165164de165164d"/>
    <w:basedOn w:val="828b49a1"/>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603f1b23">
    <w:name w:val="heading 2603f1b23603f1b23"/>
    <w:basedOn w:val="828b49a1"/>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72a022bf">
    <w:name w:val="heading 372a022bf72a022bf"/>
    <w:basedOn w:val="828b49a1"/>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c1385cc0">
    <w:name w:val="Default Paragraph Fontc1385cc0c1385cc0"/>
  </w:style>
  <w:style xmlns:r="http://schemas.openxmlformats.org/officeDocument/2006/relationships" w:type="paragraph" w:customStyle="1" w:styleId="3a205299">
    <w:name w:val="引文目录13a2052993a205299"/>
    <w:basedOn w:val="828b49a1"/>
    <w:next w:val="0"/>
    <w:pPr>
      <w:ind w:leftChars="200" w:left="200"/>
    </w:pPr>
  </w:style>
  <w:style xmlns:r="http://schemas.openxmlformats.org/officeDocument/2006/relationships" w:type="paragraph" w:styleId="ae4719df">
    <w:name w:val="toc 5ae4719dfae4719df"/>
    <w:basedOn w:val="828b49a1"/>
    <w:next w:val="0"/>
    <w:pPr>
      <w:ind w:left="1680"/>
    </w:pPr>
  </w:style>
  <w:style xmlns:r="http://schemas.openxmlformats.org/officeDocument/2006/relationships" w:type="paragraph" w:styleId="5dd45c83">
    <w:name w:val="toc 35dd45c835dd45c83"/>
    <w:basedOn w:val="828b49a1"/>
    <w:next w:val="0"/>
    <w:pPr>
      <w:ind w:left="840"/>
    </w:pPr>
  </w:style>
  <w:style xmlns:r="http://schemas.openxmlformats.org/officeDocument/2006/relationships" w:type="paragraph" w:styleId="4f8170c8">
    <w:name w:val="footer4f8170c84f8170c8"/>
    <w:basedOn w:val="828b49a1"/>
    <w:pPr>
      <w:tabs>
        <w:tab w:val="center" w:pos="4153"/>
        <w:tab w:val="right" w:pos="8307"/>
      </w:tabs>
      <w:adjustRightInd/>
      <w:snapToGrid w:val="0"/>
      <w:contextualSpacing w:val="0"/>
      <w:jc w:val="left"/>
    </w:pPr>
    <w:rPr>
      <w:sz w:val="18"/>
    </w:rPr>
  </w:style>
  <w:style xmlns:r="http://schemas.openxmlformats.org/officeDocument/2006/relationships" w:type="paragraph" w:styleId="2fa12ce2">
    <w:name w:val="header2fa12ce22fa12ce2"/>
    <w:basedOn w:val="828b49a1"/>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d5b5f776">
    <w:name w:val="toc 1d5b5f776d5b5f776"/>
    <w:basedOn w:val="828b49a1"/>
    <w:next w:val="0"/>
  </w:style>
  <w:style xmlns:r="http://schemas.openxmlformats.org/officeDocument/2006/relationships" w:type="paragraph" w:styleId="a7d7121a">
    <w:name w:val="toc 4a7d7121aa7d7121a"/>
    <w:basedOn w:val="828b49a1"/>
    <w:next w:val="0"/>
    <w:pPr>
      <w:ind w:left="1260"/>
    </w:pPr>
  </w:style>
  <w:style xmlns:r="http://schemas.openxmlformats.org/officeDocument/2006/relationships" w:type="paragraph" w:styleId="8e3ec4ef">
    <w:name w:val="toc 28e3ec4ef8e3ec4ef"/>
    <w:basedOn w:val="828b49a1"/>
    <w:next w:val="0"/>
    <w:pPr>
      <w:ind w:left="420"/>
    </w:pPr>
  </w:style>
  <w:style xmlns:r="http://schemas.openxmlformats.org/officeDocument/2006/relationships" w:type="paragraph" w:customStyle="1" w:styleId="c00cb1af">
    <w:name w:val="列出段落1c00cb1afc00cb1af"/>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